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710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Florida</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incorporation)</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8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Miami, Florida</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439420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9"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13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February 12, 2015, World Fuel Services Corporation issued a press release reporting its financial results for the fourth quarter and fiscal year ended December 31, 2014. A copy of the press release is attached hereto as Exhibit 99.1.</w:t>
      </w:r>
    </w:p>
    <w:p>
      <w:pPr>
        <w:spacing w:after="0" w:line="14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700"/>
              <w:spacing w:after="0"/>
              <w:rPr>
                <w:sz w:val="20"/>
                <w:szCs w:val="20"/>
                <w:color w:val="auto"/>
              </w:rPr>
            </w:pPr>
            <w:r>
              <w:rPr>
                <w:rFonts w:ascii="Arial" w:cs="Arial" w:eastAsia="Arial" w:hAnsi="Arial"/>
                <w:sz w:val="18"/>
                <w:szCs w:val="18"/>
                <w:color w:val="auto"/>
              </w:rPr>
              <w:t>(d)</w:t>
            </w:r>
          </w:p>
        </w:tc>
        <w:tc>
          <w:tcPr>
            <w:tcW w:w="15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46"/>
        </w:trPr>
        <w:tc>
          <w:tcPr>
            <w:tcW w:w="138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64"/>
        </w:trPr>
        <w:tc>
          <w:tcPr>
            <w:tcW w:w="1380" w:type="dxa"/>
            <w:vAlign w:val="bottom"/>
          </w:tcPr>
          <w:p>
            <w:pPr>
              <w:spacing w:after="0"/>
              <w:rPr>
                <w:sz w:val="22"/>
                <w:szCs w:val="22"/>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2"/>
                <w:szCs w:val="22"/>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Press Release, dated February 12, 2015.</w:t>
            </w:r>
          </w:p>
        </w:tc>
      </w:tr>
      <w:tr>
        <w:trPr>
          <w:trHeight w:val="149"/>
        </w:trPr>
        <w:tc>
          <w:tcPr>
            <w:tcW w:w="13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7660" w:type="dxa"/>
            <w:vAlign w:val="bottom"/>
            <w:tcBorders>
              <w:bottom w:val="single" w:sz="8" w:color="9A9A9A"/>
            </w:tcBorders>
          </w:tcPr>
          <w:p>
            <w:pPr>
              <w:spacing w:after="0"/>
              <w:rPr>
                <w:sz w:val="12"/>
                <w:szCs w:val="12"/>
                <w:color w:val="auto"/>
              </w:rPr>
            </w:pPr>
          </w:p>
        </w:tc>
      </w:tr>
      <w:tr>
        <w:trPr>
          <w:trHeight w:val="21"/>
        </w:trPr>
        <w:tc>
          <w:tcPr>
            <w:tcW w:w="13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76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12, 2015</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540" w:type="dxa"/>
            <w:vAlign w:val="bottom"/>
          </w:tcPr>
          <w:p>
            <w:pPr>
              <w:ind w:left="2040"/>
              <w:spacing w:after="0"/>
              <w:rPr>
                <w:sz w:val="20"/>
                <w:szCs w:val="20"/>
                <w:color w:val="auto"/>
              </w:rPr>
            </w:pPr>
            <w:r>
              <w:rPr>
                <w:rFonts w:ascii="Arial" w:cs="Arial" w:eastAsia="Arial" w:hAnsi="Arial"/>
                <w:sz w:val="22"/>
                <w:szCs w:val="22"/>
                <w:color w:val="auto"/>
              </w:rPr>
              <w:t>EXHIBIT INDEX</w:t>
            </w:r>
          </w:p>
        </w:tc>
      </w:tr>
      <w:tr>
        <w:trPr>
          <w:trHeight w:val="686"/>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February 12, 2015.</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Record Fourth Quarter and Full Year Earnings</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MIAMI--(BUSINESS WIRE)--February 12, 2015--World Fuel Services Corporation (NYSE: INT) today reported full year net income of $221.7 million or $3.11 diluted earnings per share. Excluding the impact of the previously announced sale of interests in the company’s crude oil joint ventures and certain one-time expenses, adjusted full year net income was $216.8 million or $3.04 diluted earnings per share. For 2013, net income as adjusted for one-time expenses was $204.9 million or $2.86 diluted earnings per share. Non-GAAP net income and diluted earnings per share for the full year, excluding share-based compensation, amortization of acquired intangible assets, gain from the sale of interests in the crude oil joint ventures and certain one-time expenses were $249.1 million and $3.49, respectively, compared to $230.5 million and $3.22 in 2013.</w:t>
      </w:r>
    </w:p>
    <w:p>
      <w:pPr>
        <w:spacing w:after="0" w:line="153"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For the fourth quarter, net income was $67.1 million or $0.94 diluted earnings per share. Excluding the impact of the previously announced sale of interests in the company’s crude oil joint ventures and certain one-time expenses, adjusted net income was $57.6 million or $0.81 adjusted diluted earnings per share. In the fourth quarter of 2013, net income as adjusted for one-time expenses was $53.7 million or $0.76 diluted earnings per share. Non-GAAP net income and diluted earnings per share for the fourth quarter, excluding share-based compensation, amortization of acquired intangible assets, gain from the sale of interests in the crude oil joint ventures and certain one-time expenses were $68.1 million and $0.96, respectively, compared to $60.1 million and $0.85 in the fourth quarter of 2013.</w:t>
      </w:r>
    </w:p>
    <w:p>
      <w:pPr>
        <w:spacing w:after="0" w:line="178" w:lineRule="exact"/>
        <w:rPr>
          <w:sz w:val="20"/>
          <w:szCs w:val="20"/>
          <w:color w:val="auto"/>
        </w:rPr>
      </w:pPr>
    </w:p>
    <w:p>
      <w:pPr>
        <w:jc w:val="both"/>
        <w:ind w:right="120"/>
        <w:spacing w:after="0" w:line="287" w:lineRule="auto"/>
        <w:rPr>
          <w:sz w:val="20"/>
          <w:szCs w:val="20"/>
          <w:color w:val="auto"/>
        </w:rPr>
      </w:pPr>
      <w:r>
        <w:rPr>
          <w:rFonts w:ascii="Arial" w:cs="Arial" w:eastAsia="Arial" w:hAnsi="Arial"/>
          <w:sz w:val="19"/>
          <w:szCs w:val="19"/>
          <w:color w:val="auto"/>
        </w:rPr>
        <w:t>“2014 was a strong year for World Fuel, as we delivered solid financial results while continuing to make strategic investments to grow our diverse intermodal platform of products and services,” stated Michael J. Kasbar, chairman and chief executive officer of World Fuel Services Corporation. “We remain focused on further strengthening our global competitive position in the coming year and taking advantage of a growing suite of opportunities that will enhance our growth strategy.”</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For the full year, the company’s aviation segment generated gross profit of $321.6 million, a decrease of $5.6 million or 1.7% year-over-year. The company’s marine segment generated gross profit of $205.6 million, an increase of $28.6 million or 16.1% year-over-year. The company’s land segment posted gross profit of $286.4 million, an increase of $37.9 million or 15.2% year-over-year.</w:t>
      </w:r>
    </w:p>
    <w:p>
      <w:pPr>
        <w:spacing w:after="0" w:line="134"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“Our solid execution and discipline contributed to a strong finish to 2014,” said Ira M. Birns, executive vice president and chief financial officer. “As we enter 2015, we are focused on aligning our resources to drive strategic priorities and deliver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This information includes both non-GAAP and adjusted net income and non-GAAP and adjusted diluted earnings per share. The non-GAAP financial measures exclude costs associated with share-based compensation, amortization of acquired intangible assets, expenses related to acquisitions, the gain on the sale of the crude oil joint venture interests (net of certain related operating expenses) and the executive non-renewal charge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acquisitions, the gain on the sale of the crude oil joint venture interests (net of certain related operating) expenses and the executive non-renewal charge are useful for purposes of evaluating operating performance of our core operating results and comparing them period over 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165"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Non-GAAP financial measures should not be considered in isolation from, or as a substitute for, financial information prepared in accordance with GAAP. In addition, our presentation of adjusted and non-GAAP net income and adjusted and non-GAAP diluted earnings per common share may not be comparable to the presentation of such metrics by other companies. Adjusted and Non-GAAP diluted earnings per common share is computed by dividing adjusted and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our global competitive position and growth strategy.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color w:val="auto"/>
              </w:rPr>
              <w:t>As of</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760" w:type="dxa"/>
            <w:vAlign w:val="bottom"/>
          </w:tcPr>
          <w:p>
            <w:pPr>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302,264</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292,061</w:t>
            </w:r>
          </w:p>
        </w:tc>
        <w:tc>
          <w:tcPr>
            <w:tcW w:w="0" w:type="dxa"/>
            <w:vAlign w:val="bottom"/>
          </w:tcPr>
          <w:p>
            <w:pPr>
              <w:spacing w:after="0"/>
              <w:rPr>
                <w:sz w:val="1"/>
                <w:szCs w:val="1"/>
                <w:color w:val="auto"/>
              </w:rPr>
            </w:pPr>
          </w:p>
        </w:tc>
      </w:tr>
      <w:tr>
        <w:trPr>
          <w:trHeight w:val="176"/>
        </w:trPr>
        <w:tc>
          <w:tcPr>
            <w:tcW w:w="776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2,307,852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2,538,642</w:t>
            </w:r>
          </w:p>
        </w:tc>
        <w:tc>
          <w:tcPr>
            <w:tcW w:w="0" w:type="dxa"/>
            <w:vAlign w:val="bottom"/>
          </w:tcPr>
          <w:p>
            <w:pPr>
              <w:spacing w:after="0"/>
              <w:rPr>
                <w:sz w:val="1"/>
                <w:szCs w:val="1"/>
                <w:color w:val="auto"/>
              </w:rPr>
            </w:pPr>
          </w:p>
        </w:tc>
      </w:tr>
      <w:tr>
        <w:trPr>
          <w:trHeight w:val="176"/>
        </w:trPr>
        <w:tc>
          <w:tcPr>
            <w:tcW w:w="776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437,566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655,046</w:t>
            </w:r>
          </w:p>
        </w:tc>
        <w:tc>
          <w:tcPr>
            <w:tcW w:w="0" w:type="dxa"/>
            <w:vAlign w:val="bottom"/>
          </w:tcPr>
          <w:p>
            <w:pPr>
              <w:spacing w:after="0"/>
              <w:rPr>
                <w:sz w:val="1"/>
                <w:szCs w:val="1"/>
                <w:color w:val="auto"/>
              </w:rPr>
            </w:pPr>
          </w:p>
        </w:tc>
      </w:tr>
      <w:tr>
        <w:trPr>
          <w:trHeight w:val="181"/>
        </w:trPr>
        <w:tc>
          <w:tcPr>
            <w:tcW w:w="776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627,161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329,752</w:t>
            </w:r>
          </w:p>
        </w:tc>
        <w:tc>
          <w:tcPr>
            <w:tcW w:w="0" w:type="dxa"/>
            <w:vAlign w:val="bottom"/>
          </w:tcPr>
          <w:p>
            <w:pPr>
              <w:spacing w:after="0"/>
              <w:rPr>
                <w:sz w:val="1"/>
                <w:szCs w:val="1"/>
                <w:color w:val="auto"/>
              </w:rPr>
            </w:pPr>
          </w:p>
        </w:tc>
      </w:tr>
      <w:tr>
        <w:trPr>
          <w:trHeight w:val="346"/>
        </w:trPr>
        <w:tc>
          <w:tcPr>
            <w:tcW w:w="776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3,674,843</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3,815,501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202,716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129,685</w:t>
            </w:r>
          </w:p>
        </w:tc>
        <w:tc>
          <w:tcPr>
            <w:tcW w:w="0" w:type="dxa"/>
            <w:vAlign w:val="bottom"/>
          </w:tcPr>
          <w:p>
            <w:pPr>
              <w:spacing w:after="0"/>
              <w:rPr>
                <w:sz w:val="1"/>
                <w:szCs w:val="1"/>
                <w:color w:val="auto"/>
              </w:rPr>
            </w:pPr>
          </w:p>
        </w:tc>
      </w:tr>
      <w:tr>
        <w:trPr>
          <w:trHeight w:val="350"/>
        </w:trPr>
        <w:tc>
          <w:tcPr>
            <w:tcW w:w="7760" w:type="dxa"/>
            <w:vAlign w:val="bottom"/>
          </w:tcPr>
          <w:p>
            <w:pPr>
              <w:spacing w:after="0"/>
              <w:rPr>
                <w:sz w:val="20"/>
                <w:szCs w:val="20"/>
                <w:color w:val="auto"/>
              </w:rPr>
            </w:pPr>
            <w:r>
              <w:rPr>
                <w:rFonts w:ascii="Arial" w:cs="Arial" w:eastAsia="Arial" w:hAnsi="Arial"/>
                <w:sz w:val="14"/>
                <w:szCs w:val="14"/>
                <w:color w:val="auto"/>
              </w:rPr>
              <w:t>Goodwill, identifiable intangible and other non-current assets</w:t>
            </w: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1,002,421</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794,091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76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4,879,980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4,739,277</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17,914</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14,647</w:t>
            </w:r>
          </w:p>
        </w:tc>
        <w:tc>
          <w:tcPr>
            <w:tcW w:w="0" w:type="dxa"/>
            <w:vAlign w:val="bottom"/>
          </w:tcPr>
          <w:p>
            <w:pPr>
              <w:spacing w:after="0"/>
              <w:rPr>
                <w:sz w:val="1"/>
                <w:szCs w:val="1"/>
                <w:color w:val="auto"/>
              </w:rPr>
            </w:pPr>
          </w:p>
        </w:tc>
      </w:tr>
      <w:tr>
        <w:trPr>
          <w:trHeight w:val="176"/>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1,850,134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2,210,427</w:t>
            </w:r>
          </w:p>
        </w:tc>
        <w:tc>
          <w:tcPr>
            <w:tcW w:w="0" w:type="dxa"/>
            <w:vAlign w:val="bottom"/>
          </w:tcPr>
          <w:p>
            <w:pPr>
              <w:spacing w:after="0"/>
              <w:rPr>
                <w:sz w:val="1"/>
                <w:szCs w:val="1"/>
                <w:color w:val="auto"/>
              </w:rPr>
            </w:pPr>
          </w:p>
        </w:tc>
      </w:tr>
      <w:tr>
        <w:trPr>
          <w:trHeight w:val="181"/>
        </w:trPr>
        <w:tc>
          <w:tcPr>
            <w:tcW w:w="776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373,306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289,441</w:t>
            </w:r>
          </w:p>
        </w:tc>
        <w:tc>
          <w:tcPr>
            <w:tcW w:w="0" w:type="dxa"/>
            <w:vAlign w:val="bottom"/>
          </w:tcPr>
          <w:p>
            <w:pPr>
              <w:spacing w:after="0"/>
              <w:rPr>
                <w:sz w:val="1"/>
                <w:szCs w:val="1"/>
                <w:color w:val="auto"/>
              </w:rPr>
            </w:pPr>
          </w:p>
        </w:tc>
      </w:tr>
      <w:tr>
        <w:trPr>
          <w:trHeight w:val="346"/>
        </w:trPr>
        <w:tc>
          <w:tcPr>
            <w:tcW w:w="776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2,241,354</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2,514,515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671,954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449,064</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3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101,791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96,804</w:t>
            </w:r>
          </w:p>
        </w:tc>
        <w:tc>
          <w:tcPr>
            <w:tcW w:w="0" w:type="dxa"/>
            <w:vAlign w:val="bottom"/>
          </w:tcPr>
          <w:p>
            <w:pPr>
              <w:spacing w:after="0"/>
              <w:rPr>
                <w:sz w:val="1"/>
                <w:szCs w:val="1"/>
                <w:color w:val="auto"/>
              </w:rPr>
            </w:pPr>
          </w:p>
        </w:tc>
      </w:tr>
      <w:tr>
        <w:trPr>
          <w:trHeight w:val="169"/>
        </w:trPr>
        <w:tc>
          <w:tcPr>
            <w:tcW w:w="776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3,015,099</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3,060,383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760" w:type="dxa"/>
            <w:vAlign w:val="bottom"/>
          </w:tcPr>
          <w:p>
            <w:pPr>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20"/>
              <w:spacing w:after="0"/>
              <w:rPr>
                <w:sz w:val="20"/>
                <w:szCs w:val="20"/>
                <w:color w:val="auto"/>
              </w:rPr>
            </w:pPr>
            <w:r>
              <w:rPr>
                <w:rFonts w:ascii="Arial" w:cs="Arial" w:eastAsia="Arial" w:hAnsi="Arial"/>
                <w:sz w:val="14"/>
                <w:szCs w:val="14"/>
                <w:color w:val="auto"/>
              </w:rPr>
              <w:t>World Fuel shareholders' equity</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1,855,358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1,673,898</w:t>
            </w:r>
          </w:p>
        </w:tc>
        <w:tc>
          <w:tcPr>
            <w:tcW w:w="0" w:type="dxa"/>
            <w:vAlign w:val="bottom"/>
          </w:tcPr>
          <w:p>
            <w:pPr>
              <w:spacing w:after="0"/>
              <w:rPr>
                <w:sz w:val="1"/>
                <w:szCs w:val="1"/>
                <w:color w:val="auto"/>
              </w:rPr>
            </w:pPr>
          </w:p>
        </w:tc>
      </w:tr>
      <w:tr>
        <w:trPr>
          <w:trHeight w:val="181"/>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 equity</w:t>
            </w:r>
          </w:p>
        </w:tc>
        <w:tc>
          <w:tcPr>
            <w:tcW w:w="3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9,523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4,996</w:t>
            </w:r>
          </w:p>
        </w:tc>
        <w:tc>
          <w:tcPr>
            <w:tcW w:w="0" w:type="dxa"/>
            <w:vAlign w:val="bottom"/>
          </w:tcPr>
          <w:p>
            <w:pPr>
              <w:spacing w:after="0"/>
              <w:rPr>
                <w:sz w:val="1"/>
                <w:szCs w:val="1"/>
                <w:color w:val="auto"/>
              </w:rPr>
            </w:pPr>
          </w:p>
        </w:tc>
      </w:tr>
      <w:tr>
        <w:trPr>
          <w:trHeight w:val="169"/>
        </w:trPr>
        <w:tc>
          <w:tcPr>
            <w:tcW w:w="776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3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1,864,881</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1,678,894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760" w:type="dxa"/>
            <w:vAlign w:val="bottom"/>
          </w:tcPr>
          <w:p>
            <w:pPr>
              <w:ind w:left="680"/>
              <w:spacing w:after="0"/>
              <w:rPr>
                <w:sz w:val="20"/>
                <w:szCs w:val="20"/>
                <w:color w:val="auto"/>
              </w:rPr>
            </w:pPr>
            <w:r>
              <w:rPr>
                <w:rFonts w:ascii="Arial" w:cs="Arial" w:eastAsia="Arial" w:hAnsi="Arial"/>
                <w:sz w:val="14"/>
                <w:szCs w:val="14"/>
                <w:color w:val="auto"/>
              </w:rPr>
              <w:t>Total liabilities and equity</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4,879,980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4,739,277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7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EARNINGS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4"/>
          </w:tcPr>
          <w:p>
            <w:pPr>
              <w:jc w:val="right"/>
              <w:ind w:right="508"/>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For the Year ended</w:t>
            </w:r>
          </w:p>
        </w:tc>
        <w:tc>
          <w:tcPr>
            <w:tcW w:w="880" w:type="dxa"/>
            <w:vAlign w:val="bottom"/>
          </w:tcPr>
          <w:p>
            <w:pPr>
              <w:spacing w:after="0"/>
              <w:rPr>
                <w:sz w:val="15"/>
                <w:szCs w:val="15"/>
                <w:color w:val="auto"/>
              </w:rPr>
            </w:pPr>
          </w:p>
        </w:tc>
      </w:tr>
      <w:tr>
        <w:trPr>
          <w:trHeight w:val="181"/>
        </w:trPr>
        <w:tc>
          <w:tcPr>
            <w:tcW w:w="5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December 31,</w:t>
            </w:r>
          </w:p>
        </w:tc>
        <w:tc>
          <w:tcPr>
            <w:tcW w:w="880" w:type="dxa"/>
            <w:vAlign w:val="bottom"/>
            <w:tcBorders>
              <w:bottom w:val="single" w:sz="8" w:color="auto"/>
            </w:tcBorders>
          </w:tcPr>
          <w:p>
            <w:pPr>
              <w:spacing w:after="0"/>
              <w:rPr>
                <w:sz w:val="15"/>
                <w:szCs w:val="15"/>
                <w:color w:val="auto"/>
              </w:rPr>
            </w:pPr>
          </w:p>
        </w:tc>
      </w:tr>
      <w:tr>
        <w:trPr>
          <w:trHeight w:val="169"/>
        </w:trPr>
        <w:tc>
          <w:tcPr>
            <w:tcW w:w="5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96"/>
              </w:rPr>
              <w:t>2013</w:t>
            </w:r>
          </w:p>
        </w:tc>
      </w:tr>
      <w:tr>
        <w:trPr>
          <w:trHeight w:val="515"/>
        </w:trPr>
        <w:tc>
          <w:tcPr>
            <w:tcW w:w="5620" w:type="dxa"/>
            <w:vAlign w:val="bottom"/>
          </w:tcPr>
          <w:p>
            <w:pPr>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9,779,555</w:t>
            </w:r>
          </w:p>
        </w:tc>
        <w:tc>
          <w:tcPr>
            <w:tcW w:w="62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10,404,653</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43,386,389</w:t>
            </w:r>
          </w:p>
        </w:tc>
        <w:tc>
          <w:tcPr>
            <w:tcW w:w="64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41,561,947</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9,560,089</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10,209,073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42,572,767</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40,809,189</w:t>
            </w:r>
          </w:p>
        </w:tc>
      </w:tr>
      <w:tr>
        <w:trPr>
          <w:trHeight w:val="345"/>
        </w:trPr>
        <w:tc>
          <w:tcPr>
            <w:tcW w:w="5620" w:type="dxa"/>
            <w:vAlign w:val="bottom"/>
          </w:tcPr>
          <w:p>
            <w:pPr>
              <w:ind w:left="420"/>
              <w:spacing w:after="0"/>
              <w:rPr>
                <w:sz w:val="20"/>
                <w:szCs w:val="20"/>
                <w:color w:val="auto"/>
              </w:rPr>
            </w:pPr>
            <w:r>
              <w:rPr>
                <w:rFonts w:ascii="Arial" w:cs="Arial" w:eastAsia="Arial" w:hAnsi="Arial"/>
                <w:sz w:val="14"/>
                <w:szCs w:val="14"/>
                <w:color w:val="auto"/>
              </w:rPr>
              <w:t>Gross profit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219,466</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195,580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813,622</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752,758</w:t>
            </w:r>
          </w:p>
        </w:tc>
      </w:tr>
      <w:tr>
        <w:trPr>
          <w:trHeight w:val="339"/>
        </w:trPr>
        <w:tc>
          <w:tcPr>
            <w:tcW w:w="562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620" w:type="dxa"/>
            <w:vAlign w:val="bottom"/>
          </w:tcPr>
          <w:p>
            <w:pPr>
              <w:ind w:left="220"/>
              <w:spacing w:after="0"/>
              <w:rPr>
                <w:sz w:val="20"/>
                <w:szCs w:val="20"/>
                <w:color w:val="auto"/>
              </w:rPr>
            </w:pPr>
            <w:r>
              <w:rPr>
                <w:rFonts w:ascii="Arial" w:cs="Arial" w:eastAsia="Arial" w:hAnsi="Arial"/>
                <w:sz w:val="14"/>
                <w:szCs w:val="14"/>
                <w:color w:val="auto"/>
              </w:rPr>
              <w:t>Compensation and employee benefits</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86,233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73,663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319,842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288,021</w:t>
            </w:r>
          </w:p>
        </w:tc>
      </w:tr>
      <w:tr>
        <w:trPr>
          <w:trHeight w:val="176"/>
        </w:trPr>
        <w:tc>
          <w:tcPr>
            <w:tcW w:w="5620" w:type="dxa"/>
            <w:vAlign w:val="bottom"/>
          </w:tcPr>
          <w:p>
            <w:pPr>
              <w:ind w:left="220"/>
              <w:spacing w:after="0"/>
              <w:rPr>
                <w:sz w:val="20"/>
                <w:szCs w:val="20"/>
                <w:color w:val="auto"/>
              </w:rPr>
            </w:pPr>
            <w:r>
              <w:rPr>
                <w:rFonts w:ascii="Arial" w:cs="Arial" w:eastAsia="Arial" w:hAnsi="Arial"/>
                <w:sz w:val="14"/>
                <w:szCs w:val="14"/>
                <w:color w:val="auto"/>
              </w:rPr>
              <w:t>Provision for bad debt</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6,070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3,757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11,745</w:t>
            </w:r>
          </w:p>
        </w:tc>
      </w:tr>
      <w:tr>
        <w:trPr>
          <w:trHeight w:val="181"/>
        </w:trPr>
        <w:tc>
          <w:tcPr>
            <w:tcW w:w="562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62,080</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51,369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220,875</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188,634</w:t>
            </w:r>
          </w:p>
        </w:tc>
      </w:tr>
      <w:tr>
        <w:trPr>
          <w:trHeight w:val="345"/>
        </w:trPr>
        <w:tc>
          <w:tcPr>
            <w:tcW w:w="562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148,537</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131,102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544,474</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488,400</w:t>
            </w:r>
          </w:p>
        </w:tc>
      </w:tr>
      <w:tr>
        <w:trPr>
          <w:trHeight w:val="339"/>
        </w:trPr>
        <w:tc>
          <w:tcPr>
            <w:tcW w:w="5620" w:type="dxa"/>
            <w:vAlign w:val="bottom"/>
          </w:tcPr>
          <w:p>
            <w:pPr>
              <w:ind w:left="420"/>
              <w:spacing w:after="0"/>
              <w:rPr>
                <w:sz w:val="20"/>
                <w:szCs w:val="20"/>
                <w:color w:val="auto"/>
              </w:rPr>
            </w:pPr>
            <w:r>
              <w:rPr>
                <w:rFonts w:ascii="Arial" w:cs="Arial" w:eastAsia="Arial" w:hAnsi="Arial"/>
                <w:sz w:val="14"/>
                <w:szCs w:val="14"/>
                <w:color w:val="auto"/>
              </w:rPr>
              <w:t>Income from operations</w:t>
            </w:r>
          </w:p>
        </w:tc>
        <w:tc>
          <w:tcPr>
            <w:tcW w:w="3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70,929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64,478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269,148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264,358</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Non-operating income (expenses), net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12,308</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(17,693)</w:t>
            </w:r>
          </w:p>
        </w:tc>
      </w:tr>
      <w:tr>
        <w:trPr>
          <w:trHeight w:val="339"/>
        </w:trPr>
        <w:tc>
          <w:tcPr>
            <w:tcW w:w="562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83,237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60,810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269,551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246,665</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16,180</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7,415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51,144</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39,505</w:t>
            </w:r>
          </w:p>
        </w:tc>
      </w:tr>
      <w:tr>
        <w:trPr>
          <w:trHeight w:val="339"/>
        </w:trPr>
        <w:tc>
          <w:tcPr>
            <w:tcW w:w="562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3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67,057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53,395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218,407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207,160</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Net (loss) income attributable to noncontrolling interest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4,085</w:t>
            </w:r>
          </w:p>
        </w:tc>
      </w:tr>
      <w:tr>
        <w:trPr>
          <w:trHeight w:val="345"/>
        </w:trPr>
        <w:tc>
          <w:tcPr>
            <w:tcW w:w="5620" w:type="dxa"/>
            <w:vAlign w:val="bottom"/>
          </w:tcPr>
          <w:p>
            <w:pPr>
              <w:spacing w:after="0"/>
              <w:rPr>
                <w:sz w:val="20"/>
                <w:szCs w:val="20"/>
                <w:color w:val="auto"/>
              </w:rPr>
            </w:pPr>
            <w:r>
              <w:rPr>
                <w:rFonts w:ascii="Arial" w:cs="Arial" w:eastAsia="Arial" w:hAnsi="Arial"/>
                <w:sz w:val="14"/>
                <w:szCs w:val="14"/>
                <w:color w:val="auto"/>
              </w:rPr>
              <w:t>Net income attributable to World Fuel</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67,134</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51,862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221,747</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203,075</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0.95</w:t>
            </w:r>
          </w:p>
        </w:tc>
        <w:tc>
          <w:tcPr>
            <w:tcW w:w="62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0.73</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64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2.85</w:t>
            </w:r>
          </w:p>
        </w:tc>
      </w:tr>
      <w:tr>
        <w:trPr>
          <w:trHeight w:val="20"/>
        </w:trPr>
        <w:tc>
          <w:tcPr>
            <w:tcW w:w="5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Basic weighted average common shares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70,708</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70,870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70,750</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71,224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Diluted earnings per common share</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0.94</w:t>
            </w:r>
          </w:p>
        </w:tc>
        <w:tc>
          <w:tcPr>
            <w:tcW w:w="62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0.73</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64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2.83</w:t>
            </w:r>
          </w:p>
        </w:tc>
      </w:tr>
      <w:tr>
        <w:trPr>
          <w:trHeight w:val="20"/>
        </w:trPr>
        <w:tc>
          <w:tcPr>
            <w:tcW w:w="5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Diluted weighted average common shares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71,297</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71,459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71,323</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71,800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r>
        <w:trPr>
          <w:trHeight w:val="21"/>
        </w:trPr>
        <w:tc>
          <w:tcPr>
            <w:tcW w:w="56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4"/>
          </w:tcPr>
          <w:p>
            <w:pPr>
              <w:jc w:val="right"/>
              <w:ind w:right="328"/>
              <w:spacing w:after="0"/>
              <w:rPr>
                <w:sz w:val="20"/>
                <w:szCs w:val="20"/>
                <w:color w:val="auto"/>
              </w:rPr>
            </w:pPr>
            <w:r>
              <w:rPr>
                <w:rFonts w:ascii="Arial" w:cs="Arial" w:eastAsia="Arial" w:hAnsi="Arial"/>
                <w:sz w:val="14"/>
                <w:szCs w:val="14"/>
                <w:color w:val="auto"/>
                <w:w w:val="98"/>
              </w:rPr>
              <w:t>For the Three Months 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4"/>
          </w:tcPr>
          <w:p>
            <w:pPr>
              <w:jc w:val="right"/>
              <w:ind w:right="448"/>
              <w:spacing w:after="0"/>
              <w:rPr>
                <w:sz w:val="20"/>
                <w:szCs w:val="20"/>
                <w:color w:val="auto"/>
              </w:rPr>
            </w:pPr>
            <w:r>
              <w:rPr>
                <w:rFonts w:ascii="Arial" w:cs="Arial" w:eastAsia="Arial" w:hAnsi="Arial"/>
                <w:sz w:val="14"/>
                <w:szCs w:val="14"/>
                <w:color w:val="auto"/>
              </w:rPr>
              <w:t>For the Year ended</w:t>
            </w:r>
          </w:p>
        </w:tc>
      </w:tr>
      <w:tr>
        <w:trPr>
          <w:trHeight w:val="181"/>
        </w:trPr>
        <w:tc>
          <w:tcPr>
            <w:tcW w:w="6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680" w:type="dxa"/>
            <w:vAlign w:val="bottom"/>
            <w:tcBorders>
              <w:bottom w:val="single" w:sz="8" w:color="auto"/>
            </w:tcBorders>
          </w:tcPr>
          <w:p>
            <w:pPr>
              <w:spacing w:after="0"/>
              <w:rPr>
                <w:sz w:val="15"/>
                <w:szCs w:val="15"/>
                <w:color w:val="auto"/>
              </w:rPr>
            </w:pPr>
          </w:p>
        </w:tc>
      </w:tr>
      <w:tr>
        <w:trPr>
          <w:trHeight w:val="169"/>
        </w:trPr>
        <w:tc>
          <w:tcPr>
            <w:tcW w:w="6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89"/>
              </w:rPr>
              <w:t>2013</w:t>
            </w:r>
          </w:p>
        </w:tc>
      </w:tr>
      <w:tr>
        <w:trPr>
          <w:trHeight w:val="339"/>
        </w:trPr>
        <w:tc>
          <w:tcPr>
            <w:tcW w:w="674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1"/>
        </w:trPr>
        <w:tc>
          <w:tcPr>
            <w:tcW w:w="6740" w:type="dxa"/>
            <w:vAlign w:val="bottom"/>
          </w:tcPr>
          <w:p>
            <w:pPr>
              <w:ind w:left="220"/>
              <w:spacing w:after="0"/>
              <w:rPr>
                <w:sz w:val="20"/>
                <w:szCs w:val="20"/>
                <w:color w:val="auto"/>
              </w:rPr>
            </w:pPr>
            <w:r>
              <w:rPr>
                <w:rFonts w:ascii="Arial" w:cs="Arial" w:eastAsia="Arial" w:hAnsi="Arial"/>
                <w:sz w:val="14"/>
                <w:szCs w:val="14"/>
                <w:color w:val="auto"/>
              </w:rPr>
              <w:t>Net income including noncontrolling interest</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67,057</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53,395</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218,407</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207,160</w:t>
            </w:r>
          </w:p>
        </w:tc>
      </w:tr>
      <w:tr>
        <w:trPr>
          <w:trHeight w:val="164"/>
        </w:trPr>
        <w:tc>
          <w:tcPr>
            <w:tcW w:w="6740" w:type="dxa"/>
            <w:vAlign w:val="bottom"/>
          </w:tcPr>
          <w:p>
            <w:pPr>
              <w:ind w:left="220"/>
              <w:spacing w:after="0"/>
              <w:rPr>
                <w:sz w:val="20"/>
                <w:szCs w:val="20"/>
                <w:color w:val="auto"/>
              </w:rPr>
            </w:pPr>
            <w:r>
              <w:rPr>
                <w:rFonts w:ascii="Arial" w:cs="Arial" w:eastAsia="Arial" w:hAnsi="Arial"/>
                <w:sz w:val="14"/>
                <w:szCs w:val="14"/>
                <w:color w:val="auto"/>
              </w:rPr>
              <w:t>Adjustments to reconcile net income including</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76"/>
        </w:trPr>
        <w:tc>
          <w:tcPr>
            <w:tcW w:w="6740" w:type="dxa"/>
            <w:vAlign w:val="bottom"/>
          </w:tcPr>
          <w:p>
            <w:pPr>
              <w:ind w:left="280"/>
              <w:spacing w:after="0"/>
              <w:rPr>
                <w:sz w:val="20"/>
                <w:szCs w:val="20"/>
                <w:color w:val="auto"/>
              </w:rPr>
            </w:pPr>
            <w:r>
              <w:rPr>
                <w:rFonts w:ascii="Arial" w:cs="Arial" w:eastAsia="Arial" w:hAnsi="Arial"/>
                <w:sz w:val="14"/>
                <w:szCs w:val="14"/>
                <w:color w:val="auto"/>
              </w:rPr>
              <w:t>noncontrolling interest to net cash provided by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740" w:type="dxa"/>
            <w:vAlign w:val="bottom"/>
          </w:tcPr>
          <w:p>
            <w:pPr>
              <w:ind w:left="280"/>
              <w:spacing w:after="0"/>
              <w:rPr>
                <w:sz w:val="20"/>
                <w:szCs w:val="20"/>
                <w:color w:val="auto"/>
              </w:rPr>
            </w:pPr>
            <w:r>
              <w:rPr>
                <w:rFonts w:ascii="Arial" w:cs="Arial" w:eastAsia="Arial" w:hAnsi="Arial"/>
                <w:sz w:val="14"/>
                <w:szCs w:val="14"/>
                <w:color w:val="auto"/>
              </w:rPr>
              <w:t>operating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74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17,534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11,898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59,399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44,710</w:t>
            </w:r>
          </w:p>
        </w:tc>
      </w:tr>
      <w:tr>
        <w:trPr>
          <w:trHeight w:val="176"/>
        </w:trPr>
        <w:tc>
          <w:tcPr>
            <w:tcW w:w="6740" w:type="dxa"/>
            <w:vAlign w:val="bottom"/>
          </w:tcPr>
          <w:p>
            <w:pPr>
              <w:ind w:left="420"/>
              <w:spacing w:after="0"/>
              <w:rPr>
                <w:sz w:val="20"/>
                <w:szCs w:val="20"/>
                <w:color w:val="auto"/>
              </w:rPr>
            </w:pPr>
            <w:r>
              <w:rPr>
                <w:rFonts w:ascii="Arial" w:cs="Arial" w:eastAsia="Arial" w:hAnsi="Arial"/>
                <w:sz w:val="14"/>
                <w:szCs w:val="14"/>
                <w:color w:val="auto"/>
              </w:rPr>
              <w:t>Provision for bad debt</w:t>
            </w:r>
          </w:p>
        </w:tc>
        <w:tc>
          <w:tcPr>
            <w:tcW w:w="2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6,070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11,745</w:t>
            </w:r>
          </w:p>
        </w:tc>
      </w:tr>
      <w:tr>
        <w:trPr>
          <w:trHeight w:val="176"/>
        </w:trPr>
        <w:tc>
          <w:tcPr>
            <w:tcW w:w="6740" w:type="dxa"/>
            <w:vAlign w:val="bottom"/>
          </w:tcPr>
          <w:p>
            <w:pPr>
              <w:ind w:left="420"/>
              <w:spacing w:after="0"/>
              <w:rPr>
                <w:sz w:val="20"/>
                <w:szCs w:val="20"/>
                <w:color w:val="auto"/>
              </w:rPr>
            </w:pPr>
            <w:r>
              <w:rPr>
                <w:rFonts w:ascii="Arial" w:cs="Arial" w:eastAsia="Arial" w:hAnsi="Arial"/>
                <w:sz w:val="14"/>
                <w:szCs w:val="14"/>
                <w:color w:val="auto"/>
              </w:rPr>
              <w:t>Share-based payment award compensation costs</w:t>
            </w:r>
          </w:p>
        </w:tc>
        <w:tc>
          <w:tcPr>
            <w:tcW w:w="2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4,474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4,138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15,755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16,716</w:t>
            </w:r>
          </w:p>
        </w:tc>
      </w:tr>
      <w:tr>
        <w:trPr>
          <w:trHeight w:val="176"/>
        </w:trPr>
        <w:tc>
          <w:tcPr>
            <w:tcW w:w="6740" w:type="dxa"/>
            <w:vAlign w:val="bottom"/>
          </w:tcPr>
          <w:p>
            <w:pPr>
              <w:ind w:left="4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(15,093)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(14,716)</w:t>
            </w:r>
          </w:p>
        </w:tc>
      </w:tr>
      <w:tr>
        <w:trPr>
          <w:trHeight w:val="176"/>
        </w:trPr>
        <w:tc>
          <w:tcPr>
            <w:tcW w:w="6740" w:type="dxa"/>
            <w:vAlign w:val="bottom"/>
          </w:tcPr>
          <w:p>
            <w:pPr>
              <w:ind w:left="420"/>
              <w:spacing w:after="0"/>
              <w:rPr>
                <w:sz w:val="20"/>
                <w:szCs w:val="20"/>
                <w:color w:val="auto"/>
              </w:rPr>
            </w:pPr>
            <w:r>
              <w:rPr>
                <w:rFonts w:ascii="Arial" w:cs="Arial" w:eastAsia="Arial" w:hAnsi="Arial"/>
                <w:sz w:val="14"/>
                <w:szCs w:val="14"/>
                <w:color w:val="auto"/>
              </w:rPr>
              <w:t>Change in cash collateral with financial counterparties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(257,134)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(288,049)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9,920</w:t>
            </w:r>
          </w:p>
        </w:tc>
      </w:tr>
      <w:tr>
        <w:trPr>
          <w:trHeight w:val="181"/>
        </w:trPr>
        <w:tc>
          <w:tcPr>
            <w:tcW w:w="6740" w:type="dxa"/>
            <w:vAlign w:val="bottom"/>
          </w:tcPr>
          <w:p>
            <w:pPr>
              <w:ind w:left="420"/>
              <w:spacing w:after="0"/>
              <w:rPr>
                <w:sz w:val="20"/>
                <w:szCs w:val="20"/>
                <w:color w:val="auto"/>
              </w:rPr>
            </w:pPr>
            <w:r>
              <w:rPr>
                <w:rFonts w:ascii="Arial" w:cs="Arial" w:eastAsia="Arial" w:hAnsi="Arial"/>
                <w:sz w:val="14"/>
                <w:szCs w:val="14"/>
                <w:color w:val="auto"/>
              </w:rPr>
              <w:t>Changes in assets and liabilities, net of acquisitions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195,033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144,213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(11,233)</w:t>
            </w:r>
          </w:p>
        </w:tc>
      </w:tr>
      <w:tr>
        <w:trPr>
          <w:trHeight w:val="169"/>
        </w:trPr>
        <w:tc>
          <w:tcPr>
            <w:tcW w:w="6740" w:type="dxa"/>
            <w:vAlign w:val="bottom"/>
          </w:tcPr>
          <w:p>
            <w:pPr>
              <w:ind w:left="620"/>
              <w:spacing w:after="0"/>
              <w:rPr>
                <w:sz w:val="20"/>
                <w:szCs w:val="20"/>
                <w:color w:val="auto"/>
              </w:rPr>
            </w:pPr>
            <w:r>
              <w:rPr>
                <w:rFonts w:ascii="Arial" w:cs="Arial" w:eastAsia="Arial" w:hAnsi="Arial"/>
                <w:sz w:val="14"/>
                <w:szCs w:val="14"/>
                <w:color w:val="auto"/>
              </w:rPr>
              <w:t>Total adjustments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(54,962)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(77,247)</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57,142</w:t>
            </w:r>
          </w:p>
        </w:tc>
      </w:tr>
      <w:tr>
        <w:trPr>
          <w:trHeight w:val="169"/>
        </w:trPr>
        <w:tc>
          <w:tcPr>
            <w:tcW w:w="674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12,095</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50,555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141,160</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264,302</w:t>
            </w:r>
          </w:p>
        </w:tc>
      </w:tr>
      <w:tr>
        <w:trPr>
          <w:trHeight w:val="339"/>
        </w:trPr>
        <w:tc>
          <w:tcPr>
            <w:tcW w:w="674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6740" w:type="dxa"/>
            <w:vAlign w:val="bottom"/>
          </w:tcPr>
          <w:p>
            <w:pPr>
              <w:ind w:left="22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(42,934)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(36,542)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(273,649)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(76,954)</w:t>
            </w:r>
          </w:p>
        </w:tc>
      </w:tr>
      <w:tr>
        <w:trPr>
          <w:trHeight w:val="176"/>
        </w:trPr>
        <w:tc>
          <w:tcPr>
            <w:tcW w:w="674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(13,051)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(32,430)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(82,716)</w:t>
            </w:r>
          </w:p>
        </w:tc>
      </w:tr>
      <w:tr>
        <w:trPr>
          <w:trHeight w:val="176"/>
        </w:trPr>
        <w:tc>
          <w:tcPr>
            <w:tcW w:w="6740" w:type="dxa"/>
            <w:vAlign w:val="bottom"/>
          </w:tcPr>
          <w:p>
            <w:pPr>
              <w:ind w:left="220"/>
              <w:spacing w:after="0"/>
              <w:rPr>
                <w:sz w:val="20"/>
                <w:szCs w:val="20"/>
                <w:color w:val="auto"/>
              </w:rPr>
            </w:pPr>
            <w:r>
              <w:rPr>
                <w:rFonts w:ascii="Arial" w:cs="Arial" w:eastAsia="Arial" w:hAnsi="Arial"/>
                <w:sz w:val="14"/>
                <w:szCs w:val="14"/>
                <w:color w:val="auto"/>
              </w:rPr>
              <w:t>Escrow payment related to an assumed obligation of an acquired business</w:t>
            </w:r>
          </w:p>
        </w:tc>
        <w:tc>
          <w:tcPr>
            <w:tcW w:w="2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6740" w:type="dxa"/>
            <w:vAlign w:val="bottom"/>
          </w:tcPr>
          <w:p>
            <w:pPr>
              <w:ind w:left="220"/>
              <w:spacing w:after="0"/>
              <w:rPr>
                <w:sz w:val="20"/>
                <w:szCs w:val="20"/>
                <w:color w:val="auto"/>
              </w:rPr>
            </w:pPr>
            <w:r>
              <w:rPr>
                <w:rFonts w:ascii="Arial" w:cs="Arial" w:eastAsia="Arial" w:hAnsi="Arial"/>
                <w:sz w:val="14"/>
                <w:szCs w:val="14"/>
                <w:color w:val="auto"/>
              </w:rPr>
              <w:t>Proceeds from the sale of crude oil joint venture interests</w:t>
            </w:r>
          </w:p>
        </w:tc>
        <w:tc>
          <w:tcPr>
            <w:tcW w:w="2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43,000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1"/>
        </w:trPr>
        <w:tc>
          <w:tcPr>
            <w:tcW w:w="6740" w:type="dxa"/>
            <w:vAlign w:val="bottom"/>
          </w:tcPr>
          <w:p>
            <w:pPr>
              <w:ind w:left="2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6,079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5,439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(14,890)</w:t>
            </w:r>
          </w:p>
        </w:tc>
      </w:tr>
      <w:tr>
        <w:trPr>
          <w:trHeight w:val="169"/>
        </w:trPr>
        <w:tc>
          <w:tcPr>
            <w:tcW w:w="6740" w:type="dxa"/>
            <w:vAlign w:val="bottom"/>
          </w:tcPr>
          <w:p>
            <w:pPr>
              <w:ind w:left="4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(6,906)</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(83,393)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(297,087)</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(174,560)</w:t>
            </w:r>
          </w:p>
        </w:tc>
      </w:tr>
      <w:tr>
        <w:trPr>
          <w:trHeight w:val="339"/>
        </w:trPr>
        <w:tc>
          <w:tcPr>
            <w:tcW w:w="674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6740" w:type="dxa"/>
            <w:vAlign w:val="bottom"/>
          </w:tcPr>
          <w:p>
            <w:pPr>
              <w:ind w:left="220"/>
              <w:spacing w:after="0"/>
              <w:rPr>
                <w:sz w:val="20"/>
                <w:szCs w:val="20"/>
                <w:color w:val="auto"/>
              </w:rPr>
            </w:pPr>
            <w:r>
              <w:rPr>
                <w:rFonts w:ascii="Arial" w:cs="Arial" w:eastAsia="Arial" w:hAnsi="Arial"/>
                <w:sz w:val="14"/>
                <w:szCs w:val="14"/>
                <w:color w:val="auto"/>
              </w:rPr>
              <w:t>Borrowings of debt, net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(76,832)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5,134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205,745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80,314</w:t>
            </w:r>
          </w:p>
        </w:tc>
      </w:tr>
      <w:tr>
        <w:trPr>
          <w:trHeight w:val="176"/>
        </w:trPr>
        <w:tc>
          <w:tcPr>
            <w:tcW w:w="674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(10,679)</w:t>
            </w:r>
          </w:p>
        </w:tc>
      </w:tr>
      <w:tr>
        <w:trPr>
          <w:trHeight w:val="181"/>
        </w:trPr>
        <w:tc>
          <w:tcPr>
            <w:tcW w:w="6740" w:type="dxa"/>
            <w:vAlign w:val="bottom"/>
          </w:tcPr>
          <w:p>
            <w:pPr>
              <w:ind w:left="2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(10,936)</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(11,695)</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(25,635)</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(40,126)</w:t>
            </w:r>
          </w:p>
        </w:tc>
      </w:tr>
      <w:tr>
        <w:trPr>
          <w:trHeight w:val="169"/>
        </w:trPr>
        <w:tc>
          <w:tcPr>
            <w:tcW w:w="6740" w:type="dxa"/>
            <w:vAlign w:val="bottom"/>
          </w:tcPr>
          <w:p>
            <w:pPr>
              <w:ind w:left="420"/>
              <w:spacing w:after="0"/>
              <w:rPr>
                <w:sz w:val="20"/>
                <w:szCs w:val="20"/>
                <w:color w:val="auto"/>
              </w:rPr>
            </w:pPr>
            <w:r>
              <w:rPr>
                <w:rFonts w:ascii="Arial" w:cs="Arial" w:eastAsia="Arial" w:hAnsi="Arial"/>
                <w:sz w:val="14"/>
                <w:szCs w:val="14"/>
                <w:color w:val="auto"/>
              </w:rPr>
              <w:t>Net cash (used in) provided by financing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(90,415)</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(9,220)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169,515</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29,509</w:t>
            </w:r>
          </w:p>
        </w:tc>
      </w:tr>
      <w:tr>
        <w:trPr>
          <w:trHeight w:val="345"/>
        </w:trPr>
        <w:tc>
          <w:tcPr>
            <w:tcW w:w="67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r>
      <w:tr>
        <w:trPr>
          <w:trHeight w:val="346"/>
        </w:trPr>
        <w:tc>
          <w:tcPr>
            <w:tcW w:w="674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(86,280)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(41,162)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10,203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119,321</w:t>
            </w:r>
          </w:p>
        </w:tc>
      </w:tr>
      <w:tr>
        <w:trPr>
          <w:trHeight w:val="350"/>
        </w:trPr>
        <w:tc>
          <w:tcPr>
            <w:tcW w:w="674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388,544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333,223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292,061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172,740</w:t>
            </w:r>
          </w:p>
        </w:tc>
      </w:tr>
      <w:tr>
        <w:trPr>
          <w:trHeight w:val="345"/>
        </w:trPr>
        <w:tc>
          <w:tcPr>
            <w:tcW w:w="674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302,264</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292,061</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302,264</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292,061</w:t>
            </w:r>
          </w:p>
        </w:tc>
      </w:tr>
      <w:tr>
        <w:trPr>
          <w:trHeight w:val="20"/>
        </w:trPr>
        <w:tc>
          <w:tcPr>
            <w:tcW w:w="6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r>
        <w:trPr>
          <w:trHeight w:val="21"/>
        </w:trPr>
        <w:tc>
          <w:tcPr>
            <w:tcW w:w="67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4"/>
          <w:szCs w:val="14"/>
          <w:color w:val="auto"/>
        </w:rPr>
        <w:t>(UNAUDITED - IN THOUSANDS, EXCEPT EARNINGS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color w:val="auto"/>
                <w:w w:val="93"/>
              </w:rPr>
              <w:t>For the Three Months ended</w:t>
            </w:r>
          </w:p>
        </w:tc>
        <w:tc>
          <w:tcPr>
            <w:tcW w:w="80" w:type="dxa"/>
            <w:vAlign w:val="bottom"/>
          </w:tcPr>
          <w:p>
            <w:pPr>
              <w:spacing w:after="0"/>
              <w:rPr>
                <w:sz w:val="15"/>
                <w:szCs w:val="15"/>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4"/>
                <w:szCs w:val="14"/>
                <w:color w:val="auto"/>
                <w:w w:val="89"/>
              </w:rPr>
              <w:t>For the Year ended</w:t>
            </w:r>
          </w:p>
        </w:tc>
      </w:tr>
      <w:tr>
        <w:trPr>
          <w:trHeight w:val="181"/>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5"/>
                <w:szCs w:val="15"/>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4"/>
                <w:szCs w:val="14"/>
                <w:color w:val="auto"/>
              </w:rPr>
              <w:t>December 31,</w:t>
            </w:r>
          </w:p>
        </w:tc>
      </w:tr>
      <w:tr>
        <w:trPr>
          <w:trHeight w:val="169"/>
        </w:trPr>
        <w:tc>
          <w:tcPr>
            <w:tcW w:w="8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2014</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2014</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4"/>
                <w:szCs w:val="14"/>
                <w:color w:val="auto"/>
              </w:rPr>
            </w:pPr>
          </w:p>
        </w:tc>
      </w:tr>
      <w:tr>
        <w:trPr>
          <w:trHeight w:val="346"/>
        </w:trPr>
        <w:tc>
          <w:tcPr>
            <w:tcW w:w="808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808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67,134</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51,862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221,747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203,075</w:t>
            </w:r>
          </w:p>
        </w:tc>
      </w:tr>
      <w:tr>
        <w:trPr>
          <w:trHeight w:val="219"/>
        </w:trPr>
        <w:tc>
          <w:tcPr>
            <w:tcW w:w="8080" w:type="dxa"/>
            <w:vAlign w:val="bottom"/>
          </w:tcPr>
          <w:p>
            <w:pPr>
              <w:ind w:left="16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2,812</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11,182</w:t>
            </w:r>
          </w:p>
        </w:tc>
      </w:tr>
      <w:tr>
        <w:trPr>
          <w:trHeight w:val="216"/>
        </w:trPr>
        <w:tc>
          <w:tcPr>
            <w:tcW w:w="8080" w:type="dxa"/>
            <w:vAlign w:val="bottom"/>
          </w:tcPr>
          <w:p>
            <w:pPr>
              <w:ind w:left="160"/>
              <w:spacing w:after="0" w:line="216"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7,564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3,639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22,401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14,448</w:t>
            </w:r>
          </w:p>
        </w:tc>
      </w:tr>
      <w:tr>
        <w:trPr>
          <w:trHeight w:val="216"/>
        </w:trPr>
        <w:tc>
          <w:tcPr>
            <w:tcW w:w="8080" w:type="dxa"/>
            <w:vAlign w:val="bottom"/>
          </w:tcPr>
          <w:p>
            <w:pPr>
              <w:ind w:left="160"/>
              <w:spacing w:after="0" w:line="216" w:lineRule="exact"/>
              <w:rPr>
                <w:sz w:val="20"/>
                <w:szCs w:val="20"/>
                <w:color w:val="auto"/>
              </w:rPr>
            </w:pPr>
            <w:r>
              <w:rPr>
                <w:rFonts w:ascii="Arial" w:cs="Arial" w:eastAsia="Arial" w:hAnsi="Arial"/>
                <w:sz w:val="14"/>
                <w:szCs w:val="14"/>
                <w:color w:val="auto"/>
              </w:rPr>
              <w:t xml:space="preserve">Expenses related to acquisitions, net of income taxes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1,822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1,822</w:t>
            </w:r>
          </w:p>
        </w:tc>
      </w:tr>
      <w:tr>
        <w:trPr>
          <w:trHeight w:val="216"/>
        </w:trPr>
        <w:tc>
          <w:tcPr>
            <w:tcW w:w="8080" w:type="dxa"/>
            <w:vAlign w:val="bottom"/>
          </w:tcPr>
          <w:p>
            <w:pPr>
              <w:ind w:left="160"/>
              <w:spacing w:after="0" w:line="216" w:lineRule="exact"/>
              <w:rPr>
                <w:sz w:val="20"/>
                <w:szCs w:val="20"/>
                <w:color w:val="auto"/>
              </w:rPr>
            </w:pPr>
            <w:r>
              <w:rPr>
                <w:rFonts w:ascii="Arial" w:cs="Arial" w:eastAsia="Arial" w:hAnsi="Arial"/>
                <w:sz w:val="14"/>
                <w:szCs w:val="14"/>
                <w:color w:val="auto"/>
              </w:rPr>
              <w:t xml:space="preserve">Gain on the sale of the crude oil joint venture interests, net of certain related operating expenses and income taxes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11"/>
        </w:trPr>
        <w:tc>
          <w:tcPr>
            <w:tcW w:w="8080" w:type="dxa"/>
            <w:vAlign w:val="bottom"/>
          </w:tcPr>
          <w:p>
            <w:pPr>
              <w:ind w:left="160"/>
              <w:spacing w:after="0" w:line="211" w:lineRule="exact"/>
              <w:rPr>
                <w:sz w:val="20"/>
                <w:szCs w:val="20"/>
                <w:color w:val="auto"/>
              </w:rPr>
            </w:pPr>
            <w:r>
              <w:rPr>
                <w:rFonts w:ascii="Arial" w:cs="Arial" w:eastAsia="Arial" w:hAnsi="Arial"/>
                <w:sz w:val="14"/>
                <w:szCs w:val="14"/>
                <w:color w:val="auto"/>
              </w:rPr>
              <w:t xml:space="preserve">Executive non-renewal charge, net of income taxes </w:t>
            </w:r>
            <w:r>
              <w:rPr>
                <w:rFonts w:ascii="Arial" w:cs="Arial" w:eastAsia="Arial" w:hAnsi="Arial"/>
                <w:sz w:val="23"/>
                <w:szCs w:val="23"/>
                <w:color w:val="auto"/>
                <w:vertAlign w:val="superscript"/>
              </w:rPr>
              <w:t>(5)</w:t>
            </w:r>
          </w:p>
        </w:tc>
        <w:tc>
          <w:tcPr>
            <w:tcW w:w="1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808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68,142</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60,135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249,099</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230,527</w:t>
            </w:r>
          </w:p>
        </w:tc>
        <w:tc>
          <w:tcPr>
            <w:tcW w:w="20" w:type="dxa"/>
            <w:vAlign w:val="bottom"/>
          </w:tcPr>
          <w:p>
            <w:pPr>
              <w:spacing w:after="0"/>
              <w:rPr>
                <w:sz w:val="14"/>
                <w:szCs w:val="14"/>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808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0.94</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0.73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2.83</w:t>
            </w:r>
          </w:p>
        </w:tc>
      </w:tr>
      <w:tr>
        <w:trPr>
          <w:trHeight w:val="219"/>
        </w:trPr>
        <w:tc>
          <w:tcPr>
            <w:tcW w:w="8080" w:type="dxa"/>
            <w:vAlign w:val="bottom"/>
          </w:tcPr>
          <w:p>
            <w:pPr>
              <w:ind w:left="16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0.16</w:t>
            </w:r>
          </w:p>
        </w:tc>
      </w:tr>
      <w:tr>
        <w:trPr>
          <w:trHeight w:val="216"/>
        </w:trPr>
        <w:tc>
          <w:tcPr>
            <w:tcW w:w="8080" w:type="dxa"/>
            <w:vAlign w:val="bottom"/>
          </w:tcPr>
          <w:p>
            <w:pPr>
              <w:ind w:left="160"/>
              <w:spacing w:after="0" w:line="216"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0.20</w:t>
            </w:r>
          </w:p>
        </w:tc>
      </w:tr>
      <w:tr>
        <w:trPr>
          <w:trHeight w:val="216"/>
        </w:trPr>
        <w:tc>
          <w:tcPr>
            <w:tcW w:w="8080" w:type="dxa"/>
            <w:vAlign w:val="bottom"/>
          </w:tcPr>
          <w:p>
            <w:pPr>
              <w:ind w:left="160"/>
              <w:spacing w:after="0" w:line="216" w:lineRule="exact"/>
              <w:rPr>
                <w:sz w:val="20"/>
                <w:szCs w:val="20"/>
                <w:color w:val="auto"/>
              </w:rPr>
            </w:pPr>
            <w:r>
              <w:rPr>
                <w:rFonts w:ascii="Arial" w:cs="Arial" w:eastAsia="Arial" w:hAnsi="Arial"/>
                <w:sz w:val="14"/>
                <w:szCs w:val="14"/>
                <w:color w:val="auto"/>
              </w:rPr>
              <w:t xml:space="preserve">Expenses related to acquisitions, net of income taxes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0.03</w:t>
            </w:r>
          </w:p>
        </w:tc>
      </w:tr>
      <w:tr>
        <w:trPr>
          <w:trHeight w:val="216"/>
        </w:trPr>
        <w:tc>
          <w:tcPr>
            <w:tcW w:w="8080" w:type="dxa"/>
            <w:vAlign w:val="bottom"/>
          </w:tcPr>
          <w:p>
            <w:pPr>
              <w:ind w:left="160"/>
              <w:spacing w:after="0" w:line="216" w:lineRule="exact"/>
              <w:rPr>
                <w:sz w:val="20"/>
                <w:szCs w:val="20"/>
                <w:color w:val="auto"/>
              </w:rPr>
            </w:pPr>
            <w:r>
              <w:rPr>
                <w:rFonts w:ascii="Arial" w:cs="Arial" w:eastAsia="Arial" w:hAnsi="Arial"/>
                <w:sz w:val="14"/>
                <w:szCs w:val="14"/>
                <w:color w:val="auto"/>
              </w:rPr>
              <w:t xml:space="preserve">Gain on the sale of the crude oil joint venture interests, net of certain related operating expenses and income taxes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11"/>
        </w:trPr>
        <w:tc>
          <w:tcPr>
            <w:tcW w:w="8080" w:type="dxa"/>
            <w:vAlign w:val="bottom"/>
          </w:tcPr>
          <w:p>
            <w:pPr>
              <w:ind w:left="160"/>
              <w:spacing w:after="0" w:line="211" w:lineRule="exact"/>
              <w:rPr>
                <w:sz w:val="20"/>
                <w:szCs w:val="20"/>
                <w:color w:val="auto"/>
              </w:rPr>
            </w:pPr>
            <w:r>
              <w:rPr>
                <w:rFonts w:ascii="Arial" w:cs="Arial" w:eastAsia="Arial" w:hAnsi="Arial"/>
                <w:sz w:val="14"/>
                <w:szCs w:val="14"/>
                <w:color w:val="auto"/>
              </w:rPr>
              <w:t xml:space="preserve">Executive non-renewal charge, net of income taxes </w:t>
            </w:r>
            <w:r>
              <w:rPr>
                <w:rFonts w:ascii="Arial" w:cs="Arial" w:eastAsia="Arial" w:hAnsi="Arial"/>
                <w:sz w:val="23"/>
                <w:szCs w:val="23"/>
                <w:color w:val="auto"/>
                <w:vertAlign w:val="superscript"/>
              </w:rPr>
              <w:t>(5)</w:t>
            </w:r>
          </w:p>
        </w:tc>
        <w:tc>
          <w:tcPr>
            <w:tcW w:w="1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808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0.96</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49</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22</w:t>
            </w:r>
          </w:p>
        </w:tc>
        <w:tc>
          <w:tcPr>
            <w:tcW w:w="20" w:type="dxa"/>
            <w:vAlign w:val="bottom"/>
          </w:tcPr>
          <w:p>
            <w:pPr>
              <w:spacing w:after="0"/>
              <w:rPr>
                <w:sz w:val="14"/>
                <w:szCs w:val="14"/>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ind w:left="160" w:right="1460" w:hanging="152"/>
        <w:spacing w:after="0" w:line="246" w:lineRule="auto"/>
        <w:tabs>
          <w:tab w:leader="none" w:pos="1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share-based compensation expense was $4,443 and $4,137 for the three months ended December 31, 2014 and 2013, respectively, and $14,603 and $16,716 for the year ended December 31, 2014 and 2013, respectively.</w:t>
      </w:r>
    </w:p>
    <w:p>
      <w:pPr>
        <w:ind w:left="160" w:right="1560" w:hanging="152"/>
        <w:spacing w:after="0" w:line="241" w:lineRule="auto"/>
        <w:tabs>
          <w:tab w:leader="none" w:pos="1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intangible asset amortization expense was $9,269 and $5,666 for the three months ended December 31, 2014 and 2013, respectively, and $29,095 and $22,576 for the year ended December 31, 2014 and 2013, respectively.</w:t>
      </w:r>
    </w:p>
    <w:p>
      <w:pPr>
        <w:ind w:left="160" w:right="1620" w:hanging="152"/>
        <w:spacing w:after="0" w:line="241" w:lineRule="auto"/>
        <w:tabs>
          <w:tab w:leader="none" w:pos="1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the expenses related to acquisitions was $358 and $1,822 for the three months ended December 31, 2014 and 2013, respectively, and $2,126 and $1,822 for the year ended December 31, 2014 and 2013, respectively.</w:t>
      </w:r>
    </w:p>
    <w:p>
      <w:pPr>
        <w:ind w:left="160" w:hanging="152"/>
        <w:spacing w:after="0"/>
        <w:tabs>
          <w:tab w:leader="none" w:pos="1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gain on the sale of the crude oil joint venture interests, net of certain related operating expenses, was $16,064 for the year ended December 31, 2014.</w:t>
      </w:r>
    </w:p>
    <w:p>
      <w:pPr>
        <w:spacing w:after="0" w:line="21" w:lineRule="exact"/>
        <w:rPr>
          <w:rFonts w:ascii="Arial" w:cs="Arial" w:eastAsia="Arial" w:hAnsi="Arial"/>
          <w:sz w:val="12"/>
          <w:szCs w:val="12"/>
          <w:color w:val="auto"/>
        </w:rPr>
      </w:pPr>
    </w:p>
    <w:p>
      <w:pPr>
        <w:ind w:left="160" w:hanging="152"/>
        <w:spacing w:after="0"/>
        <w:tabs>
          <w:tab w:leader="none" w:pos="1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the executive non-renewal charge was $4,751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SEGMENTS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2680" w:type="dxa"/>
            <w:vAlign w:val="bottom"/>
            <w:gridSpan w:val="4"/>
          </w:tcPr>
          <w:p>
            <w:pPr>
              <w:jc w:val="right"/>
              <w:ind w:right="108"/>
              <w:spacing w:after="0"/>
              <w:rPr>
                <w:sz w:val="20"/>
                <w:szCs w:val="20"/>
                <w:color w:val="auto"/>
              </w:rPr>
            </w:pPr>
            <w:r>
              <w:rPr>
                <w:rFonts w:ascii="Arial" w:cs="Arial" w:eastAsia="Arial" w:hAnsi="Arial"/>
                <w:sz w:val="14"/>
                <w:szCs w:val="14"/>
                <w:color w:val="auto"/>
              </w:rPr>
              <w:t>For the Three Months ended</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For the Year ended</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color w:val="auto"/>
              </w:rPr>
              <w:t>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December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40" w:type="dxa"/>
            <w:vAlign w:val="bottom"/>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420"/>
              <w:spacing w:after="0"/>
              <w:rPr>
                <w:sz w:val="20"/>
                <w:szCs w:val="20"/>
                <w:color w:val="auto"/>
              </w:rPr>
            </w:pPr>
            <w:r>
              <w:rPr>
                <w:rFonts w:ascii="Arial" w:cs="Arial" w:eastAsia="Arial" w:hAnsi="Arial"/>
                <w:sz w:val="14"/>
                <w:szCs w:val="14"/>
                <w:color w:val="auto"/>
              </w:rPr>
              <w:t>Aviation segment</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3,906,996</w:t>
            </w:r>
          </w:p>
        </w:tc>
        <w:tc>
          <w:tcPr>
            <w:tcW w:w="140" w:type="dxa"/>
            <w:vAlign w:val="bottom"/>
          </w:tcPr>
          <w:p>
            <w:pPr>
              <w:spacing w:after="0"/>
              <w:rPr>
                <w:sz w:val="15"/>
                <w:szCs w:val="15"/>
                <w:color w:val="auto"/>
              </w:rPr>
            </w:pPr>
          </w:p>
        </w:tc>
        <w:tc>
          <w:tcPr>
            <w:tcW w:w="104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4,232,935</w:t>
            </w:r>
          </w:p>
        </w:tc>
        <w:tc>
          <w:tcPr>
            <w:tcW w:w="120" w:type="dxa"/>
            <w:vAlign w:val="bottom"/>
          </w:tcPr>
          <w:p>
            <w:pPr>
              <w:spacing w:after="0"/>
              <w:rPr>
                <w:sz w:val="15"/>
                <w:szCs w:val="15"/>
                <w:color w:val="auto"/>
              </w:rPr>
            </w:pP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17,268,834</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16,087,611</w:t>
            </w:r>
          </w:p>
        </w:tc>
        <w:tc>
          <w:tcPr>
            <w:tcW w:w="0" w:type="dxa"/>
            <w:vAlign w:val="bottom"/>
          </w:tcPr>
          <w:p>
            <w:pPr>
              <w:spacing w:after="0"/>
              <w:rPr>
                <w:sz w:val="1"/>
                <w:szCs w:val="1"/>
                <w:color w:val="auto"/>
              </w:rPr>
            </w:pPr>
          </w:p>
        </w:tc>
      </w:tr>
      <w:tr>
        <w:trPr>
          <w:trHeight w:val="176"/>
        </w:trPr>
        <w:tc>
          <w:tcPr>
            <w:tcW w:w="4840" w:type="dxa"/>
            <w:vAlign w:val="bottom"/>
          </w:tcPr>
          <w:p>
            <w:pPr>
              <w:ind w:left="420"/>
              <w:spacing w:after="0"/>
              <w:rPr>
                <w:sz w:val="20"/>
                <w:szCs w:val="20"/>
                <w:color w:val="auto"/>
              </w:rPr>
            </w:pPr>
            <w:r>
              <w:rPr>
                <w:rFonts w:ascii="Arial" w:cs="Arial" w:eastAsia="Arial" w:hAnsi="Arial"/>
                <w:sz w:val="14"/>
                <w:szCs w:val="14"/>
                <w:color w:val="auto"/>
              </w:rPr>
              <w:t>Marine segment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3,104,661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3,530,317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13,843,307</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14,790,342</w:t>
            </w:r>
          </w:p>
        </w:tc>
        <w:tc>
          <w:tcPr>
            <w:tcW w:w="0" w:type="dxa"/>
            <w:vAlign w:val="bottom"/>
          </w:tcPr>
          <w:p>
            <w:pPr>
              <w:spacing w:after="0"/>
              <w:rPr>
                <w:sz w:val="1"/>
                <w:szCs w:val="1"/>
                <w:color w:val="auto"/>
              </w:rPr>
            </w:pPr>
          </w:p>
        </w:tc>
      </w:tr>
      <w:tr>
        <w:trPr>
          <w:trHeight w:val="181"/>
        </w:trPr>
        <w:tc>
          <w:tcPr>
            <w:tcW w:w="4840" w:type="dxa"/>
            <w:vAlign w:val="bottom"/>
          </w:tcPr>
          <w:p>
            <w:pPr>
              <w:ind w:left="420"/>
              <w:spacing w:after="0"/>
              <w:rPr>
                <w:sz w:val="20"/>
                <w:szCs w:val="20"/>
                <w:color w:val="auto"/>
              </w:rPr>
            </w:pPr>
            <w:r>
              <w:rPr>
                <w:rFonts w:ascii="Arial" w:cs="Arial" w:eastAsia="Arial" w:hAnsi="Arial"/>
                <w:sz w:val="14"/>
                <w:szCs w:val="14"/>
                <w:color w:val="auto"/>
              </w:rPr>
              <w:t>Land segment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2,767,898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2,641,401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12,274,248</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10,683,994</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9,779,555</w:t>
            </w:r>
          </w:p>
        </w:tc>
        <w:tc>
          <w:tcPr>
            <w:tcW w:w="1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10,404,653</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43,386,389</w:t>
            </w: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41,561,947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420"/>
              <w:spacing w:after="0"/>
              <w:rPr>
                <w:sz w:val="20"/>
                <w:szCs w:val="20"/>
                <w:color w:val="auto"/>
              </w:rPr>
            </w:pPr>
            <w:r>
              <w:rPr>
                <w:rFonts w:ascii="Arial" w:cs="Arial" w:eastAsia="Arial" w:hAnsi="Arial"/>
                <w:sz w:val="14"/>
                <w:szCs w:val="14"/>
                <w:color w:val="auto"/>
              </w:rPr>
              <w:t>Aviation segment</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74,616</w:t>
            </w:r>
          </w:p>
        </w:tc>
        <w:tc>
          <w:tcPr>
            <w:tcW w:w="140" w:type="dxa"/>
            <w:vAlign w:val="bottom"/>
          </w:tcPr>
          <w:p>
            <w:pPr>
              <w:spacing w:after="0"/>
              <w:rPr>
                <w:sz w:val="15"/>
                <w:szCs w:val="15"/>
                <w:color w:val="auto"/>
              </w:rPr>
            </w:pPr>
          </w:p>
        </w:tc>
        <w:tc>
          <w:tcPr>
            <w:tcW w:w="104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84,395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321,596</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327,178</w:t>
            </w:r>
          </w:p>
        </w:tc>
        <w:tc>
          <w:tcPr>
            <w:tcW w:w="0" w:type="dxa"/>
            <w:vAlign w:val="bottom"/>
          </w:tcPr>
          <w:p>
            <w:pPr>
              <w:spacing w:after="0"/>
              <w:rPr>
                <w:sz w:val="1"/>
                <w:szCs w:val="1"/>
                <w:color w:val="auto"/>
              </w:rPr>
            </w:pPr>
          </w:p>
        </w:tc>
      </w:tr>
      <w:tr>
        <w:trPr>
          <w:trHeight w:val="176"/>
        </w:trPr>
        <w:tc>
          <w:tcPr>
            <w:tcW w:w="4840" w:type="dxa"/>
            <w:vAlign w:val="bottom"/>
          </w:tcPr>
          <w:p>
            <w:pPr>
              <w:ind w:left="420"/>
              <w:spacing w:after="0"/>
              <w:rPr>
                <w:sz w:val="20"/>
                <w:szCs w:val="20"/>
                <w:color w:val="auto"/>
              </w:rPr>
            </w:pPr>
            <w:r>
              <w:rPr>
                <w:rFonts w:ascii="Arial" w:cs="Arial" w:eastAsia="Arial" w:hAnsi="Arial"/>
                <w:sz w:val="14"/>
                <w:szCs w:val="14"/>
                <w:color w:val="auto"/>
              </w:rPr>
              <w:t>Marine segment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59,525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42,815</w:t>
            </w: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205,612</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177,052</w:t>
            </w:r>
          </w:p>
        </w:tc>
        <w:tc>
          <w:tcPr>
            <w:tcW w:w="0" w:type="dxa"/>
            <w:vAlign w:val="bottom"/>
          </w:tcPr>
          <w:p>
            <w:pPr>
              <w:spacing w:after="0"/>
              <w:rPr>
                <w:sz w:val="1"/>
                <w:szCs w:val="1"/>
                <w:color w:val="auto"/>
              </w:rPr>
            </w:pPr>
          </w:p>
        </w:tc>
      </w:tr>
      <w:tr>
        <w:trPr>
          <w:trHeight w:val="181"/>
        </w:trPr>
        <w:tc>
          <w:tcPr>
            <w:tcW w:w="4840" w:type="dxa"/>
            <w:vAlign w:val="bottom"/>
          </w:tcPr>
          <w:p>
            <w:pPr>
              <w:ind w:left="420"/>
              <w:spacing w:after="0"/>
              <w:rPr>
                <w:sz w:val="20"/>
                <w:szCs w:val="20"/>
                <w:color w:val="auto"/>
              </w:rPr>
            </w:pPr>
            <w:r>
              <w:rPr>
                <w:rFonts w:ascii="Arial" w:cs="Arial" w:eastAsia="Arial" w:hAnsi="Arial"/>
                <w:sz w:val="14"/>
                <w:szCs w:val="14"/>
                <w:color w:val="auto"/>
              </w:rPr>
              <w:t>Land segment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85,325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68,370</w:t>
            </w: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286,414</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248,528</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219,466</w:t>
            </w:r>
          </w:p>
        </w:tc>
        <w:tc>
          <w:tcPr>
            <w:tcW w:w="1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195,580</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813,622</w:t>
            </w: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752,758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420"/>
              <w:spacing w:after="0"/>
              <w:rPr>
                <w:sz w:val="20"/>
                <w:szCs w:val="20"/>
                <w:color w:val="auto"/>
              </w:rPr>
            </w:pPr>
            <w:r>
              <w:rPr>
                <w:rFonts w:ascii="Arial" w:cs="Arial" w:eastAsia="Arial" w:hAnsi="Arial"/>
                <w:sz w:val="14"/>
                <w:szCs w:val="14"/>
                <w:color w:val="auto"/>
              </w:rPr>
              <w:t>Aviation segment</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27,750</w:t>
            </w:r>
          </w:p>
        </w:tc>
        <w:tc>
          <w:tcPr>
            <w:tcW w:w="140" w:type="dxa"/>
            <w:vAlign w:val="bottom"/>
          </w:tcPr>
          <w:p>
            <w:pPr>
              <w:spacing w:after="0"/>
              <w:rPr>
                <w:sz w:val="15"/>
                <w:szCs w:val="15"/>
                <w:color w:val="auto"/>
              </w:rPr>
            </w:pPr>
          </w:p>
        </w:tc>
        <w:tc>
          <w:tcPr>
            <w:tcW w:w="104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41,131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142,303</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150,886</w:t>
            </w:r>
          </w:p>
        </w:tc>
        <w:tc>
          <w:tcPr>
            <w:tcW w:w="0" w:type="dxa"/>
            <w:vAlign w:val="bottom"/>
          </w:tcPr>
          <w:p>
            <w:pPr>
              <w:spacing w:after="0"/>
              <w:rPr>
                <w:sz w:val="1"/>
                <w:szCs w:val="1"/>
                <w:color w:val="auto"/>
              </w:rPr>
            </w:pPr>
          </w:p>
        </w:tc>
      </w:tr>
      <w:tr>
        <w:trPr>
          <w:trHeight w:val="176"/>
        </w:trPr>
        <w:tc>
          <w:tcPr>
            <w:tcW w:w="4840" w:type="dxa"/>
            <w:vAlign w:val="bottom"/>
          </w:tcPr>
          <w:p>
            <w:pPr>
              <w:ind w:left="420"/>
              <w:spacing w:after="0"/>
              <w:rPr>
                <w:sz w:val="20"/>
                <w:szCs w:val="20"/>
                <w:color w:val="auto"/>
              </w:rPr>
            </w:pPr>
            <w:r>
              <w:rPr>
                <w:rFonts w:ascii="Arial" w:cs="Arial" w:eastAsia="Arial" w:hAnsi="Arial"/>
                <w:sz w:val="14"/>
                <w:szCs w:val="14"/>
                <w:color w:val="auto"/>
              </w:rPr>
              <w:t>Marine segment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27,126</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17,430</w:t>
            </w: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90,029</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73,770</w:t>
            </w:r>
          </w:p>
        </w:tc>
        <w:tc>
          <w:tcPr>
            <w:tcW w:w="0" w:type="dxa"/>
            <w:vAlign w:val="bottom"/>
          </w:tcPr>
          <w:p>
            <w:pPr>
              <w:spacing w:after="0"/>
              <w:rPr>
                <w:sz w:val="1"/>
                <w:szCs w:val="1"/>
                <w:color w:val="auto"/>
              </w:rPr>
            </w:pPr>
          </w:p>
        </w:tc>
      </w:tr>
      <w:tr>
        <w:trPr>
          <w:trHeight w:val="181"/>
        </w:trPr>
        <w:tc>
          <w:tcPr>
            <w:tcW w:w="4840" w:type="dxa"/>
            <w:vAlign w:val="bottom"/>
          </w:tcPr>
          <w:p>
            <w:pPr>
              <w:ind w:left="420"/>
              <w:spacing w:after="0"/>
              <w:rPr>
                <w:sz w:val="20"/>
                <w:szCs w:val="20"/>
                <w:color w:val="auto"/>
              </w:rPr>
            </w:pPr>
            <w:r>
              <w:rPr>
                <w:rFonts w:ascii="Arial" w:cs="Arial" w:eastAsia="Arial" w:hAnsi="Arial"/>
                <w:sz w:val="14"/>
                <w:szCs w:val="14"/>
                <w:color w:val="auto"/>
              </w:rPr>
              <w:t>Land segment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30,315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21,159</w:t>
            </w: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90,335</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84,767</w:t>
            </w:r>
          </w:p>
        </w:tc>
        <w:tc>
          <w:tcPr>
            <w:tcW w:w="0" w:type="dxa"/>
            <w:vAlign w:val="bottom"/>
          </w:tcPr>
          <w:p>
            <w:pPr>
              <w:spacing w:after="0"/>
              <w:rPr>
                <w:sz w:val="1"/>
                <w:szCs w:val="1"/>
                <w:color w:val="auto"/>
              </w:rPr>
            </w:pPr>
          </w:p>
        </w:tc>
      </w:tr>
      <w:tr>
        <w:trPr>
          <w:trHeight w:val="164"/>
        </w:trPr>
        <w:tc>
          <w:tcPr>
            <w:tcW w:w="48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85,191</w:t>
            </w:r>
          </w:p>
        </w:tc>
        <w:tc>
          <w:tcPr>
            <w:tcW w:w="1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79,720</w:t>
            </w: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322,667</w:t>
            </w:r>
          </w:p>
        </w:tc>
        <w:tc>
          <w:tcPr>
            <w:tcW w:w="1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309,423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40" w:type="dxa"/>
            <w:vAlign w:val="bottom"/>
          </w:tcPr>
          <w:p>
            <w:pPr>
              <w:ind w:left="420"/>
              <w:spacing w:after="0"/>
              <w:rPr>
                <w:sz w:val="20"/>
                <w:szCs w:val="20"/>
                <w:color w:val="auto"/>
              </w:rPr>
            </w:pPr>
            <w:r>
              <w:rPr>
                <w:rFonts w:ascii="Arial" w:cs="Arial" w:eastAsia="Arial" w:hAnsi="Arial"/>
                <w:sz w:val="14"/>
                <w:szCs w:val="14"/>
                <w:color w:val="auto"/>
              </w:rPr>
              <w:t>Corporate overhead - unallocated</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14,262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15,242</w:t>
            </w: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53,519</w:t>
            </w: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45,065</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70,929</w:t>
            </w:r>
          </w:p>
        </w:tc>
        <w:tc>
          <w:tcPr>
            <w:tcW w:w="1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64,478</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269,148</w:t>
            </w: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264,358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w:t>
      </w:r>
    </w:p>
    <w:p>
      <w:pPr>
        <w:spacing w:after="0" w:line="231" w:lineRule="auto"/>
        <w:rPr>
          <w:sz w:val="20"/>
          <w:szCs w:val="20"/>
          <w:color w:val="auto"/>
        </w:rPr>
      </w:pPr>
      <w:r>
        <w:rPr>
          <w:rFonts w:ascii="Arial" w:cs="Arial" w:eastAsia="Arial" w:hAnsi="Arial"/>
          <w:sz w:val="22"/>
          <w:szCs w:val="22"/>
          <w:color w:val="auto"/>
        </w:rPr>
        <w:t>Vice President, Assistant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2019-12-05T23:40:05Z</dcterms:created>
  <dcterms:modified xsi:type="dcterms:W3CDTF">2019-12-05T23:40:05Z</dcterms:modified>
</cp:coreProperties>
</file>