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STEBBINS PAUL 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200"/>
        <w:spacing w:after="0" w:line="331" w:lineRule="auto"/>
        <w:rPr>
          <w:sz w:val="20"/>
          <w:szCs w:val="20"/>
          <w:color w:val="auto"/>
        </w:rPr>
      </w:pPr>
      <w:r>
        <w:rPr>
          <w:rFonts w:ascii="Arial" w:cs="Arial" w:eastAsia="Arial" w:hAnsi="Arial"/>
          <w:sz w:val="18"/>
          <w:szCs w:val="18"/>
          <w:color w:val="0000FF"/>
        </w:rPr>
        <w:t>C/O WORLD FUEL SERVICES CORPORATION 9800 N.W. 41ST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20" w:type="dxa"/>
            <w:vAlign w:val="bottom"/>
          </w:tcPr>
          <w:p>
            <w:pPr>
              <w:spacing w:after="0"/>
              <w:rPr>
                <w:sz w:val="20"/>
                <w:szCs w:val="20"/>
                <w:color w:val="auto"/>
              </w:rPr>
            </w:pPr>
            <w:r>
              <w:rPr>
                <w:rFonts w:ascii="Arial" w:cs="Arial" w:eastAsia="Arial" w:hAnsi="Arial"/>
                <w:sz w:val="18"/>
                <w:szCs w:val="18"/>
                <w:color w:val="0000FF"/>
              </w:rPr>
              <w:t>MIAMI</w:t>
            </w:r>
          </w:p>
        </w:tc>
        <w:tc>
          <w:tcPr>
            <w:tcW w:w="1200" w:type="dxa"/>
            <w:vAlign w:val="bottom"/>
          </w:tcPr>
          <w:p>
            <w:pPr>
              <w:ind w:left="360"/>
              <w:spacing w:after="0"/>
              <w:rPr>
                <w:sz w:val="20"/>
                <w:szCs w:val="20"/>
                <w:color w:val="auto"/>
              </w:rPr>
            </w:pPr>
            <w:r>
              <w:rPr>
                <w:rFonts w:ascii="Arial" w:cs="Arial" w:eastAsia="Arial" w:hAnsi="Arial"/>
                <w:sz w:val="18"/>
                <w:szCs w:val="18"/>
                <w:color w:val="0000FF"/>
              </w:rPr>
              <w:t>FL</w:t>
            </w:r>
          </w:p>
        </w:tc>
        <w:tc>
          <w:tcPr>
            <w:tcW w:w="1680" w:type="dxa"/>
            <w:vAlign w:val="bottom"/>
          </w:tcPr>
          <w:p>
            <w:pPr>
              <w:ind w:left="420"/>
              <w:spacing w:after="0"/>
              <w:rPr>
                <w:sz w:val="20"/>
                <w:szCs w:val="20"/>
                <w:color w:val="auto"/>
              </w:rPr>
            </w:pPr>
            <w:r>
              <w:rPr>
                <w:rFonts w:ascii="Arial" w:cs="Arial" w:eastAsia="Arial" w:hAnsi="Arial"/>
                <w:sz w:val="18"/>
                <w:szCs w:val="18"/>
                <w:color w:val="0000FF"/>
              </w:rPr>
              <w:t>33178</w:t>
            </w:r>
          </w:p>
        </w:tc>
      </w:tr>
      <w:tr>
        <w:trPr>
          <w:trHeight w:val="158"/>
        </w:trPr>
        <w:tc>
          <w:tcPr>
            <w:tcW w:w="40" w:type="dxa"/>
            <w:vAlign w:val="bottom"/>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3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WORLD FUEL SERVICES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INT</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940" w:type="dxa"/>
            <w:vAlign w:val="bottom"/>
            <w:tcBorders>
              <w:bottom w:val="single" w:sz="8" w:color="0000EE"/>
            </w:tcBorders>
          </w:tcPr>
          <w:p>
            <w:pPr>
              <w:spacing w:after="0"/>
              <w:rPr>
                <w:sz w:val="3"/>
                <w:szCs w:val="3"/>
                <w:color w:val="auto"/>
              </w:rPr>
            </w:pPr>
          </w:p>
        </w:tc>
        <w:tc>
          <w:tcPr>
            <w:tcW w:w="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9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40" w:type="dxa"/>
            <w:vAlign w:val="bottom"/>
            <w:gridSpan w:val="3"/>
          </w:tcPr>
          <w:p>
            <w:pPr>
              <w:ind w:left="80"/>
              <w:spacing w:after="0"/>
              <w:rPr>
                <w:sz w:val="20"/>
                <w:szCs w:val="20"/>
                <w:color w:val="auto"/>
              </w:rPr>
            </w:pPr>
            <w:r>
              <w:rPr>
                <w:rFonts w:ascii="Arial" w:cs="Arial" w:eastAsia="Arial" w:hAnsi="Arial"/>
                <w:sz w:val="18"/>
                <w:szCs w:val="18"/>
                <w:color w:val="0000FF"/>
              </w:rPr>
              <w:t>05/26/2016</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4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4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760" w:type="dxa"/>
            <w:vAlign w:val="bottom"/>
            <w:gridSpan w:val="2"/>
          </w:tcPr>
          <w:p>
            <w:pPr>
              <w:ind w:left="740"/>
              <w:spacing w:after="0"/>
              <w:rPr>
                <w:sz w:val="20"/>
                <w:szCs w:val="20"/>
                <w:color w:val="auto"/>
              </w:rPr>
            </w:pPr>
            <w:r>
              <w:rPr>
                <w:rFonts w:ascii="Arial" w:cs="Arial" w:eastAsia="Arial" w:hAnsi="Arial"/>
                <w:sz w:val="18"/>
                <w:szCs w:val="18"/>
                <w:color w:val="0000FF"/>
              </w:rPr>
              <w:t>02/19/2016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ind w:left="180"/>
              <w:spacing w:after="0"/>
              <w:rPr>
                <w:sz w:val="20"/>
                <w:szCs w:val="20"/>
                <w:color w:val="auto"/>
              </w:rPr>
            </w:pPr>
            <w:r>
              <w:rPr>
                <w:rFonts w:ascii="Arial" w:cs="Arial" w:eastAsia="Arial" w:hAnsi="Arial"/>
                <w:sz w:val="14"/>
                <w:szCs w:val="14"/>
                <w:color w:val="0000FF"/>
              </w:rPr>
              <w:t>G</w:t>
            </w:r>
          </w:p>
        </w:tc>
        <w:tc>
          <w:tcPr>
            <w:tcW w:w="340" w:type="dxa"/>
            <w:vAlign w:val="bottom"/>
          </w:tcPr>
          <w:p>
            <w:pPr>
              <w:ind w:left="140"/>
              <w:spacing w:after="0"/>
              <w:rPr>
                <w:sz w:val="20"/>
                <w:szCs w:val="20"/>
                <w:color w:val="auto"/>
              </w:rPr>
            </w:pPr>
            <w:r>
              <w:rPr>
                <w:rFonts w:ascii="Arial" w:cs="Arial" w:eastAsia="Arial" w:hAnsi="Arial"/>
                <w:sz w:val="14"/>
                <w:szCs w:val="14"/>
                <w:color w:val="0000FF"/>
              </w:rPr>
              <w:t>V</w:t>
            </w:r>
          </w:p>
        </w:tc>
        <w:tc>
          <w:tcPr>
            <w:tcW w:w="760" w:type="dxa"/>
            <w:vAlign w:val="bottom"/>
          </w:tcPr>
          <w:p>
            <w:pPr>
              <w:jc w:val="right"/>
              <w:ind w:right="32"/>
              <w:spacing w:after="0"/>
              <w:rPr>
                <w:sz w:val="20"/>
                <w:szCs w:val="20"/>
                <w:color w:val="auto"/>
              </w:rPr>
            </w:pPr>
            <w:r>
              <w:rPr>
                <w:rFonts w:ascii="Arial" w:cs="Arial" w:eastAsia="Arial" w:hAnsi="Arial"/>
                <w:sz w:val="18"/>
                <w:szCs w:val="18"/>
                <w:color w:val="0000FF"/>
              </w:rPr>
              <w:t>2,800</w:t>
            </w:r>
          </w:p>
        </w:tc>
        <w:tc>
          <w:tcPr>
            <w:tcW w:w="460" w:type="dxa"/>
            <w:vAlign w:val="bottom"/>
          </w:tcPr>
          <w:p>
            <w:pPr>
              <w:ind w:left="32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18"/>
                <w:szCs w:val="18"/>
                <w:color w:val="auto"/>
              </w:rPr>
            </w:pPr>
          </w:p>
        </w:tc>
        <w:tc>
          <w:tcPr>
            <w:tcW w:w="600" w:type="dxa"/>
            <w:vAlign w:val="bottom"/>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gridSpan w:val="2"/>
          </w:tcPr>
          <w:p>
            <w:pPr>
              <w:jc w:val="center"/>
              <w:ind w:right="19"/>
              <w:spacing w:after="0" w:line="217" w:lineRule="exact"/>
              <w:rPr>
                <w:sz w:val="20"/>
                <w:szCs w:val="20"/>
                <w:color w:val="auto"/>
              </w:rPr>
            </w:pPr>
            <w:r>
              <w:rPr>
                <w:rFonts w:ascii="Arial" w:cs="Arial" w:eastAsia="Arial" w:hAnsi="Arial"/>
                <w:sz w:val="18"/>
                <w:szCs w:val="18"/>
                <w:color w:val="0000FF"/>
                <w:w w:val="84"/>
              </w:rPr>
              <w:t>100,000</w:t>
            </w:r>
            <w:r>
              <w:rPr>
                <w:rFonts w:ascii="Arial" w:cs="Arial" w:eastAsia="Arial" w:hAnsi="Arial"/>
                <w:sz w:val="22"/>
                <w:szCs w:val="22"/>
                <w:color w:val="008000"/>
                <w:w w:val="84"/>
                <w:vertAlign w:val="superscript"/>
              </w:rPr>
              <w:t>(1)</w:t>
            </w:r>
          </w:p>
        </w:tc>
        <w:tc>
          <w:tcPr>
            <w:tcW w:w="940" w:type="dxa"/>
            <w:vAlign w:val="bottom"/>
          </w:tcPr>
          <w:p>
            <w:pPr>
              <w:jc w:val="center"/>
              <w:ind w:right="52"/>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r>
              <w:rPr>
                <w:rFonts w:ascii="Arial" w:cs="Arial" w:eastAsia="Arial" w:hAnsi="Arial"/>
                <w:sz w:val="22"/>
                <w:szCs w:val="22"/>
                <w:color w:val="008000"/>
                <w:vertAlign w:val="superscript"/>
              </w:rPr>
              <w:t>(2)</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05/26/2016</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3,139</w:t>
            </w:r>
            <w:r>
              <w:rPr>
                <w:rFonts w:ascii="Arial" w:cs="Arial" w:eastAsia="Arial" w:hAnsi="Arial"/>
                <w:sz w:val="22"/>
                <w:szCs w:val="22"/>
                <w:color w:val="008000"/>
                <w:vertAlign w:val="superscript"/>
              </w:rPr>
              <w:t>(3)</w:t>
            </w:r>
          </w:p>
        </w:tc>
        <w:tc>
          <w:tcPr>
            <w:tcW w:w="46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w w:val="99"/>
              </w:rPr>
              <w:t>A</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7,745</w:t>
            </w:r>
          </w:p>
        </w:tc>
        <w:tc>
          <w:tcPr>
            <w:tcW w:w="94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jc w:val="center"/>
              <w:ind w:right="19"/>
              <w:spacing w:after="0"/>
              <w:rPr>
                <w:sz w:val="20"/>
                <w:szCs w:val="20"/>
                <w:color w:val="auto"/>
              </w:rPr>
            </w:pPr>
            <w:r>
              <w:rPr>
                <w:rFonts w:ascii="Arial" w:cs="Arial" w:eastAsia="Arial" w:hAnsi="Arial"/>
                <w:sz w:val="18"/>
                <w:szCs w:val="18"/>
                <w:color w:val="0000FF"/>
                <w:w w:val="84"/>
              </w:rPr>
              <w:t>275,251</w:t>
            </w:r>
            <w:r>
              <w:rPr>
                <w:rFonts w:ascii="Arial" w:cs="Arial" w:eastAsia="Arial" w:hAnsi="Arial"/>
                <w:sz w:val="22"/>
                <w:szCs w:val="22"/>
                <w:color w:val="008000"/>
                <w:w w:val="84"/>
                <w:vertAlign w:val="superscript"/>
              </w:rPr>
              <w:t>(4)</w:t>
            </w:r>
          </w:p>
        </w:tc>
        <w:tc>
          <w:tcPr>
            <w:tcW w:w="94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I</w:t>
            </w:r>
          </w:p>
        </w:tc>
        <w:tc>
          <w:tcPr>
            <w:tcW w:w="840" w:type="dxa"/>
            <w:vAlign w:val="bottom"/>
            <w:tcBorders>
              <w:bottom w:val="single" w:sz="8" w:color="2C2C2C"/>
            </w:tcBorders>
            <w:gridSpan w:val="2"/>
          </w:tcPr>
          <w:p>
            <w:pPr>
              <w:ind w:left="20"/>
              <w:spacing w:after="0"/>
              <w:rPr>
                <w:sz w:val="20"/>
                <w:szCs w:val="20"/>
                <w:color w:val="auto"/>
              </w:rPr>
            </w:pPr>
            <w:r>
              <w:rPr>
                <w:rFonts w:ascii="Arial" w:cs="Arial" w:eastAsia="Arial" w:hAnsi="Arial"/>
                <w:sz w:val="18"/>
                <w:szCs w:val="18"/>
                <w:color w:val="0000FF"/>
              </w:rPr>
              <w:t>By GRAT</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00" w:type="dxa"/>
            <w:vAlign w:val="bottom"/>
            <w:gridSpan w:val="12"/>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shares previously held directly by the reporting person and indirectly by the reporting person's grantor retained annuity trust ("GRAT") which were contributed to the Paul Stebbins Revocable Trust, of which the reporting person is the trustee (the "Revocable Trust").</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These shares were issued as a restricted stock unit grant to the reporting person by the issuer under the issuer's 2006 Omnibus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shall vest on the earlier of: (i) the day prior to the annual meeting of the shareholders of the issuer that next follows the grant date or (ii) the one-year anniversary of the grant date.</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previously held directly by the Revocable Trust which were contributed to the GRAT.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400" w:type="dxa"/>
            <w:vAlign w:val="bottom"/>
          </w:tcPr>
          <w:p>
            <w:pPr>
              <w:spacing w:after="0"/>
              <w:rPr>
                <w:sz w:val="20"/>
                <w:szCs w:val="20"/>
                <w:color w:val="auto"/>
              </w:rPr>
            </w:pPr>
            <w:r>
              <w:rPr>
                <w:rFonts w:ascii="Arial" w:cs="Arial" w:eastAsia="Arial" w:hAnsi="Arial"/>
                <w:sz w:val="18"/>
                <w:szCs w:val="18"/>
                <w:color w:val="0000FF"/>
                <w:w w:val="87"/>
              </w:rPr>
              <w:t>/s/ Paul H. Stebbins</w:t>
            </w:r>
          </w:p>
        </w:tc>
        <w:tc>
          <w:tcPr>
            <w:tcW w:w="72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05/31/2016</w:t>
            </w:r>
          </w:p>
        </w:tc>
      </w:tr>
      <w:tr>
        <w:trPr>
          <w:trHeight w:val="20"/>
        </w:trPr>
        <w:tc>
          <w:tcPr>
            <w:tcW w:w="14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6725"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2019-12-24T03:26:30Z</dcterms:created>
  <dcterms:modified xsi:type="dcterms:W3CDTF">2019-12-24T03:26:30Z</dcterms:modified>
</cp:coreProperties>
</file>