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Velazquez Carlos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SVP, Chief Accounting Officer</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08/10/2017</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08/10/2017</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611</w:t>
            </w:r>
            <w:r>
              <w:rPr>
                <w:rFonts w:ascii="Arial" w:cs="Arial" w:eastAsia="Arial" w:hAnsi="Arial"/>
                <w:sz w:val="22"/>
                <w:szCs w:val="22"/>
                <w:color w:val="008000"/>
                <w:vertAlign w:val="superscript"/>
              </w:rPr>
              <w:t>(1)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33.39</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16,946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08/11/2017</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6,850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33.74</w:t>
            </w:r>
            <w:r>
              <w:rPr>
                <w:rFonts w:ascii="Arial" w:cs="Arial" w:eastAsia="Arial" w:hAnsi="Arial"/>
                <w:sz w:val="22"/>
                <w:szCs w:val="22"/>
                <w:color w:val="008000"/>
                <w:w w:val="93"/>
                <w:vertAlign w:val="superscript"/>
              </w:rPr>
              <w:t>(3)</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10,096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2,231 shares of restricted stock held by the reporting person vested and settled on August 10, 2017. The issuer withheld the reported shares to cover the reporting person's tax liability associated with these shares of restricted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shown is the closing price for the issuer's common stock on the NYSE on August 10, 2017.</w:t>
      </w:r>
    </w:p>
    <w:p>
      <w:pPr>
        <w:spacing w:after="0" w:line="41" w:lineRule="exact"/>
        <w:rPr>
          <w:rFonts w:ascii="Arial" w:cs="Arial" w:eastAsia="Arial" w:hAnsi="Arial"/>
          <w:sz w:val="14"/>
          <w:szCs w:val="14"/>
          <w:color w:val="008000"/>
        </w:rPr>
      </w:pPr>
    </w:p>
    <w:p>
      <w:pPr>
        <w:ind w:left="40" w:right="12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represents the weighted average sale price for multiple transactions reported on this line. The prices of the transactions ranged from $33.70 to $33.76, inclusive. The reporting person undertakes to provide the issuer and will provide any security holder of the issuer or the SEC staff, upon request, information regarding the number of shares sold at each separate price within the range.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08/14/2017</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3852"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2019-12-24T03:42:57Z</dcterms:created>
  <dcterms:modified xsi:type="dcterms:W3CDTF">2019-12-24T03:42:57Z</dcterms:modified>
</cp:coreProperties>
</file>