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14A INFORMATION</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4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30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 Exercise Your </w:t>
      </w:r>
      <w:r>
        <w:rPr>
          <w:rFonts w:ascii="Arial" w:cs="Arial" w:eastAsia="Arial" w:hAnsi="Arial"/>
          <w:sz w:val="20"/>
          <w:szCs w:val="20"/>
          <w:b w:val="1"/>
          <w:bCs w:val="1"/>
          <w:i w:val="1"/>
          <w:iCs w:val="1"/>
          <w:color w:val="auto"/>
        </w:rPr>
        <w:t>Right</w:t>
      </w:r>
      <w:r>
        <w:rPr>
          <w:rFonts w:ascii="Arial" w:cs="Arial" w:eastAsia="Arial" w:hAnsi="Arial"/>
          <w:sz w:val="20"/>
          <w:szCs w:val="20"/>
          <w:b w:val="1"/>
          <w:bCs w:val="1"/>
          <w:color w:val="auto"/>
        </w:rPr>
        <w:t xml:space="preserve"> to Vote ***</w:t>
      </w:r>
    </w:p>
    <w:p>
      <w:pPr>
        <w:spacing w:after="0" w:line="40"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9980" w:type="dxa"/>
            <w:vAlign w:val="bottom"/>
            <w:gridSpan w:val="5"/>
          </w:tcPr>
          <w:p>
            <w:pPr>
              <w:ind w:left="2020"/>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980" w:type="dxa"/>
            <w:vAlign w:val="bottom"/>
            <w:gridSpan w:val="5"/>
          </w:tcPr>
          <w:p>
            <w:pPr>
              <w:ind w:left="2920"/>
              <w:spacing w:after="0"/>
              <w:rPr>
                <w:sz w:val="20"/>
                <w:szCs w:val="20"/>
                <w:color w:val="auto"/>
              </w:rPr>
            </w:pPr>
            <w:r>
              <w:rPr>
                <w:rFonts w:ascii="Arial" w:cs="Arial" w:eastAsia="Arial" w:hAnsi="Arial"/>
                <w:sz w:val="20"/>
                <w:szCs w:val="20"/>
                <w:b w:val="1"/>
                <w:bCs w:val="1"/>
                <w:color w:val="auto"/>
              </w:rPr>
              <w:t>Shareholder Meeting to Be Held on May 25, 2017.</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4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4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WORLD FUEL SERVICES CORPORATION</w:t>
            </w:r>
          </w:p>
        </w:tc>
        <w:tc>
          <w:tcPr>
            <w:tcW w:w="240" w:type="dxa"/>
            <w:vAlign w:val="bottom"/>
            <w:tcBorders>
              <w:right w:val="single" w:sz="8" w:color="auto"/>
            </w:tcBorders>
          </w:tcPr>
          <w:p>
            <w:pPr>
              <w:spacing w:after="0"/>
              <w:rPr>
                <w:sz w:val="20"/>
                <w:szCs w:val="20"/>
                <w:color w:val="auto"/>
              </w:rPr>
            </w:pPr>
          </w:p>
        </w:tc>
        <w:tc>
          <w:tcPr>
            <w:tcW w:w="17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Meeting Type:</w:t>
            </w:r>
          </w:p>
        </w:tc>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Meeting Information</w:t>
            </w: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440" w:type="dxa"/>
            <w:vAlign w:val="bottom"/>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4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color w:val="auto"/>
              </w:rPr>
              <w:t>Annual Meeting</w:t>
            </w:r>
          </w:p>
        </w:tc>
        <w:tc>
          <w:tcPr>
            <w:tcW w:w="2100" w:type="dxa"/>
            <w:vAlign w:val="bottom"/>
            <w:vMerge w:val="restart"/>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40" w:type="dxa"/>
            <w:vAlign w:val="bottom"/>
            <w:vMerge w:val="continue"/>
          </w:tcPr>
          <w:p>
            <w:pPr>
              <w:spacing w:after="0"/>
              <w:rPr>
                <w:sz w:val="16"/>
                <w:szCs w:val="16"/>
                <w:color w:val="auto"/>
              </w:rPr>
            </w:pPr>
          </w:p>
        </w:tc>
        <w:tc>
          <w:tcPr>
            <w:tcW w:w="240" w:type="dxa"/>
            <w:vAlign w:val="bottom"/>
            <w:tcBorders>
              <w:right w:val="single" w:sz="8" w:color="auto"/>
            </w:tcBorders>
            <w:shd w:val="clear" w:color="auto" w:fill="CCCCCC"/>
          </w:tcPr>
          <w:p>
            <w:pPr>
              <w:spacing w:after="0"/>
              <w:rPr>
                <w:sz w:val="16"/>
                <w:szCs w:val="16"/>
                <w:color w:val="auto"/>
              </w:rPr>
            </w:pPr>
          </w:p>
        </w:tc>
        <w:tc>
          <w:tcPr>
            <w:tcW w:w="176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For holders as of:</w:t>
            </w:r>
          </w:p>
        </w:tc>
        <w:tc>
          <w:tcPr>
            <w:tcW w:w="3540" w:type="dxa"/>
            <w:vAlign w:val="bottom"/>
            <w:gridSpan w:val="2"/>
          </w:tcPr>
          <w:p>
            <w:pPr>
              <w:ind w:left="300"/>
              <w:spacing w:after="0"/>
              <w:rPr>
                <w:sz w:val="20"/>
                <w:szCs w:val="20"/>
                <w:color w:val="auto"/>
              </w:rPr>
            </w:pPr>
            <w:r>
              <w:rPr>
                <w:rFonts w:ascii="Arial" w:cs="Arial" w:eastAsia="Arial" w:hAnsi="Arial"/>
                <w:sz w:val="16"/>
                <w:szCs w:val="16"/>
                <w:color w:val="auto"/>
              </w:rPr>
              <w:t>March 29, 2017</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440" w:type="dxa"/>
            <w:vAlign w:val="bottom"/>
          </w:tcPr>
          <w:p>
            <w:pPr>
              <w:spacing w:after="0"/>
              <w:rPr>
                <w:sz w:val="24"/>
                <w:szCs w:val="24"/>
                <w:color w:val="auto"/>
              </w:rPr>
            </w:pPr>
          </w:p>
        </w:tc>
        <w:tc>
          <w:tcPr>
            <w:tcW w:w="240" w:type="dxa"/>
            <w:vAlign w:val="bottom"/>
            <w:tcBorders>
              <w:right w:val="single" w:sz="8" w:color="auto"/>
            </w:tcBorders>
            <w:shd w:val="clear" w:color="auto" w:fill="CCCCCC"/>
          </w:tcPr>
          <w:p>
            <w:pPr>
              <w:spacing w:after="0"/>
              <w:rPr>
                <w:sz w:val="24"/>
                <w:szCs w:val="24"/>
                <w:color w:val="auto"/>
              </w:rPr>
            </w:pPr>
          </w:p>
        </w:tc>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25, 2017</w:t>
            </w:r>
          </w:p>
        </w:tc>
        <w:tc>
          <w:tcPr>
            <w:tcW w:w="3540" w:type="dxa"/>
            <w:vAlign w:val="bottom"/>
            <w:gridSpan w:val="2"/>
          </w:tcPr>
          <w:p>
            <w:pPr>
              <w:ind w:left="48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8:00 a.m. EDT</w:t>
            </w: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440" w:type="dxa"/>
            <w:vAlign w:val="bottom"/>
          </w:tcPr>
          <w:p>
            <w:pPr>
              <w:spacing w:after="0"/>
              <w:rPr>
                <w:sz w:val="24"/>
                <w:szCs w:val="24"/>
                <w:color w:val="auto"/>
              </w:rPr>
            </w:pPr>
          </w:p>
        </w:tc>
        <w:tc>
          <w:tcPr>
            <w:tcW w:w="240" w:type="dxa"/>
            <w:vAlign w:val="bottom"/>
            <w:tcBorders>
              <w:right w:val="single" w:sz="8" w:color="auto"/>
            </w:tcBorders>
            <w:shd w:val="clear" w:color="auto" w:fill="CCCCCC"/>
          </w:tcPr>
          <w:p>
            <w:pPr>
              <w:spacing w:after="0"/>
              <w:rPr>
                <w:sz w:val="24"/>
                <w:szCs w:val="24"/>
                <w:color w:val="auto"/>
              </w:rPr>
            </w:pPr>
          </w:p>
        </w:tc>
        <w:tc>
          <w:tcPr>
            <w:tcW w:w="5300" w:type="dxa"/>
            <w:vAlign w:val="bottom"/>
            <w:gridSpan w:val="3"/>
          </w:tcPr>
          <w:p>
            <w:pPr>
              <w:ind w:left="16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Chadbourne &amp; Parke LLP</w:t>
            </w: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40" w:type="dxa"/>
            <w:vAlign w:val="bottom"/>
            <w:tcBorders>
              <w:right w:val="single" w:sz="8" w:color="auto"/>
            </w:tcBorders>
            <w:shd w:val="clear" w:color="auto" w:fill="CCCCCC"/>
          </w:tcPr>
          <w:p>
            <w:pPr>
              <w:spacing w:after="0"/>
              <w:rPr>
                <w:sz w:val="17"/>
                <w:szCs w:val="17"/>
                <w:color w:val="auto"/>
              </w:rPr>
            </w:pPr>
          </w:p>
        </w:tc>
        <w:tc>
          <w:tcPr>
            <w:tcW w:w="5300" w:type="dxa"/>
            <w:vAlign w:val="bottom"/>
            <w:gridSpan w:val="3"/>
          </w:tcPr>
          <w:p>
            <w:pPr>
              <w:ind w:left="1100"/>
              <w:spacing w:after="0"/>
              <w:rPr>
                <w:sz w:val="20"/>
                <w:szCs w:val="20"/>
                <w:color w:val="auto"/>
              </w:rPr>
            </w:pPr>
            <w:r>
              <w:rPr>
                <w:rFonts w:ascii="Arial" w:cs="Arial" w:eastAsia="Arial" w:hAnsi="Arial"/>
                <w:sz w:val="16"/>
                <w:szCs w:val="16"/>
                <w:color w:val="auto"/>
              </w:rPr>
              <w:t>1301 Avenue of the Americas</w:t>
            </w: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17"/>
                <w:szCs w:val="17"/>
                <w:color w:val="auto"/>
              </w:rPr>
            </w:pPr>
          </w:p>
        </w:tc>
        <w:tc>
          <w:tcPr>
            <w:tcW w:w="240" w:type="dxa"/>
            <w:vAlign w:val="bottom"/>
            <w:tcBorders>
              <w:right w:val="single" w:sz="8" w:color="auto"/>
            </w:tcBorders>
            <w:shd w:val="clear" w:color="auto" w:fill="CCCCCC"/>
          </w:tcPr>
          <w:p>
            <w:pPr>
              <w:spacing w:after="0"/>
              <w:rPr>
                <w:sz w:val="17"/>
                <w:szCs w:val="17"/>
                <w:color w:val="auto"/>
              </w:rPr>
            </w:pPr>
          </w:p>
        </w:tc>
        <w:tc>
          <w:tcPr>
            <w:tcW w:w="5300" w:type="dxa"/>
            <w:vAlign w:val="bottom"/>
            <w:gridSpan w:val="3"/>
          </w:tcPr>
          <w:p>
            <w:pPr>
              <w:ind w:left="1100"/>
              <w:spacing w:after="0"/>
              <w:rPr>
                <w:sz w:val="20"/>
                <w:szCs w:val="20"/>
                <w:color w:val="auto"/>
              </w:rPr>
            </w:pPr>
            <w:r>
              <w:rPr>
                <w:rFonts w:ascii="Arial" w:cs="Arial" w:eastAsia="Arial" w:hAnsi="Arial"/>
                <w:sz w:val="16"/>
                <w:szCs w:val="16"/>
                <w:color w:val="auto"/>
              </w:rPr>
              <w:t>New York, NY 10019</w:t>
            </w: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4440" w:type="dxa"/>
            <w:vAlign w:val="bottom"/>
          </w:tcPr>
          <w:p>
            <w:pPr>
              <w:spacing w:after="0"/>
              <w:rPr>
                <w:sz w:val="20"/>
                <w:szCs w:val="20"/>
                <w:color w:val="auto"/>
              </w:rPr>
            </w:pPr>
            <w:r>
              <w:rPr>
                <w:rFonts w:ascii="Arial" w:cs="Arial" w:eastAsia="Arial" w:hAnsi="Arial"/>
                <w:sz w:val="18"/>
                <w:szCs w:val="18"/>
                <w:color w:val="auto"/>
              </w:rPr>
              <w:t>World Fuel Services Corporation</w:t>
            </w:r>
          </w:p>
        </w:tc>
        <w:tc>
          <w:tcPr>
            <w:tcW w:w="240" w:type="dxa"/>
            <w:vAlign w:val="bottom"/>
            <w:tcBorders>
              <w:right w:val="single" w:sz="8" w:color="auto"/>
            </w:tcBorders>
            <w:shd w:val="clear" w:color="auto" w:fill="CCCCCC"/>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9800 Northwest 41st Street</w:t>
            </w:r>
          </w:p>
        </w:tc>
        <w:tc>
          <w:tcPr>
            <w:tcW w:w="240" w:type="dxa"/>
            <w:vAlign w:val="bottom"/>
            <w:tcBorders>
              <w:right w:val="single" w:sz="8" w:color="auto"/>
            </w:tcBorders>
            <w:shd w:val="clear" w:color="auto" w:fill="CCCCCC"/>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Miami, FL 33178</w:t>
            </w:r>
          </w:p>
        </w:tc>
        <w:tc>
          <w:tcPr>
            <w:tcW w:w="240" w:type="dxa"/>
            <w:vAlign w:val="bottom"/>
            <w:tcBorders>
              <w:right w:val="single" w:sz="8" w:color="auto"/>
            </w:tcBorders>
            <w:shd w:val="clear" w:color="auto" w:fill="CCCCCC"/>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Attn: Corporate Secretary</w:t>
            </w:r>
          </w:p>
        </w:tc>
        <w:tc>
          <w:tcPr>
            <w:tcW w:w="240" w:type="dxa"/>
            <w:vAlign w:val="bottom"/>
            <w:tcBorders>
              <w:bottom w:val="single" w:sz="8" w:color="CCCCCC"/>
              <w:right w:val="single" w:sz="8" w:color="auto"/>
            </w:tcBorders>
            <w:shd w:val="clear" w:color="auto" w:fill="CCCCCC"/>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40" w:type="dxa"/>
            <w:vAlign w:val="bottom"/>
            <w:tcBorders>
              <w:right w:val="single" w:sz="8" w:color="CCCCCC"/>
            </w:tcBorders>
            <w:shd w:val="clear" w:color="auto" w:fill="CCCCCC"/>
          </w:tcPr>
          <w:p>
            <w:pPr>
              <w:spacing w:after="0"/>
              <w:rPr>
                <w:sz w:val="2"/>
                <w:szCs w:val="2"/>
                <w:color w:val="auto"/>
              </w:rPr>
            </w:pPr>
          </w:p>
        </w:tc>
        <w:tc>
          <w:tcPr>
            <w:tcW w:w="1760" w:type="dxa"/>
            <w:vAlign w:val="bottom"/>
            <w:shd w:val="clear" w:color="auto" w:fill="CCCCCC"/>
          </w:tcPr>
          <w:p>
            <w:pPr>
              <w:spacing w:after="0"/>
              <w:rPr>
                <w:sz w:val="2"/>
                <w:szCs w:val="2"/>
                <w:color w:val="auto"/>
              </w:rPr>
            </w:pPr>
          </w:p>
        </w:tc>
        <w:tc>
          <w:tcPr>
            <w:tcW w:w="1440" w:type="dxa"/>
            <w:vAlign w:val="bottom"/>
            <w:shd w:val="clear" w:color="auto" w:fill="CCCCCC"/>
          </w:tcPr>
          <w:p>
            <w:pPr>
              <w:spacing w:after="0"/>
              <w:rPr>
                <w:sz w:val="2"/>
                <w:szCs w:val="2"/>
                <w:color w:val="auto"/>
              </w:rPr>
            </w:pPr>
          </w:p>
        </w:tc>
        <w:tc>
          <w:tcPr>
            <w:tcW w:w="2100" w:type="dxa"/>
            <w:vAlign w:val="bottom"/>
            <w:shd w:val="clear" w:color="auto" w:fill="CCCCCC"/>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-1029970</wp:posOffset>
            </wp:positionV>
            <wp:extent cx="114046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0460" cy="454660"/>
                    </a:xfrm>
                    <a:prstGeom prst="rect">
                      <a:avLst/>
                    </a:prstGeom>
                    <a:noFill/>
                  </pic:spPr>
                </pic:pic>
              </a:graphicData>
            </a:graphic>
          </wp:anchor>
        </w:drawing>
      </w:r>
    </w:p>
    <w:p>
      <w:pPr>
        <w:sectPr>
          <w:pgSz w:w="11900" w:h="16900" w:orient="portrait"/>
          <w:cols w:equalWidth="0" w:num="1">
            <w:col w:w="11400"/>
          </w:cols>
          <w:pgMar w:left="260" w:top="44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w w:val="96"/>
              </w:rPr>
              <w:t>You are receiving this communication because you hold shares in the above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named company.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This is not a ballot. You cannot use this notice to vote these shares. This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w w:val="91"/>
              </w:rPr>
              <w:t>communication presents only an overview of the more complete proxy materials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w w:val="98"/>
              </w:rPr>
              <w:t>that are available to you on the Internet. You may view the proxy materials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w w:val="92"/>
              </w:rPr>
              <w:t xml:space="preserve">online at </w:t>
            </w:r>
            <w:r>
              <w:rPr>
                <w:rFonts w:ascii="Arial" w:cs="Arial" w:eastAsia="Arial" w:hAnsi="Arial"/>
                <w:sz w:val="18"/>
                <w:szCs w:val="18"/>
                <w:i w:val="1"/>
                <w:iCs w:val="1"/>
                <w:color w:val="auto"/>
                <w:w w:val="92"/>
              </w:rPr>
              <w:t>www.proxyvote.com</w:t>
            </w:r>
            <w:r>
              <w:rPr>
                <w:rFonts w:ascii="Arial" w:cs="Arial" w:eastAsia="Arial" w:hAnsi="Arial"/>
                <w:sz w:val="18"/>
                <w:szCs w:val="18"/>
                <w:color w:val="auto"/>
                <w:w w:val="92"/>
              </w:rPr>
              <w:t xml:space="preserve"> or easily request a paper copy (see reverse side).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We encourage you to access and review all of the important information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gridSpan w:val="2"/>
          </w:tcPr>
          <w:p>
            <w:pPr>
              <w:ind w:left="180"/>
              <w:spacing w:after="0"/>
              <w:rPr>
                <w:sz w:val="20"/>
                <w:szCs w:val="20"/>
                <w:color w:val="auto"/>
              </w:rPr>
            </w:pPr>
            <w:r>
              <w:rPr>
                <w:rFonts w:ascii="Arial" w:cs="Arial" w:eastAsia="Arial" w:hAnsi="Arial"/>
                <w:sz w:val="18"/>
                <w:szCs w:val="18"/>
                <w:color w:val="auto"/>
              </w:rPr>
              <w:t>contained in the proxy materials before voting.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40" w:type="dxa"/>
            <w:vAlign w:val="bottom"/>
            <w:gridSpan w:val="2"/>
            <w:shd w:val="clear" w:color="auto" w:fill="000000"/>
          </w:tcPr>
          <w:p>
            <w:pPr>
              <w:ind w:left="180"/>
              <w:spacing w:after="0" w:line="198" w:lineRule="exact"/>
              <w:rPr>
                <w:sz w:val="20"/>
                <w:szCs w:val="20"/>
                <w:color w:val="auto"/>
              </w:rPr>
            </w:pPr>
            <w:r>
              <w:rPr>
                <w:rFonts w:ascii="Arial" w:cs="Arial" w:eastAsia="Arial" w:hAnsi="Arial"/>
                <w:sz w:val="18"/>
                <w:szCs w:val="18"/>
                <w:b w:val="1"/>
                <w:bCs w:val="1"/>
                <w:color w:val="FFFFFF"/>
                <w:w w:val="96"/>
              </w:rPr>
              <w:t>See the reverse side of this notice to obtain proxy materials and voting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40" w:type="dxa"/>
            <w:vAlign w:val="bottom"/>
            <w:gridSpan w:val="2"/>
            <w:shd w:val="clear" w:color="auto" w:fill="000000"/>
          </w:tcPr>
          <w:p>
            <w:pPr>
              <w:ind w:left="180"/>
              <w:spacing w:after="0"/>
              <w:rPr>
                <w:sz w:val="20"/>
                <w:szCs w:val="20"/>
                <w:color w:val="auto"/>
              </w:rPr>
            </w:pPr>
            <w:r>
              <w:rPr>
                <w:rFonts w:ascii="Arial" w:cs="Arial" w:eastAsia="Arial" w:hAnsi="Arial"/>
                <w:sz w:val="18"/>
                <w:szCs w:val="18"/>
                <w:b w:val="1"/>
                <w:bCs w:val="1"/>
                <w:color w:val="FFFFFF"/>
              </w:rPr>
              <w:t>instructions.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4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Before You Vote</w:t>
            </w:r>
          </w:p>
        </w:tc>
        <w:tc>
          <w:tcPr>
            <w:tcW w:w="4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80" w:type="dxa"/>
            <w:vAlign w:val="bottom"/>
            <w:gridSpan w:val="4"/>
          </w:tcPr>
          <w:p>
            <w:pPr>
              <w:jc w:val="center"/>
              <w:ind w:right="4580"/>
              <w:spacing w:after="0"/>
              <w:rPr>
                <w:sz w:val="20"/>
                <w:szCs w:val="20"/>
                <w:color w:val="auto"/>
              </w:rPr>
            </w:pPr>
            <w:r>
              <w:rPr>
                <w:rFonts w:ascii="Arial" w:cs="Arial" w:eastAsia="Arial" w:hAnsi="Arial"/>
                <w:sz w:val="14"/>
                <w:szCs w:val="14"/>
                <w:color w:val="auto"/>
                <w:w w:val="94"/>
              </w:rPr>
              <w:t>How to Access the Proxy Materials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2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20" w:type="dxa"/>
            <w:vAlign w:val="bottom"/>
            <w:gridSpan w:val="2"/>
          </w:tcPr>
          <w:p>
            <w:pPr>
              <w:ind w:left="640"/>
              <w:spacing w:after="0"/>
              <w:rPr>
                <w:sz w:val="20"/>
                <w:szCs w:val="20"/>
                <w:color w:val="auto"/>
              </w:rPr>
            </w:pPr>
            <w:r>
              <w:rPr>
                <w:rFonts w:ascii="Arial" w:cs="Arial" w:eastAsia="Arial" w:hAnsi="Arial"/>
                <w:sz w:val="14"/>
                <w:szCs w:val="14"/>
                <w:b w:val="1"/>
                <w:bCs w:val="1"/>
                <w:color w:val="auto"/>
              </w:rPr>
              <w:t>Proxy Materials Available to VIEW or RECEIVE:</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620" w:type="dxa"/>
            <w:vAlign w:val="bottom"/>
            <w:gridSpan w:val="2"/>
          </w:tcPr>
          <w:p>
            <w:pPr>
              <w:ind w:left="640"/>
              <w:spacing w:after="0"/>
              <w:rPr>
                <w:sz w:val="20"/>
                <w:szCs w:val="20"/>
                <w:color w:val="auto"/>
              </w:rPr>
            </w:pPr>
            <w:r>
              <w:rPr>
                <w:rFonts w:ascii="Arial" w:cs="Arial" w:eastAsia="Arial" w:hAnsi="Arial"/>
                <w:sz w:val="14"/>
                <w:szCs w:val="14"/>
                <w:color w:val="auto"/>
              </w:rPr>
              <w:t>1. Notice &amp; Proxy Statement   2. Annual Report on Form 10-K</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20" w:type="dxa"/>
            <w:vAlign w:val="bottom"/>
            <w:gridSpan w:val="2"/>
          </w:tcPr>
          <w:p>
            <w:pPr>
              <w:ind w:left="640"/>
              <w:spacing w:after="0"/>
              <w:rPr>
                <w:sz w:val="20"/>
                <w:szCs w:val="20"/>
                <w:color w:val="auto"/>
              </w:rPr>
            </w:pPr>
            <w:r>
              <w:rPr>
                <w:rFonts w:ascii="Arial" w:cs="Arial" w:eastAsia="Arial" w:hAnsi="Arial"/>
                <w:sz w:val="14"/>
                <w:szCs w:val="14"/>
                <w:b w:val="1"/>
                <w:bCs w:val="1"/>
                <w:color w:val="auto"/>
              </w:rPr>
              <w:t>How to View Online:</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620" w:type="dxa"/>
            <w:vAlign w:val="bottom"/>
            <w:gridSpan w:val="2"/>
          </w:tcPr>
          <w:p>
            <w:pPr>
              <w:ind w:left="640"/>
              <w:spacing w:after="0"/>
              <w:rPr>
                <w:sz w:val="20"/>
                <w:szCs w:val="20"/>
                <w:color w:val="auto"/>
              </w:rPr>
            </w:pPr>
            <w:r>
              <w:rPr>
                <w:rFonts w:ascii="Arial" w:cs="Arial" w:eastAsia="Arial" w:hAnsi="Arial"/>
                <w:sz w:val="14"/>
                <w:szCs w:val="14"/>
                <w:color w:val="auto"/>
                <w:w w:val="95"/>
              </w:rPr>
              <w:t>Have the information that is printed in the box marked by the arrow</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40" w:type="dxa"/>
            <w:vAlign w:val="bottom"/>
            <w:gridSpan w:val="2"/>
          </w:tcPr>
          <w:p>
            <w:pPr>
              <w:ind w:left="840"/>
              <w:spacing w:after="0"/>
              <w:rPr>
                <w:sz w:val="20"/>
                <w:szCs w:val="20"/>
                <w:color w:val="auto"/>
              </w:rPr>
            </w:pPr>
            <w:r>
              <w:rPr>
                <w:rFonts w:ascii="Arial" w:cs="Arial" w:eastAsia="Arial" w:hAnsi="Arial"/>
                <w:sz w:val="14"/>
                <w:szCs w:val="14"/>
                <w:color w:val="auto"/>
              </w:rPr>
              <w:t xml:space="preserve">(located on the following page) and visit: </w:t>
            </w:r>
            <w:r>
              <w:rPr>
                <w:rFonts w:ascii="Arial" w:cs="Arial" w:eastAsia="Arial" w:hAnsi="Arial"/>
                <w:sz w:val="14"/>
                <w:szCs w:val="14"/>
                <w:i w:val="1"/>
                <w:iCs w:val="1"/>
                <w:color w:val="auto"/>
              </w:rPr>
              <w:t>www.proxyvote.com.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620" w:type="dxa"/>
            <w:vAlign w:val="bottom"/>
            <w:gridSpan w:val="2"/>
          </w:tcPr>
          <w:p>
            <w:pPr>
              <w:ind w:left="640"/>
              <w:spacing w:after="0"/>
              <w:rPr>
                <w:sz w:val="20"/>
                <w:szCs w:val="20"/>
                <w:color w:val="auto"/>
              </w:rPr>
            </w:pPr>
            <w:r>
              <w:rPr>
                <w:rFonts w:ascii="Arial" w:cs="Arial" w:eastAsia="Arial" w:hAnsi="Arial"/>
                <w:sz w:val="14"/>
                <w:szCs w:val="14"/>
                <w:b w:val="1"/>
                <w:bCs w:val="1"/>
                <w:color w:val="auto"/>
              </w:rPr>
              <w:t>How to Request and Receive a PAPER or E-MAIL Copy:</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3416300</wp:posOffset>
            </wp:positionH>
            <wp:positionV relativeFrom="page">
              <wp:posOffset>88900</wp:posOffset>
            </wp:positionV>
            <wp:extent cx="351599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5995"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2032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32635"/>
                    </a:xfrm>
                    <a:prstGeom prst="rect">
                      <a:avLst/>
                    </a:prstGeom>
                    <a:noFill/>
                  </pic:spPr>
                </pic:pic>
              </a:graphicData>
            </a:graphic>
          </wp:anchor>
        </w:drawing>
      </w:r>
    </w:p>
    <w:p>
      <w:pPr>
        <w:ind w:left="640" w:right="460"/>
        <w:spacing w:after="0" w:line="237" w:lineRule="auto"/>
        <w:rPr>
          <w:sz w:val="20"/>
          <w:szCs w:val="20"/>
          <w:color w:val="auto"/>
        </w:rPr>
      </w:pPr>
      <w:r>
        <w:rPr>
          <w:rFonts w:ascii="Arial" w:cs="Arial" w:eastAsia="Arial" w:hAnsi="Arial"/>
          <w:sz w:val="14"/>
          <w:szCs w:val="14"/>
          <w:color w:val="auto"/>
        </w:rPr>
        <w:t>You must request a paper or e-mail copy of these documents, you must request one. There is NO charge for requesting a copy. Please choose one of the following methods to make your request:</w:t>
      </w:r>
    </w:p>
    <w:p>
      <w:pPr>
        <w:spacing w:after="0" w:line="3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Arial" w:cs="Arial" w:eastAsia="Arial" w:hAnsi="Arial"/>
                <w:sz w:val="14"/>
                <w:szCs w:val="14"/>
                <w:color w:val="auto"/>
                <w:w w:val="79"/>
              </w:rPr>
              <w:t>1)</w:t>
            </w:r>
          </w:p>
        </w:tc>
        <w:tc>
          <w:tcPr>
            <w:tcW w:w="1280" w:type="dxa"/>
            <w:vAlign w:val="bottom"/>
          </w:tcPr>
          <w:p>
            <w:pPr>
              <w:spacing w:after="0"/>
              <w:rPr>
                <w:sz w:val="20"/>
                <w:szCs w:val="20"/>
                <w:color w:val="auto"/>
              </w:rPr>
            </w:pPr>
            <w:r>
              <w:rPr>
                <w:rFonts w:ascii="Arial" w:cs="Arial" w:eastAsia="Arial" w:hAnsi="Arial"/>
                <w:sz w:val="14"/>
                <w:szCs w:val="14"/>
                <w:i w:val="1"/>
                <w:iCs w:val="1"/>
                <w:color w:val="auto"/>
              </w:rPr>
              <w:t>BY INTERNET</w:t>
            </w:r>
            <w:r>
              <w:rPr>
                <w:rFonts w:ascii="Arial" w:cs="Arial" w:eastAsia="Arial" w:hAnsi="Arial"/>
                <w:sz w:val="14"/>
                <w:szCs w:val="14"/>
                <w:color w:val="auto"/>
              </w:rPr>
              <w:t>:</w:t>
            </w:r>
          </w:p>
        </w:tc>
        <w:tc>
          <w:tcPr>
            <w:tcW w:w="1920" w:type="dxa"/>
            <w:vAlign w:val="bottom"/>
          </w:tcPr>
          <w:p>
            <w:pPr>
              <w:ind w:left="200"/>
              <w:spacing w:after="0"/>
              <w:rPr>
                <w:sz w:val="20"/>
                <w:szCs w:val="20"/>
                <w:color w:val="auto"/>
              </w:rPr>
            </w:pPr>
            <w:r>
              <w:rPr>
                <w:rFonts w:ascii="Arial" w:cs="Arial" w:eastAsia="Arial" w:hAnsi="Arial"/>
                <w:sz w:val="14"/>
                <w:szCs w:val="14"/>
                <w:color w:val="auto"/>
              </w:rPr>
              <w:t>www.proxyvote.com</w:t>
            </w:r>
          </w:p>
        </w:tc>
      </w:tr>
      <w:tr>
        <w:trPr>
          <w:trHeight w:val="149"/>
        </w:trPr>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9"/>
              </w:rPr>
              <w:t>2)</w:t>
            </w:r>
          </w:p>
        </w:tc>
        <w:tc>
          <w:tcPr>
            <w:tcW w:w="1280" w:type="dxa"/>
            <w:vAlign w:val="bottom"/>
          </w:tcPr>
          <w:p>
            <w:pPr>
              <w:spacing w:after="0" w:line="149" w:lineRule="exact"/>
              <w:rPr>
                <w:sz w:val="20"/>
                <w:szCs w:val="20"/>
                <w:color w:val="auto"/>
              </w:rPr>
            </w:pPr>
            <w:r>
              <w:rPr>
                <w:rFonts w:ascii="Arial" w:cs="Arial" w:eastAsia="Arial" w:hAnsi="Arial"/>
                <w:sz w:val="14"/>
                <w:szCs w:val="14"/>
                <w:i w:val="1"/>
                <w:iCs w:val="1"/>
                <w:color w:val="auto"/>
              </w:rPr>
              <w:t>BY TELEPHONE</w:t>
            </w:r>
            <w:r>
              <w:rPr>
                <w:rFonts w:ascii="Arial" w:cs="Arial" w:eastAsia="Arial" w:hAnsi="Arial"/>
                <w:sz w:val="14"/>
                <w:szCs w:val="14"/>
                <w:color w:val="auto"/>
              </w:rPr>
              <w:t>:</w:t>
            </w:r>
          </w:p>
        </w:tc>
        <w:tc>
          <w:tcPr>
            <w:tcW w:w="1920" w:type="dxa"/>
            <w:vAlign w:val="bottom"/>
          </w:tcPr>
          <w:p>
            <w:pPr>
              <w:ind w:left="200"/>
              <w:spacing w:after="0" w:line="149" w:lineRule="exact"/>
              <w:rPr>
                <w:sz w:val="20"/>
                <w:szCs w:val="20"/>
                <w:color w:val="auto"/>
              </w:rPr>
            </w:pPr>
            <w:r>
              <w:rPr>
                <w:rFonts w:ascii="Arial" w:cs="Arial" w:eastAsia="Arial" w:hAnsi="Arial"/>
                <w:sz w:val="14"/>
                <w:szCs w:val="14"/>
                <w:color w:val="auto"/>
              </w:rPr>
              <w:t>1-800-579-1639</w:t>
            </w:r>
          </w:p>
        </w:tc>
      </w:tr>
      <w:tr>
        <w:trPr>
          <w:trHeight w:val="182"/>
        </w:trPr>
        <w:tc>
          <w:tcPr>
            <w:tcW w:w="140" w:type="dxa"/>
            <w:vAlign w:val="bottom"/>
          </w:tcPr>
          <w:p>
            <w:pPr>
              <w:jc w:val="right"/>
              <w:spacing w:after="0"/>
              <w:rPr>
                <w:sz w:val="20"/>
                <w:szCs w:val="20"/>
                <w:color w:val="auto"/>
              </w:rPr>
            </w:pPr>
            <w:r>
              <w:rPr>
                <w:rFonts w:ascii="Arial" w:cs="Arial" w:eastAsia="Arial" w:hAnsi="Arial"/>
                <w:sz w:val="14"/>
                <w:szCs w:val="14"/>
                <w:color w:val="auto"/>
                <w:w w:val="79"/>
              </w:rPr>
              <w:t>3)</w:t>
            </w:r>
          </w:p>
        </w:tc>
        <w:tc>
          <w:tcPr>
            <w:tcW w:w="1280" w:type="dxa"/>
            <w:vAlign w:val="bottom"/>
          </w:tcPr>
          <w:p>
            <w:pPr>
              <w:spacing w:after="0"/>
              <w:rPr>
                <w:sz w:val="20"/>
                <w:szCs w:val="20"/>
                <w:color w:val="auto"/>
              </w:rPr>
            </w:pPr>
            <w:r>
              <w:rPr>
                <w:rFonts w:ascii="Arial" w:cs="Arial" w:eastAsia="Arial" w:hAnsi="Arial"/>
                <w:sz w:val="14"/>
                <w:szCs w:val="14"/>
                <w:i w:val="1"/>
                <w:iCs w:val="1"/>
                <w:color w:val="auto"/>
              </w:rPr>
              <w:t>BY E-MAIL*</w:t>
            </w:r>
            <w:r>
              <w:rPr>
                <w:rFonts w:ascii="Arial" w:cs="Arial" w:eastAsia="Arial" w:hAnsi="Arial"/>
                <w:sz w:val="14"/>
                <w:szCs w:val="14"/>
                <w:color w:val="auto"/>
              </w:rPr>
              <w:t>:</w:t>
            </w:r>
          </w:p>
        </w:tc>
        <w:tc>
          <w:tcPr>
            <w:tcW w:w="1920" w:type="dxa"/>
            <w:vAlign w:val="bottom"/>
          </w:tcPr>
          <w:p>
            <w:pPr>
              <w:ind w:left="200"/>
              <w:spacing w:after="0"/>
              <w:rPr>
                <w:sz w:val="20"/>
                <w:szCs w:val="20"/>
                <w:color w:val="auto"/>
              </w:rPr>
            </w:pPr>
            <w:r>
              <w:rPr>
                <w:rFonts w:ascii="Arial" w:cs="Arial" w:eastAsia="Arial" w:hAnsi="Arial"/>
                <w:sz w:val="14"/>
                <w:szCs w:val="14"/>
                <w:color w:val="auto"/>
                <w:w w:val="91"/>
              </w:rPr>
              <w:t>sendmaterial@proxyvote.com</w:t>
            </w:r>
          </w:p>
        </w:tc>
      </w:tr>
    </w:tbl>
    <w:p>
      <w:pPr>
        <w:spacing w:after="0" w:line="182" w:lineRule="exact"/>
        <w:rPr>
          <w:sz w:val="20"/>
          <w:szCs w:val="20"/>
          <w:color w:val="auto"/>
        </w:rPr>
      </w:pPr>
    </w:p>
    <w:p>
      <w:pPr>
        <w:ind w:left="640"/>
        <w:spacing w:after="0"/>
        <w:tabs>
          <w:tab w:leader="none" w:pos="9780" w:val="left"/>
        </w:tabs>
        <w:rPr>
          <w:sz w:val="20"/>
          <w:szCs w:val="20"/>
          <w:color w:val="auto"/>
        </w:rPr>
      </w:pPr>
      <w:r>
        <w:rPr>
          <w:rFonts w:ascii="Arial" w:cs="Arial" w:eastAsia="Arial" w:hAnsi="Arial"/>
          <w:sz w:val="14"/>
          <w:szCs w:val="14"/>
          <w:color w:val="auto"/>
        </w:rPr>
        <w:t>* If requesting materials by e-mail, please send a blank e-mail with the information that is printed in the box marked by the arrow</w:t>
      </w:r>
      <w:r>
        <w:rPr>
          <w:sz w:val="20"/>
          <w:szCs w:val="20"/>
          <w:color w:val="auto"/>
        </w:rPr>
        <w:tab/>
      </w:r>
      <w:r>
        <w:rPr>
          <w:rFonts w:ascii="Arial" w:cs="Arial" w:eastAsia="Arial" w:hAnsi="Arial"/>
          <w:sz w:val="12"/>
          <w:szCs w:val="12"/>
          <w:color w:val="auto"/>
        </w:rPr>
        <w:t>(located on the</w:t>
      </w:r>
    </w:p>
    <w:p>
      <w:pPr>
        <w:ind w:left="640"/>
        <w:spacing w:after="0"/>
        <w:rPr>
          <w:sz w:val="20"/>
          <w:szCs w:val="20"/>
          <w:color w:val="auto"/>
        </w:rPr>
      </w:pPr>
      <w:r>
        <w:rPr>
          <w:rFonts w:ascii="Arial" w:cs="Arial" w:eastAsia="Arial" w:hAnsi="Arial"/>
          <w:sz w:val="14"/>
          <w:szCs w:val="14"/>
          <w:color w:val="auto"/>
        </w:rPr>
        <w:t>following page) in the subject line.</w:t>
      </w:r>
    </w:p>
    <w:p>
      <w:pPr>
        <w:spacing w:after="0" w:line="57" w:lineRule="exact"/>
        <w:rPr>
          <w:sz w:val="20"/>
          <w:szCs w:val="20"/>
          <w:color w:val="auto"/>
        </w:rPr>
      </w:pPr>
    </w:p>
    <w:p>
      <w:pPr>
        <w:ind w:left="640" w:right="580"/>
        <w:spacing w:after="0" w:line="253" w:lineRule="auto"/>
        <w:rPr>
          <w:sz w:val="20"/>
          <w:szCs w:val="20"/>
          <w:color w:val="auto"/>
        </w:rPr>
      </w:pPr>
      <w:r>
        <w:rPr>
          <w:rFonts w:ascii="Arial" w:cs="Arial" w:eastAsia="Arial" w:hAnsi="Arial"/>
          <w:sz w:val="14"/>
          <w:szCs w:val="14"/>
          <w:color w:val="auto"/>
        </w:rPr>
        <w:t>Requests, instructions and other inquiries sent to this e-mail address will NOT be forwarded to your investment advisor. Please make the request as instructed above on or before May 11, 2017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-86995</wp:posOffset>
            </wp:positionV>
            <wp:extent cx="4467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75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330" w:lineRule="exact"/>
        <w:rPr>
          <w:sz w:val="20"/>
          <w:szCs w:val="20"/>
          <w:color w:val="auto"/>
        </w:rPr>
      </w:pPr>
    </w:p>
    <w:p>
      <w:pPr>
        <w:ind w:left="620" w:right="760"/>
        <w:spacing w:after="0" w:line="297" w:lineRule="auto"/>
        <w:rPr>
          <w:sz w:val="20"/>
          <w:szCs w:val="20"/>
          <w:color w:val="auto"/>
        </w:rPr>
      </w:pPr>
      <w:r>
        <w:rPr>
          <w:rFonts w:ascii="Arial" w:cs="Arial" w:eastAsia="Arial" w:hAnsi="Arial"/>
          <w:sz w:val="13"/>
          <w:szCs w:val="13"/>
          <w:b w:val="1"/>
          <w:bCs w:val="1"/>
          <w:color w:val="auto"/>
        </w:rPr>
        <w:t xml:space="preserve">Vote In Person: </w:t>
      </w:r>
      <w:r>
        <w:rPr>
          <w:rFonts w:ascii="Arial" w:cs="Arial" w:eastAsia="Arial" w:hAnsi="Arial"/>
          <w:sz w:val="13"/>
          <w:szCs w:val="13"/>
          <w:color w:val="auto"/>
        </w:rPr>
        <w:t>Many shareholder meetings have attendance requirements including, but not limited to, the possession of an attendance ticket issued by the entity holding the</w:t>
      </w:r>
      <w:r>
        <w:rPr>
          <w:rFonts w:ascii="Arial" w:cs="Arial" w:eastAsia="Arial" w:hAnsi="Arial"/>
          <w:sz w:val="13"/>
          <w:szCs w:val="13"/>
          <w:b w:val="1"/>
          <w:bCs w:val="1"/>
          <w:color w:val="auto"/>
        </w:rPr>
        <w:t xml:space="preserve"> </w:t>
      </w:r>
      <w:r>
        <w:rPr>
          <w:rFonts w:ascii="Arial" w:cs="Arial" w:eastAsia="Arial" w:hAnsi="Arial"/>
          <w:sz w:val="13"/>
          <w:szCs w:val="13"/>
          <w:color w:val="auto"/>
        </w:rPr>
        <w:t>meeting. Please check the meeting materials for any special requirements for meeting attendance. At the meeting, you will need to request a ballot to vote these shares.</w:t>
      </w:r>
    </w:p>
    <w:p>
      <w:pPr>
        <w:sectPr>
          <w:pgSz w:w="11900" w:h="16838" w:orient="portrait"/>
          <w:cols w:equalWidth="0" w:num="1">
            <w:col w:w="11420"/>
          </w:cols>
          <w:pgMar w:left="240" w:top="368" w:right="239" w:bottom="0" w:gutter="0" w:footer="0" w:header="0"/>
        </w:sectPr>
      </w:pPr>
    </w:p>
    <w:p>
      <w:pPr>
        <w:spacing w:after="0" w:line="76" w:lineRule="exact"/>
        <w:rPr>
          <w:sz w:val="20"/>
          <w:szCs w:val="20"/>
          <w:color w:val="auto"/>
        </w:rPr>
      </w:pPr>
    </w:p>
    <w:p>
      <w:pPr>
        <w:ind w:left="620" w:right="940"/>
        <w:spacing w:after="0" w:line="259" w:lineRule="auto"/>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To vote now by Internet, go to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Have the information that is printed in the box marked by the arrow</w:t>
      </w:r>
      <w:r>
        <w:rPr>
          <w:rFonts w:ascii="Arial" w:cs="Arial" w:eastAsia="Arial" w:hAnsi="Arial"/>
          <w:sz w:val="14"/>
          <w:szCs w:val="14"/>
          <w:b w:val="1"/>
          <w:bCs w:val="1"/>
          <w:color w:val="auto"/>
        </w:rPr>
        <w:t xml:space="preserve"> </w:t>
      </w:r>
      <w:r>
        <w:rPr>
          <w:rFonts w:ascii="Arial" w:cs="Arial" w:eastAsia="Arial" w:hAnsi="Arial"/>
          <w:sz w:val="14"/>
          <w:szCs w:val="14"/>
          <w:color w:val="auto"/>
        </w:rPr>
        <w:t>and follow the instructions.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available</w:t>
      </w:r>
    </w:p>
    <w:p>
      <w:pPr>
        <w:spacing w:after="0" w:line="224" w:lineRule="exact"/>
        <w:rPr>
          <w:sz w:val="20"/>
          <w:szCs w:val="20"/>
          <w:color w:val="auto"/>
        </w:rPr>
      </w:pPr>
    </w:p>
    <w:p>
      <w:pPr>
        <w:sectPr>
          <w:pgSz w:w="11900" w:h="16838" w:orient="portrait"/>
          <w:cols w:equalWidth="0" w:num="2">
            <w:col w:w="9560" w:space="720"/>
            <w:col w:w="1140"/>
          </w:cols>
          <w:pgMar w:left="240" w:top="368" w:right="239" w:bottom="0" w:gutter="0" w:footer="0" w:header="0"/>
          <w:type w:val="continuous"/>
        </w:sectPr>
      </w:pPr>
    </w:p>
    <w:p>
      <w:pPr>
        <w:ind w:left="620"/>
        <w:spacing w:after="0"/>
        <w:rPr>
          <w:sz w:val="20"/>
          <w:szCs w:val="20"/>
          <w:color w:val="auto"/>
        </w:rPr>
      </w:pPr>
      <w:r>
        <w:rPr>
          <w:rFonts w:ascii="Arial" w:cs="Arial" w:eastAsia="Arial" w:hAnsi="Arial"/>
          <w:sz w:val="14"/>
          <w:szCs w:val="14"/>
          <w:b w:val="1"/>
          <w:bCs w:val="1"/>
          <w:color w:val="auto"/>
        </w:rPr>
        <w:t xml:space="preserve">Vote By Mail: </w:t>
      </w:r>
      <w:r>
        <w:rPr>
          <w:rFonts w:ascii="Arial" w:cs="Arial" w:eastAsia="Arial" w:hAnsi="Arial"/>
          <w:sz w:val="14"/>
          <w:szCs w:val="14"/>
          <w:color w:val="auto"/>
        </w:rPr>
        <w:t>You can vote by mail by requesting a paper copy of the materials, which will include a proxy card.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6848475</wp:posOffset>
            </wp:positionH>
            <wp:positionV relativeFrom="paragraph">
              <wp:posOffset>-95885</wp:posOffset>
            </wp:positionV>
            <wp:extent cx="403225" cy="677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3225" cy="67754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-95885</wp:posOffset>
            </wp:positionV>
            <wp:extent cx="2607310"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7310" cy="111760"/>
                    </a:xfrm>
                    <a:prstGeom prst="rect">
                      <a:avLst/>
                    </a:prstGeom>
                    <a:noFill/>
                  </pic:spPr>
                </pic:pic>
              </a:graphicData>
            </a:graphic>
          </wp:anchor>
        </w:drawing>
      </w:r>
    </w:p>
    <w:p>
      <w:pPr>
        <w:spacing w:after="0" w:line="27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The Board of Directors recommends you vote FOR all listed</w:t>
      </w:r>
    </w:p>
    <w:p>
      <w:pPr>
        <w:ind w:left="700"/>
        <w:spacing w:after="0" w:line="226" w:lineRule="auto"/>
        <w:rPr>
          <w:sz w:val="20"/>
          <w:szCs w:val="20"/>
          <w:color w:val="auto"/>
        </w:rPr>
      </w:pPr>
      <w:r>
        <w:rPr>
          <w:rFonts w:ascii="Arial" w:cs="Arial" w:eastAsia="Arial" w:hAnsi="Arial"/>
          <w:sz w:val="14"/>
          <w:szCs w:val="14"/>
          <w:b w:val="1"/>
          <w:bCs w:val="1"/>
          <w:color w:val="auto"/>
        </w:rPr>
        <w:t>nominees in Proposal 1, FOR Proposals 2 and 4 and for 1 YEAR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on Proposal 3</w:t>
      </w:r>
    </w:p>
    <w:p>
      <w:pPr>
        <w:spacing w:after="0" w:line="124" w:lineRule="exact"/>
        <w:rPr>
          <w:sz w:val="20"/>
          <w:szCs w:val="20"/>
          <w:color w:val="auto"/>
        </w:rPr>
      </w:pPr>
    </w:p>
    <w:p>
      <w:pPr>
        <w:ind w:left="1200" w:hanging="441"/>
        <w:spacing w:after="0"/>
        <w:tabs>
          <w:tab w:leader="none" w:pos="1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32" w:lineRule="exact"/>
        <w:rPr>
          <w:rFonts w:ascii="Arial" w:cs="Arial" w:eastAsia="Arial" w:hAnsi="Arial"/>
          <w:sz w:val="14"/>
          <w:szCs w:val="14"/>
          <w:color w:val="auto"/>
        </w:rPr>
      </w:pPr>
    </w:p>
    <w:p>
      <w:pPr>
        <w:ind w:left="120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40" w:lineRule="exact"/>
        <w:rPr>
          <w:sz w:val="20"/>
          <w:szCs w:val="20"/>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Michael J. Kasbar</w:t>
      </w:r>
    </w:p>
    <w:p>
      <w:pPr>
        <w:spacing w:after="0" w:line="136" w:lineRule="exact"/>
        <w:rPr>
          <w:rFonts w:ascii="Arial" w:cs="Arial" w:eastAsia="Arial" w:hAnsi="Arial"/>
          <w:sz w:val="14"/>
          <w:szCs w:val="14"/>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Ken Bakshi</w:t>
      </w:r>
    </w:p>
    <w:p>
      <w:pPr>
        <w:spacing w:after="0" w:line="136" w:lineRule="exact"/>
        <w:rPr>
          <w:rFonts w:ascii="Arial" w:cs="Arial" w:eastAsia="Arial" w:hAnsi="Arial"/>
          <w:sz w:val="14"/>
          <w:szCs w:val="14"/>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Jorge L. Benitez</w:t>
      </w:r>
    </w:p>
    <w:p>
      <w:pPr>
        <w:spacing w:after="0" w:line="136" w:lineRule="exact"/>
        <w:rPr>
          <w:rFonts w:ascii="Arial" w:cs="Arial" w:eastAsia="Arial" w:hAnsi="Arial"/>
          <w:sz w:val="14"/>
          <w:szCs w:val="14"/>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Richard A. Kassar</w:t>
      </w:r>
    </w:p>
    <w:p>
      <w:pPr>
        <w:spacing w:after="0" w:line="136" w:lineRule="exact"/>
        <w:rPr>
          <w:rFonts w:ascii="Arial" w:cs="Arial" w:eastAsia="Arial" w:hAnsi="Arial"/>
          <w:sz w:val="14"/>
          <w:szCs w:val="14"/>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John L. Manley</w:t>
      </w:r>
    </w:p>
    <w:p>
      <w:pPr>
        <w:spacing w:after="0" w:line="136" w:lineRule="exact"/>
        <w:rPr>
          <w:rFonts w:ascii="Arial" w:cs="Arial" w:eastAsia="Arial" w:hAnsi="Arial"/>
          <w:sz w:val="14"/>
          <w:szCs w:val="14"/>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J. Thomas Presby</w:t>
      </w:r>
    </w:p>
    <w:p>
      <w:pPr>
        <w:spacing w:after="0" w:line="136" w:lineRule="exact"/>
        <w:rPr>
          <w:rFonts w:ascii="Arial" w:cs="Arial" w:eastAsia="Arial" w:hAnsi="Arial"/>
          <w:sz w:val="14"/>
          <w:szCs w:val="14"/>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Stephen K. Roddenberry</w:t>
      </w:r>
    </w:p>
    <w:p>
      <w:pPr>
        <w:spacing w:after="0" w:line="136" w:lineRule="exact"/>
        <w:rPr>
          <w:rFonts w:ascii="Arial" w:cs="Arial" w:eastAsia="Arial" w:hAnsi="Arial"/>
          <w:sz w:val="14"/>
          <w:szCs w:val="14"/>
          <w:color w:val="auto"/>
        </w:rPr>
      </w:pPr>
    </w:p>
    <w:p>
      <w:pPr>
        <w:ind w:left="1700" w:hanging="558"/>
        <w:spacing w:after="0"/>
        <w:tabs>
          <w:tab w:leader="none" w:pos="1700" w:val="left"/>
        </w:tabs>
        <w:numPr>
          <w:ilvl w:val="1"/>
          <w:numId w:val="7"/>
        </w:numPr>
        <w:rPr>
          <w:rFonts w:ascii="Arial" w:cs="Arial" w:eastAsia="Arial" w:hAnsi="Arial"/>
          <w:sz w:val="14"/>
          <w:szCs w:val="14"/>
          <w:color w:val="auto"/>
        </w:rPr>
      </w:pPr>
      <w:r>
        <w:rPr>
          <w:rFonts w:ascii="Arial" w:cs="Arial" w:eastAsia="Arial" w:hAnsi="Arial"/>
          <w:sz w:val="14"/>
          <w:szCs w:val="14"/>
          <w:color w:val="auto"/>
        </w:rPr>
        <w:t>Paul H. Stebbins</w:t>
      </w:r>
    </w:p>
    <w:p>
      <w:pPr>
        <w:spacing w:after="0" w:line="203" w:lineRule="exact"/>
        <w:rPr>
          <w:rFonts w:ascii="Arial" w:cs="Arial" w:eastAsia="Arial" w:hAnsi="Arial"/>
          <w:sz w:val="14"/>
          <w:szCs w:val="14"/>
          <w:color w:val="auto"/>
        </w:rPr>
      </w:pPr>
    </w:p>
    <w:p>
      <w:pPr>
        <w:ind w:left="1120" w:hanging="612"/>
        <w:spacing w:after="0"/>
        <w:tabs>
          <w:tab w:leader="none" w:pos="1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Approval of the non-binding, advisory vote on executive compensation.</w:t>
      </w:r>
    </w:p>
    <w:p>
      <w:pPr>
        <w:spacing w:after="0" w:line="284" w:lineRule="exact"/>
        <w:rPr>
          <w:rFonts w:ascii="Arial" w:cs="Arial" w:eastAsia="Arial" w:hAnsi="Arial"/>
          <w:sz w:val="14"/>
          <w:szCs w:val="14"/>
          <w:color w:val="auto"/>
        </w:rPr>
      </w:pPr>
    </w:p>
    <w:p>
      <w:pPr>
        <w:ind w:left="1120" w:hanging="612"/>
        <w:spacing w:after="0"/>
        <w:tabs>
          <w:tab w:leader="none" w:pos="1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Recommendation on the frequency of future advisory votes on executive compensation.</w:t>
      </w:r>
    </w:p>
    <w:p>
      <w:pPr>
        <w:spacing w:after="0" w:line="284" w:lineRule="exact"/>
        <w:rPr>
          <w:rFonts w:ascii="Arial" w:cs="Arial" w:eastAsia="Arial" w:hAnsi="Arial"/>
          <w:sz w:val="14"/>
          <w:szCs w:val="14"/>
          <w:color w:val="auto"/>
        </w:rPr>
      </w:pPr>
    </w:p>
    <w:p>
      <w:pPr>
        <w:ind w:left="1120" w:right="1580" w:hanging="612"/>
        <w:spacing w:after="0" w:line="253" w:lineRule="auto"/>
        <w:tabs>
          <w:tab w:leader="none" w:pos="1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Ratification of the appointment of PricewaterhouseCoopers LLP as the Company’s independent registered certified public accounting firm for the 2017 fiscal year.</w:t>
      </w:r>
    </w:p>
    <w:p>
      <w:pPr>
        <w:spacing w:after="0" w:line="386"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In their discretion, the proxies are authorized to vote upon any other matter coming before the meeting.</w:t>
      </w:r>
    </w:p>
    <w:p>
      <w:pPr>
        <w:sectPr>
          <w:pgSz w:w="11900" w:h="16838" w:orient="portrait"/>
          <w:cols w:equalWidth="0" w:num="1">
            <w:col w:w="11420"/>
          </w:cols>
          <w:pgMar w:left="240" w:top="368" w:right="239" w:bottom="0" w:gutter="0" w:footer="0" w:header="0"/>
          <w:type w:val="continuous"/>
        </w:sectPr>
      </w:pPr>
    </w:p>
    <w:bookmarkStart w:id="2" w:name="page3"/>
    <w:bookmarkEnd w:id="2"/>
    <w:p>
      <w:pPr>
        <w:ind w:left="200"/>
        <w:spacing w:after="0" w:line="237" w:lineRule="auto"/>
        <w:rPr>
          <w:sz w:val="20"/>
          <w:szCs w:val="20"/>
          <w:color w:val="auto"/>
        </w:rPr>
      </w:pPr>
      <w:r>
        <w:rPr>
          <w:rFonts w:ascii="Arial" w:cs="Arial" w:eastAsia="Arial" w:hAnsi="Arial"/>
          <w:sz w:val="14"/>
          <w:szCs w:val="14"/>
          <w:color w:val="auto"/>
        </w:rPr>
        <w:t>THIS PROXY, WHEN PROPERLY EXECUTED, WILL BE VOTED IN THE MANNER DIRECTED HEREIN BY THE UNDERSIGNED SHAREHOLDER. IF NO DIRECTION IS MADE, THE PROXY WILL BE VOTED FOR ALL NOMINEES AND ON ALL OTHER PROPOSALS AS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411480</wp:posOffset>
            </wp:positionV>
            <wp:extent cx="40322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3225" cy="1974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812800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920"/>
      </w:cols>
      <w:pgMar w:left="144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x"/>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2019-12-05T13:34:57Z</dcterms:created>
  <dcterms:modified xsi:type="dcterms:W3CDTF">2019-12-05T13:34:57Z</dcterms:modified>
</cp:coreProperties>
</file>