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120650</wp:posOffset>
            </wp:positionV>
            <wp:extent cx="149161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148590</wp:posOffset>
            </wp:positionV>
            <wp:extent cx="149161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12,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142240</wp:posOffset>
            </wp:positionV>
            <wp:extent cx="149161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WORLD FUEL SERVICES CORPORATION</w:t>
      </w:r>
    </w:p>
    <w:p>
      <w:pPr>
        <w:spacing w:after="0" w:line="45"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7100" w:type="dxa"/>
            <w:vAlign w:val="bottom"/>
            <w:gridSpan w:val="3"/>
          </w:tcPr>
          <w:p>
            <w:pPr>
              <w:jc w:val="center"/>
              <w:ind w:left="2730"/>
              <w:spacing w:after="0"/>
              <w:rPr>
                <w:sz w:val="20"/>
                <w:szCs w:val="20"/>
                <w:color w:val="auto"/>
              </w:rPr>
            </w:pPr>
            <w:r>
              <w:rPr>
                <w:rFonts w:ascii="Arial" w:cs="Arial" w:eastAsia="Arial" w:hAnsi="Arial"/>
                <w:sz w:val="18"/>
                <w:szCs w:val="18"/>
                <w:color w:val="auto"/>
                <w:w w:val="90"/>
              </w:rPr>
              <w:t>(Exact name of registrant as specified in its charter)</w:t>
            </w:r>
          </w:p>
        </w:tc>
        <w:tc>
          <w:tcPr>
            <w:tcW w:w="2380" w:type="dxa"/>
            <w:vAlign w:val="bottom"/>
          </w:tcPr>
          <w:p>
            <w:pPr>
              <w:spacing w:after="0"/>
              <w:rPr>
                <w:sz w:val="20"/>
                <w:szCs w:val="20"/>
                <w:color w:val="auto"/>
              </w:rPr>
            </w:pPr>
          </w:p>
        </w:tc>
      </w:tr>
      <w:tr>
        <w:trPr>
          <w:trHeight w:val="207"/>
        </w:trPr>
        <w:tc>
          <w:tcPr>
            <w:tcW w:w="3800" w:type="dxa"/>
            <w:vAlign w:val="bottom"/>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10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446"/>
        </w:trPr>
        <w:tc>
          <w:tcPr>
            <w:tcW w:w="38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6"/>
              </w:rPr>
              <w:t>Florida</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1-9533</w:t>
            </w:r>
          </w:p>
        </w:tc>
        <w:tc>
          <w:tcPr>
            <w:tcW w:w="1000" w:type="dxa"/>
            <w:vAlign w:val="bottom"/>
          </w:tcPr>
          <w:p>
            <w:pPr>
              <w:spacing w:after="0"/>
              <w:rPr>
                <w:sz w:val="24"/>
                <w:szCs w:val="24"/>
                <w:color w:val="auto"/>
              </w:rPr>
            </w:pP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59-2459427</w:t>
            </w:r>
          </w:p>
        </w:tc>
      </w:tr>
      <w:tr>
        <w:trPr>
          <w:trHeight w:val="225"/>
        </w:trPr>
        <w:tc>
          <w:tcPr>
            <w:tcW w:w="38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1"/>
              </w:rPr>
              <w:t>(State or other jurisdiction of</w:t>
            </w:r>
          </w:p>
        </w:tc>
        <w:tc>
          <w:tcPr>
            <w:tcW w:w="330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1"/>
              </w:rPr>
              <w:t>(Commission File Number)</w:t>
            </w:r>
          </w:p>
        </w:tc>
        <w:tc>
          <w:tcPr>
            <w:tcW w:w="2380" w:type="dxa"/>
            <w:vAlign w:val="bottom"/>
          </w:tcPr>
          <w:p>
            <w:pPr>
              <w:jc w:val="center"/>
              <w:ind w:left="8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800" w:type="dxa"/>
            <w:vAlign w:val="bottom"/>
          </w:tcPr>
          <w:p>
            <w:pPr>
              <w:jc w:val="center"/>
              <w:ind w:right="1470"/>
              <w:spacing w:after="0"/>
              <w:rPr>
                <w:sz w:val="20"/>
                <w:szCs w:val="20"/>
                <w:color w:val="auto"/>
              </w:rPr>
            </w:pPr>
            <w:r>
              <w:rPr>
                <w:rFonts w:ascii="Arial" w:cs="Arial" w:eastAsia="Arial" w:hAnsi="Arial"/>
                <w:sz w:val="18"/>
                <w:szCs w:val="18"/>
                <w:b w:val="1"/>
                <w:bCs w:val="1"/>
                <w:color w:val="auto"/>
                <w:w w:val="91"/>
              </w:rPr>
              <w:t>incorporation)</w:t>
            </w: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2"/>
              </w:rPr>
              <w:t>Identification No.)</w:t>
            </w:r>
          </w:p>
        </w:tc>
      </w:tr>
      <w:tr>
        <w:trPr>
          <w:trHeight w:val="941"/>
        </w:trPr>
        <w:tc>
          <w:tcPr>
            <w:tcW w:w="380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 Suite 400</w:t>
            </w:r>
          </w:p>
        </w:tc>
        <w:tc>
          <w:tcPr>
            <w:tcW w:w="2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4"/>
        </w:trPr>
        <w:tc>
          <w:tcPr>
            <w:tcW w:w="3800" w:type="dxa"/>
            <w:vAlign w:val="bottom"/>
          </w:tcPr>
          <w:p>
            <w:pPr>
              <w:jc w:val="center"/>
              <w:ind w:left="310"/>
              <w:spacing w:after="0"/>
              <w:rPr>
                <w:sz w:val="20"/>
                <w:szCs w:val="20"/>
                <w:color w:val="auto"/>
              </w:rPr>
            </w:pPr>
            <w:r>
              <w:rPr>
                <w:rFonts w:ascii="Arial" w:cs="Arial" w:eastAsia="Arial" w:hAnsi="Arial"/>
                <w:sz w:val="18"/>
                <w:szCs w:val="18"/>
                <w:b w:val="1"/>
                <w:bCs w:val="1"/>
                <w:color w:val="auto"/>
                <w:w w:val="95"/>
              </w:rPr>
              <w:t>Miami, Florida</w:t>
            </w: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right"/>
              <w:ind w:right="1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380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tcPr>
          <w:p>
            <w:pPr>
              <w:jc w:val="center"/>
              <w:ind w:right="890"/>
              <w:spacing w:after="0"/>
              <w:rPr>
                <w:sz w:val="20"/>
                <w:szCs w:val="20"/>
                <w:color w:val="auto"/>
              </w:rPr>
            </w:pPr>
            <w:r>
              <w:rPr>
                <w:rFonts w:ascii="Arial" w:cs="Arial" w:eastAsia="Arial" w:hAnsi="Arial"/>
                <w:sz w:val="18"/>
                <w:szCs w:val="18"/>
                <w:b w:val="1"/>
                <w:bCs w:val="1"/>
                <w:color w:val="auto"/>
                <w:w w:val="94"/>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4340225</wp:posOffset>
            </wp:positionH>
            <wp:positionV relativeFrom="paragraph">
              <wp:posOffset>-1504315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-1504315</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142240</wp:posOffset>
            </wp:positionV>
            <wp:extent cx="149161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56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sz w:val="24"/>
          <w:szCs w:val="24"/>
          <w:color w:val="auto"/>
        </w:rPr>
      </w:pPr>
    </w:p>
    <w:p>
      <w:pPr>
        <w:ind w:left="56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456565</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949"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2" w:lineRule="exact"/>
        <w:rPr>
          <w:sz w:val="20"/>
          <w:szCs w:val="20"/>
          <w:color w:val="auto"/>
        </w:rPr>
      </w:pPr>
    </w:p>
    <w:p>
      <w:pPr>
        <w:jc w:val="both"/>
        <w:ind w:firstLine="308"/>
        <w:spacing w:after="0" w:line="251" w:lineRule="auto"/>
        <w:rPr>
          <w:sz w:val="20"/>
          <w:szCs w:val="20"/>
          <w:color w:val="auto"/>
        </w:rPr>
      </w:pPr>
      <w:r>
        <w:rPr>
          <w:rFonts w:ascii="Arial" w:cs="Arial" w:eastAsia="Arial" w:hAnsi="Arial"/>
          <w:sz w:val="22"/>
          <w:szCs w:val="22"/>
          <w:color w:val="auto"/>
        </w:rPr>
        <w:t>The following information is provided pursuant to Item 7.01 of Form 8-K, “Regulation FD Disclosure” and Item 2.02 of Form 8-K, “Results of Operations and Financial Condition.”</w:t>
      </w:r>
    </w:p>
    <w:p>
      <w:pPr>
        <w:spacing w:after="0" w:line="173" w:lineRule="exact"/>
        <w:rPr>
          <w:sz w:val="20"/>
          <w:szCs w:val="20"/>
          <w:color w:val="auto"/>
        </w:rPr>
      </w:pPr>
    </w:p>
    <w:p>
      <w:pPr>
        <w:jc w:val="both"/>
        <w:ind w:right="20" w:firstLine="405"/>
        <w:spacing w:after="0" w:line="274" w:lineRule="auto"/>
        <w:rPr>
          <w:sz w:val="20"/>
          <w:szCs w:val="20"/>
          <w:color w:val="auto"/>
        </w:rPr>
      </w:pPr>
      <w:r>
        <w:rPr>
          <w:rFonts w:ascii="Arial" w:cs="Arial" w:eastAsia="Arial" w:hAnsi="Arial"/>
          <w:sz w:val="21"/>
          <w:szCs w:val="21"/>
          <w:color w:val="auto"/>
        </w:rPr>
        <w:t>On February 12, 2014, World Fuel Services Corporation issued a press release reporting its financial results for the fourth quarter and fiscal year ended December 31, 2013. A copy of the press release is attached hereto as Exhibit 99.1.</w:t>
      </w:r>
    </w:p>
    <w:p>
      <w:pPr>
        <w:spacing w:after="0" w:line="151" w:lineRule="exact"/>
        <w:rPr>
          <w:sz w:val="20"/>
          <w:szCs w:val="20"/>
          <w:color w:val="auto"/>
        </w:rPr>
      </w:pPr>
    </w:p>
    <w:p>
      <w:pPr>
        <w:jc w:val="both"/>
        <w:ind w:firstLine="343"/>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500" w:type="dxa"/>
            <w:vAlign w:val="bottom"/>
            <w:gridSpan w:val="3"/>
          </w:tcPr>
          <w:p>
            <w:pPr>
              <w:ind w:left="820"/>
              <w:spacing w:after="0"/>
              <w:rPr>
                <w:sz w:val="20"/>
                <w:szCs w:val="20"/>
                <w:color w:val="auto"/>
              </w:rPr>
            </w:pPr>
            <w:r>
              <w:rPr>
                <w:rFonts w:ascii="Arial" w:cs="Arial" w:eastAsia="Arial" w:hAnsi="Arial"/>
                <w:sz w:val="22"/>
                <w:szCs w:val="22"/>
                <w:color w:val="auto"/>
              </w:rPr>
              <w:t>(d)   Exhibits</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580" w:type="dxa"/>
            <w:vAlign w:val="bottom"/>
          </w:tcPr>
          <w:p>
            <w:pPr>
              <w:spacing w:after="0"/>
              <w:rPr>
                <w:sz w:val="23"/>
                <w:szCs w:val="23"/>
                <w:color w:val="auto"/>
              </w:rPr>
            </w:pPr>
          </w:p>
        </w:tc>
      </w:tr>
      <w:tr>
        <w:trPr>
          <w:trHeight w:val="409"/>
        </w:trPr>
        <w:tc>
          <w:tcPr>
            <w:tcW w:w="122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22"/>
                <w:szCs w:val="22"/>
                <w:b w:val="1"/>
                <w:bCs w:val="1"/>
                <w:color w:val="auto"/>
                <w:w w:val="92"/>
              </w:rPr>
              <w:t>Exhibit No.</w:t>
            </w:r>
          </w:p>
        </w:tc>
        <w:tc>
          <w:tcPr>
            <w:tcW w:w="8920" w:type="dxa"/>
            <w:vAlign w:val="bottom"/>
            <w:gridSpan w:val="3"/>
          </w:tcPr>
          <w:p>
            <w:pPr>
              <w:ind w:left="260"/>
              <w:spacing w:after="0"/>
              <w:rPr>
                <w:sz w:val="20"/>
                <w:szCs w:val="20"/>
                <w:color w:val="auto"/>
              </w:rPr>
            </w:pPr>
            <w:r>
              <w:rPr>
                <w:rFonts w:ascii="Arial" w:cs="Arial" w:eastAsia="Arial" w:hAnsi="Arial"/>
                <w:sz w:val="22"/>
                <w:szCs w:val="22"/>
                <w:b w:val="1"/>
                <w:bCs w:val="1"/>
                <w:color w:val="auto"/>
              </w:rPr>
              <w:t>Description</w:t>
            </w:r>
          </w:p>
        </w:tc>
      </w:tr>
      <w:tr>
        <w:trPr>
          <w:trHeight w:val="20"/>
        </w:trPr>
        <w:tc>
          <w:tcPr>
            <w:tcW w:w="1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r>
      <w:tr>
        <w:trPr>
          <w:trHeight w:val="490"/>
        </w:trPr>
        <w:tc>
          <w:tcPr>
            <w:tcW w:w="1220" w:type="dxa"/>
            <w:vAlign w:val="bottom"/>
          </w:tcPr>
          <w:p>
            <w:pPr>
              <w:spacing w:after="0"/>
              <w:rPr>
                <w:sz w:val="24"/>
                <w:szCs w:val="24"/>
                <w:color w:val="auto"/>
              </w:rPr>
            </w:pPr>
          </w:p>
        </w:tc>
        <w:tc>
          <w:tcPr>
            <w:tcW w:w="1060" w:type="dxa"/>
            <w:vAlign w:val="bottom"/>
          </w:tcPr>
          <w:p>
            <w:pPr>
              <w:jc w:val="right"/>
              <w:ind w:right="252"/>
              <w:spacing w:after="0"/>
              <w:rPr>
                <w:sz w:val="20"/>
                <w:szCs w:val="20"/>
                <w:color w:val="auto"/>
              </w:rPr>
            </w:pPr>
            <w:r>
              <w:rPr>
                <w:rFonts w:ascii="Arial" w:cs="Arial" w:eastAsia="Arial" w:hAnsi="Arial"/>
                <w:sz w:val="22"/>
                <w:szCs w:val="22"/>
                <w:color w:val="auto"/>
              </w:rPr>
              <w:t>99.1</w:t>
            </w:r>
          </w:p>
        </w:tc>
        <w:tc>
          <w:tcPr>
            <w:tcW w:w="220" w:type="dxa"/>
            <w:vAlign w:val="bottom"/>
          </w:tcPr>
          <w:p>
            <w:pPr>
              <w:spacing w:after="0"/>
              <w:rPr>
                <w:sz w:val="24"/>
                <w:szCs w:val="24"/>
                <w:color w:val="auto"/>
              </w:rPr>
            </w:pPr>
          </w:p>
        </w:tc>
        <w:tc>
          <w:tcPr>
            <w:tcW w:w="8920" w:type="dxa"/>
            <w:vAlign w:val="bottom"/>
            <w:gridSpan w:val="3"/>
          </w:tcPr>
          <w:p>
            <w:pPr>
              <w:ind w:left="240"/>
              <w:spacing w:after="0"/>
              <w:rPr>
                <w:sz w:val="20"/>
                <w:szCs w:val="20"/>
                <w:color w:val="auto"/>
              </w:rPr>
            </w:pPr>
            <w:r>
              <w:rPr>
                <w:rFonts w:ascii="Arial" w:cs="Arial" w:eastAsia="Arial" w:hAnsi="Arial"/>
                <w:sz w:val="22"/>
                <w:szCs w:val="22"/>
                <w:color w:val="auto"/>
              </w:rPr>
              <w:t>Press Release, dated February 12, 2014.</w:t>
            </w:r>
          </w:p>
        </w:tc>
      </w:tr>
      <w:tr>
        <w:trPr>
          <w:trHeight w:val="206"/>
        </w:trPr>
        <w:tc>
          <w:tcPr>
            <w:tcW w:w="122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7580" w:type="dxa"/>
            <w:vAlign w:val="bottom"/>
            <w:tcBorders>
              <w:bottom w:val="single" w:sz="8" w:color="9A9A9A"/>
            </w:tcBorders>
          </w:tcPr>
          <w:p>
            <w:pPr>
              <w:spacing w:after="0"/>
              <w:rPr>
                <w:sz w:val="17"/>
                <w:szCs w:val="17"/>
                <w:color w:val="auto"/>
              </w:rPr>
            </w:pPr>
          </w:p>
        </w:tc>
      </w:tr>
      <w:tr>
        <w:trPr>
          <w:trHeight w:val="21"/>
        </w:trPr>
        <w:tc>
          <w:tcPr>
            <w:tcW w:w="122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75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February 12, 2014</w:t>
      </w:r>
      <w:r>
        <w:rPr>
          <w:sz w:val="20"/>
          <w:szCs w:val="20"/>
          <w:color w:val="auto"/>
        </w:rPr>
        <w:tab/>
      </w:r>
      <w:r>
        <w:rPr>
          <w:rFonts w:ascii="Arial" w:cs="Arial" w:eastAsia="Arial" w:hAnsi="Arial"/>
          <w:sz w:val="16"/>
          <w:szCs w:val="16"/>
          <w:b w:val="1"/>
          <w:bCs w:val="1"/>
          <w:color w:val="auto"/>
        </w:rPr>
        <w:t>World Fuel Services Corporation</w:t>
      </w: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Ira M. Birns</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00"/>
          </w:cols>
          <w:pgMar w:left="240" w:top="121" w:right="9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17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540" w:type="dxa"/>
            <w:vAlign w:val="bottom"/>
          </w:tcPr>
          <w:p>
            <w:pPr>
              <w:ind w:left="2040"/>
              <w:spacing w:after="0"/>
              <w:rPr>
                <w:sz w:val="20"/>
                <w:szCs w:val="20"/>
                <w:color w:val="auto"/>
              </w:rPr>
            </w:pPr>
            <w:r>
              <w:rPr>
                <w:rFonts w:ascii="Arial" w:cs="Arial" w:eastAsia="Arial" w:hAnsi="Arial"/>
                <w:sz w:val="22"/>
                <w:szCs w:val="22"/>
                <w:color w:val="auto"/>
              </w:rPr>
              <w:t>EXHIBIT INDEX</w:t>
            </w:r>
          </w:p>
        </w:tc>
      </w:tr>
      <w:tr>
        <w:trPr>
          <w:trHeight w:val="686"/>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1160" w:type="dxa"/>
            <w:vAlign w:val="bottom"/>
          </w:tcPr>
          <w:p>
            <w:pPr>
              <w:spacing w:after="0"/>
              <w:rPr>
                <w:sz w:val="24"/>
                <w:szCs w:val="24"/>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116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Press Release, dated February 12, 2014.</w:t>
            </w:r>
          </w:p>
        </w:tc>
      </w:tr>
    </w:tbl>
    <w:p>
      <w:pPr>
        <w:sectPr>
          <w:pgSz w:w="11900" w:h="16838" w:orient="portrait"/>
          <w:cols w:equalWidth="0" w:num="1">
            <w:col w:w="11420"/>
          </w:cols>
          <w:pgMar w:left="240" w:top="11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Reports Fourth Quarter and Full Year Earnings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Generated $264 million of Operating Cash Flow for the Full Year</w:t>
      </w:r>
    </w:p>
    <w:p>
      <w:pPr>
        <w:spacing w:after="0" w:line="212"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MIAMI--(BUSINESS WIRE)--February 12, 2014--World Fuel Services Corporation (NYSE: INT), a leading global fuel logistics company, principally engaged in the marketing, sale and distribution of aviation, marine and land fuel and related products and services, today reported full year net income of $203.1 million or $2.83 diluted earnings per share. This compares to $189.3 million or $2.64 diluted earnings per share for the same period in 2012. Non-GAAP net income and diluted earnings per share for the full year, excluding share-based compensation, amortization of acquired intangible assets and expenses related to certain acquisitions were $230.5 million and $3.22, respectively, compared to $215.9 million and $3.01 in 2012.</w:t>
      </w:r>
    </w:p>
    <w:p>
      <w:pPr>
        <w:spacing w:after="0" w:line="151"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For the fourth quarter, net income was $51.9 million or $0.73 diluted earnings per share. This compares to $42.8 million or $0.60 diluted earnings per share in the fourth quarter of 2012. Non-GAAP net income and diluted earnings per share for the fourth quarter, excluding share-based compensation, amortization of acquired intangible assets and expenses related to certain acquisitions were $60.1 million and $0.85, respectively, compared to $52.3 million and $0.73 in the fourth quarter of 2012.</w:t>
      </w:r>
    </w:p>
    <w:p>
      <w:pPr>
        <w:spacing w:after="0" w:line="143"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“Considering continued macro-economic headwinds, we are pleased with our strong results in the fourth quarter,” stated Michael J. Kasbar, president and chief executive officer of World Fuel Services Corporation. “We continue to expand the breadth of our fuel and service offerings, further enhancing our value proposition and enabling us to continue to grow faster than the markets in which we participate.”</w:t>
      </w:r>
    </w:p>
    <w:p>
      <w:pPr>
        <w:spacing w:after="0" w:line="185"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For the full year, the company’s aviation segment generated gross profit of $327.2 million, an increase of approximately $32.6 million or 11.1% year-over-year. The company’s marine segment generated gross profit of $177.1 million, a decrease of $31.0 million or 14.9% year-over-year. The company’s land segment posted gross profit of $248.5 million, an increase of $77.7 million or 45.5% year-over-year.</w:t>
      </w:r>
    </w:p>
    <w:p>
      <w:pPr>
        <w:spacing w:after="0" w:line="185" w:lineRule="exact"/>
        <w:rPr>
          <w:sz w:val="20"/>
          <w:szCs w:val="20"/>
          <w:color w:val="auto"/>
        </w:rPr>
      </w:pPr>
    </w:p>
    <w:p>
      <w:pPr>
        <w:ind w:right="180"/>
        <w:spacing w:after="0" w:line="252" w:lineRule="auto"/>
        <w:rPr>
          <w:sz w:val="20"/>
          <w:szCs w:val="20"/>
          <w:color w:val="auto"/>
        </w:rPr>
      </w:pPr>
      <w:r>
        <w:rPr>
          <w:rFonts w:ascii="Arial" w:cs="Arial" w:eastAsia="Arial" w:hAnsi="Arial"/>
          <w:sz w:val="21"/>
          <w:szCs w:val="21"/>
          <w:color w:val="auto"/>
        </w:rPr>
        <w:t>“We posted strong operating cash flow in 2013 and have now generated more than $410 million of operating cash flow during the past two years,” said Ira M. Birns, executive vice president and chief financial officer. “Our solid cash flow profile has enabled us to invest organically and through strategic acquisitions and more recently, repurchase company stock as we did again during the fourth quarter, all while maintaining a strong and liquid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111760</wp:posOffset>
            </wp:positionV>
            <wp:extent cx="727202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Non-GAAP Financial Measures</w:t>
      </w:r>
    </w:p>
    <w:p>
      <w:pPr>
        <w:spacing w:after="0" w:line="207"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This press release includes selected financial information that has not been prepared in accordance with accounting principles generally accepted in the United States (“GAAP”). This information includes non-GAAP net income and non-GAAP diluted earnings per share. The non-GAAP financial measures exclude costs associated with share based compensation, amortization of acquired intangible assets and expenses related to certain acquisitions primarily because we do not believe they are reflective of the Company's core operating results. We believe the exclusion of share-based compensation from operating expenses is useful given the variation in expense that can result from changes in the fair value of our common stock, the effect of which is unrelated to the operational conditions that give rise to variations in the components of our operating costs. Also, we believe the exclusion of the amortization of acquired intangible assets, as well as the expenses related to the anticipated acquisition of Watson Petroleum Limited and the acquisition of select assets of the Multi Service business, are useful for purposes of evaluating operating performance of our core operating results and comparing them period-over-period. We believe that these non-GAAP financial measures, when considered in conjunction with our financial information prepared in accordance with GAAP, are useful to investors to further aid in evaluating the ongoing financial performance of the Company and to provide greater transparency as supplemental information to our GAAP results.</w:t>
      </w:r>
    </w:p>
    <w:p>
      <w:pPr>
        <w:spacing w:after="0" w:line="200" w:lineRule="exact"/>
        <w:rPr>
          <w:sz w:val="20"/>
          <w:szCs w:val="20"/>
          <w:color w:val="auto"/>
        </w:rPr>
      </w:pPr>
    </w:p>
    <w:p>
      <w:pPr>
        <w:spacing w:after="0" w:line="205"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Non-GAAP financial measures should not be considered in isolation from, or as a substitute for, financial information prepared in accordance with GAAP. In addition, our presentation of non-GAAP net income and non-GAAP diluted earnings per common share may not be comparable to the presentation of such metrics by other companies. Non-GAAP diluted earnings per common share is computed by dividing non-GAAP net income attributable to World Fuel and available to common shareholders by the sum of the weighted average number of shares of common stock, stock units, restricted stock entitled to dividends not subject to forfeiture and vested restricted stock units outstanding during the period and the number of additional shares of common stock that would have been outstanding if our outstanding potentially dilutive securities had been issued. Investors are encouraged to review the reconciliation of these non-GAAP measures to their most directly comparable GAAP financial measures.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Information Relating to Forward-Looking Statements</w:t>
      </w:r>
    </w:p>
    <w:p>
      <w:pPr>
        <w:spacing w:after="0" w:line="206"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This release includes forward-looking statements within the meaning of the Private Securities Litigation Reform Act of 1995, including statements regarding our expectations about opportunities for growth and our value proposition. These forward-looking statements are qualified in their entirety by cautionary statements and risk factor disclosures contained in the company’s Securities and Exchange Commission ("SEC") filings, including the company’s Annual Report on Form 10-K filed with the SEC on February 21, 2013. Actual results may differ materially from any forward-looking statements due to risks and uncertainties, including, but not limited to: our ability to effectively integrate and derive benefits from acquired businesses, our ability to capitalize on new market opportunities, potential liabilities and the extent of any insurance coverage, the outcome of pending litigation and other proceedings, the impact of quarterly fluctuations in results,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our failure to effectively hedge certain financial risks associated with the use of derivatives, non-performance by counterparties or customers on derivatives contracts, loss of, or reduced sales, to a significant government customer, uninsured losses, the impact of natural disasters, adverse results in legal disputes, unanticipated tax liabilities, our ability to retain and attract senior management and other key employees and other risks detailed from time to time in the company’s SEC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260"/>
        <w:spacing w:after="0" w:line="238" w:lineRule="auto"/>
        <w:rPr>
          <w:sz w:val="20"/>
          <w:szCs w:val="20"/>
          <w:color w:val="auto"/>
        </w:rPr>
      </w:pPr>
      <w:r>
        <w:rPr>
          <w:rFonts w:ascii="Arial" w:cs="Arial" w:eastAsia="Arial" w:hAnsi="Arial"/>
          <w:sz w:val="22"/>
          <w:szCs w:val="22"/>
          <w:color w:val="auto"/>
        </w:rPr>
        <w:t>Headquartered in Miami, Florida, World Fuel Services is a leading global fuel logistics company, principally engaged in the marketing, sale and distribution of aviation, marine and land fuel and related products and services on a worldwide basis. World Fuel Services sells fuel and delivers services to its clients at more than 8,000 locations in more than 200 countries and territories worldwide.</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19"/>
          <w:szCs w:val="19"/>
          <w:u w:val="single" w:color="auto"/>
          <w:color w:val="auto"/>
        </w:rPr>
        <w:t>www.wfscorp.com</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27202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7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color w:val="auto"/>
                <w:w w:val="93"/>
              </w:rPr>
              <w:t>As of</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3"/>
          </w:tcPr>
          <w:p>
            <w:pPr>
              <w:ind w:left="140"/>
              <w:spacing w:after="0"/>
              <w:rPr>
                <w:sz w:val="20"/>
                <w:szCs w:val="20"/>
                <w:color w:val="auto"/>
              </w:rPr>
            </w:pPr>
            <w:r>
              <w:rPr>
                <w:rFonts w:ascii="Arial" w:cs="Arial" w:eastAsia="Arial" w:hAnsi="Arial"/>
                <w:sz w:val="14"/>
                <w:szCs w:val="14"/>
                <w:color w:val="auto"/>
              </w:rPr>
              <w:t>December 31,</w:t>
            </w:r>
          </w:p>
        </w:tc>
        <w:tc>
          <w:tcPr>
            <w:tcW w:w="240" w:type="dxa"/>
            <w:vAlign w:val="bottom"/>
          </w:tcPr>
          <w:p>
            <w:pPr>
              <w:spacing w:after="0"/>
              <w:rPr>
                <w:sz w:val="14"/>
                <w:szCs w:val="14"/>
                <w:color w:val="auto"/>
              </w:rPr>
            </w:pPr>
          </w:p>
        </w:tc>
        <w:tc>
          <w:tcPr>
            <w:tcW w:w="1440" w:type="dxa"/>
            <w:vAlign w:val="bottom"/>
          </w:tcPr>
          <w:p>
            <w:pPr>
              <w:jc w:val="right"/>
              <w:ind w:right="408"/>
              <w:spacing w:after="0"/>
              <w:rPr>
                <w:sz w:val="20"/>
                <w:szCs w:val="20"/>
                <w:color w:val="auto"/>
              </w:rPr>
            </w:pPr>
            <w:r>
              <w:rPr>
                <w:rFonts w:ascii="Arial" w:cs="Arial" w:eastAsia="Arial" w:hAnsi="Arial"/>
                <w:sz w:val="14"/>
                <w:szCs w:val="14"/>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7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2013</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7720" w:type="dxa"/>
            <w:vAlign w:val="bottom"/>
          </w:tcPr>
          <w:p>
            <w:pPr>
              <w:spacing w:after="0"/>
              <w:rPr>
                <w:sz w:val="20"/>
                <w:szCs w:val="20"/>
                <w:color w:val="auto"/>
              </w:rPr>
            </w:pPr>
            <w:r>
              <w:rPr>
                <w:rFonts w:ascii="Arial" w:cs="Arial" w:eastAsia="Arial" w:hAnsi="Arial"/>
                <w:sz w:val="14"/>
                <w:szCs w:val="14"/>
                <w:color w:val="auto"/>
              </w:rPr>
              <w:t>Assets:</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292,061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172,740</w:t>
            </w:r>
          </w:p>
        </w:tc>
        <w:tc>
          <w:tcPr>
            <w:tcW w:w="0" w:type="dxa"/>
            <w:vAlign w:val="bottom"/>
          </w:tcPr>
          <w:p>
            <w:pPr>
              <w:spacing w:after="0"/>
              <w:rPr>
                <w:sz w:val="1"/>
                <w:szCs w:val="1"/>
                <w:color w:val="auto"/>
              </w:rPr>
            </w:pPr>
          </w:p>
        </w:tc>
      </w:tr>
      <w:tr>
        <w:trPr>
          <w:trHeight w:val="176"/>
        </w:trPr>
        <w:tc>
          <w:tcPr>
            <w:tcW w:w="7720" w:type="dxa"/>
            <w:vAlign w:val="bottom"/>
          </w:tcPr>
          <w:p>
            <w:pPr>
              <w:ind w:left="220"/>
              <w:spacing w:after="0"/>
              <w:rPr>
                <w:sz w:val="20"/>
                <w:szCs w:val="20"/>
                <w:color w:val="auto"/>
              </w:rPr>
            </w:pPr>
            <w:r>
              <w:rPr>
                <w:rFonts w:ascii="Arial" w:cs="Arial" w:eastAsia="Arial" w:hAnsi="Arial"/>
                <w:sz w:val="14"/>
                <w:szCs w:val="14"/>
                <w:color w:val="auto"/>
              </w:rPr>
              <w:t>Accounts receivable, net</w:t>
            </w: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2,538,642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2,193,866</w:t>
            </w:r>
          </w:p>
        </w:tc>
        <w:tc>
          <w:tcPr>
            <w:tcW w:w="0" w:type="dxa"/>
            <w:vAlign w:val="bottom"/>
          </w:tcPr>
          <w:p>
            <w:pPr>
              <w:spacing w:after="0"/>
              <w:rPr>
                <w:sz w:val="1"/>
                <w:szCs w:val="1"/>
                <w:color w:val="auto"/>
              </w:rPr>
            </w:pPr>
          </w:p>
        </w:tc>
      </w:tr>
      <w:tr>
        <w:trPr>
          <w:trHeight w:val="176"/>
        </w:trPr>
        <w:tc>
          <w:tcPr>
            <w:tcW w:w="772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655,046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572,313</w:t>
            </w:r>
          </w:p>
        </w:tc>
        <w:tc>
          <w:tcPr>
            <w:tcW w:w="0" w:type="dxa"/>
            <w:vAlign w:val="bottom"/>
          </w:tcPr>
          <w:p>
            <w:pPr>
              <w:spacing w:after="0"/>
              <w:rPr>
                <w:sz w:val="1"/>
                <w:szCs w:val="1"/>
                <w:color w:val="auto"/>
              </w:rPr>
            </w:pPr>
          </w:p>
        </w:tc>
      </w:tr>
      <w:tr>
        <w:trPr>
          <w:trHeight w:val="181"/>
        </w:trPr>
        <w:tc>
          <w:tcPr>
            <w:tcW w:w="7720" w:type="dxa"/>
            <w:vAlign w:val="bottom"/>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329,752</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342,458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720" w:type="dxa"/>
            <w:vAlign w:val="bottom"/>
          </w:tcPr>
          <w:p>
            <w:pPr>
              <w:ind w:left="480"/>
              <w:spacing w:after="0"/>
              <w:rPr>
                <w:sz w:val="20"/>
                <w:szCs w:val="20"/>
                <w:color w:val="auto"/>
              </w:rPr>
            </w:pPr>
            <w:r>
              <w:rPr>
                <w:rFonts w:ascii="Arial" w:cs="Arial" w:eastAsia="Arial" w:hAnsi="Arial"/>
                <w:sz w:val="14"/>
                <w:szCs w:val="14"/>
                <w:color w:val="auto"/>
              </w:rPr>
              <w:t>Total current assets</w:t>
            </w: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3,815,501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3,281,377</w:t>
            </w:r>
          </w:p>
        </w:tc>
        <w:tc>
          <w:tcPr>
            <w:tcW w:w="0" w:type="dxa"/>
            <w:vAlign w:val="bottom"/>
          </w:tcPr>
          <w:p>
            <w:pPr>
              <w:spacing w:after="0"/>
              <w:rPr>
                <w:sz w:val="1"/>
                <w:szCs w:val="1"/>
                <w:color w:val="auto"/>
              </w:rPr>
            </w:pPr>
          </w:p>
        </w:tc>
      </w:tr>
      <w:tr>
        <w:trPr>
          <w:trHeight w:val="351"/>
        </w:trPr>
        <w:tc>
          <w:tcPr>
            <w:tcW w:w="77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129,685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112,525</w:t>
            </w:r>
          </w:p>
        </w:tc>
        <w:tc>
          <w:tcPr>
            <w:tcW w:w="0" w:type="dxa"/>
            <w:vAlign w:val="bottom"/>
          </w:tcPr>
          <w:p>
            <w:pPr>
              <w:spacing w:after="0"/>
              <w:rPr>
                <w:sz w:val="1"/>
                <w:szCs w:val="1"/>
                <w:color w:val="auto"/>
              </w:rPr>
            </w:pPr>
          </w:p>
        </w:tc>
      </w:tr>
      <w:tr>
        <w:trPr>
          <w:trHeight w:val="350"/>
        </w:trPr>
        <w:tc>
          <w:tcPr>
            <w:tcW w:w="7720" w:type="dxa"/>
            <w:vAlign w:val="bottom"/>
          </w:tcPr>
          <w:p>
            <w:pPr>
              <w:spacing w:after="0"/>
              <w:rPr>
                <w:sz w:val="20"/>
                <w:szCs w:val="20"/>
                <w:color w:val="auto"/>
              </w:rPr>
            </w:pPr>
            <w:r>
              <w:rPr>
                <w:rFonts w:ascii="Arial" w:cs="Arial" w:eastAsia="Arial" w:hAnsi="Arial"/>
                <w:sz w:val="14"/>
                <w:szCs w:val="14"/>
                <w:color w:val="auto"/>
              </w:rPr>
              <w:t>Goodwill, identifiable intangible and other non-current assets</w:t>
            </w:r>
          </w:p>
        </w:tc>
        <w:tc>
          <w:tcPr>
            <w:tcW w:w="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794,091</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713,849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720" w:type="dxa"/>
            <w:vAlign w:val="bottom"/>
          </w:tcPr>
          <w:p>
            <w:pPr>
              <w:ind w:left="760"/>
              <w:spacing w:after="0"/>
              <w:rPr>
                <w:sz w:val="20"/>
                <w:szCs w:val="20"/>
                <w:color w:val="auto"/>
              </w:rPr>
            </w:pPr>
            <w:r>
              <w:rPr>
                <w:rFonts w:ascii="Arial" w:cs="Arial" w:eastAsia="Arial" w:hAnsi="Arial"/>
                <w:sz w:val="14"/>
                <w:szCs w:val="14"/>
                <w:color w:val="auto"/>
              </w:rPr>
              <w:t>Total assets</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4,739,277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4,107,751</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color w:val="auto"/>
              </w:rPr>
              <w:t>Liabilities and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4"/>
                <w:szCs w:val="14"/>
                <w:color w:val="auto"/>
              </w:rPr>
              <w:t>Liabilities:</w:t>
            </w: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spacing w:after="0"/>
              <w:rPr>
                <w:sz w:val="20"/>
                <w:szCs w:val="20"/>
                <w:color w:val="auto"/>
              </w:rPr>
            </w:pPr>
            <w:r>
              <w:rPr>
                <w:rFonts w:ascii="Arial" w:cs="Arial" w:eastAsia="Arial" w:hAnsi="Arial"/>
                <w:sz w:val="14"/>
                <w:szCs w:val="14"/>
                <w:color w:val="auto"/>
              </w:rPr>
              <w:t>Current liabilities:</w:t>
            </w: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20"/>
              <w:spacing w:after="0"/>
              <w:rPr>
                <w:sz w:val="20"/>
                <w:szCs w:val="20"/>
                <w:color w:val="auto"/>
              </w:rPr>
            </w:pPr>
            <w:r>
              <w:rPr>
                <w:rFonts w:ascii="Arial" w:cs="Arial" w:eastAsia="Arial" w:hAnsi="Arial"/>
                <w:sz w:val="14"/>
                <w:szCs w:val="14"/>
                <w:color w:val="auto"/>
              </w:rPr>
              <w:t>Short-term debt</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14,647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26,065</w:t>
            </w:r>
          </w:p>
        </w:tc>
        <w:tc>
          <w:tcPr>
            <w:tcW w:w="0" w:type="dxa"/>
            <w:vAlign w:val="bottom"/>
          </w:tcPr>
          <w:p>
            <w:pPr>
              <w:spacing w:after="0"/>
              <w:rPr>
                <w:sz w:val="1"/>
                <w:szCs w:val="1"/>
                <w:color w:val="auto"/>
              </w:rPr>
            </w:pPr>
          </w:p>
        </w:tc>
      </w:tr>
      <w:tr>
        <w:trPr>
          <w:trHeight w:val="176"/>
        </w:trPr>
        <w:tc>
          <w:tcPr>
            <w:tcW w:w="772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2,210,427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1,814,794</w:t>
            </w:r>
          </w:p>
        </w:tc>
        <w:tc>
          <w:tcPr>
            <w:tcW w:w="0" w:type="dxa"/>
            <w:vAlign w:val="bottom"/>
          </w:tcPr>
          <w:p>
            <w:pPr>
              <w:spacing w:after="0"/>
              <w:rPr>
                <w:sz w:val="1"/>
                <w:szCs w:val="1"/>
                <w:color w:val="auto"/>
              </w:rPr>
            </w:pPr>
          </w:p>
        </w:tc>
      </w:tr>
      <w:tr>
        <w:trPr>
          <w:trHeight w:val="181"/>
        </w:trPr>
        <w:tc>
          <w:tcPr>
            <w:tcW w:w="7720" w:type="dxa"/>
            <w:vAlign w:val="bottom"/>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289,441</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308,439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720" w:type="dxa"/>
            <w:vAlign w:val="bottom"/>
          </w:tcPr>
          <w:p>
            <w:pPr>
              <w:ind w:left="420"/>
              <w:spacing w:after="0"/>
              <w:rPr>
                <w:sz w:val="20"/>
                <w:szCs w:val="20"/>
                <w:color w:val="auto"/>
              </w:rPr>
            </w:pPr>
            <w:r>
              <w:rPr>
                <w:rFonts w:ascii="Arial" w:cs="Arial" w:eastAsia="Arial" w:hAnsi="Arial"/>
                <w:sz w:val="14"/>
                <w:szCs w:val="14"/>
                <w:color w:val="auto"/>
              </w:rPr>
              <w:t>Total current liabilities</w:t>
            </w: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2,514,515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2,149,298</w:t>
            </w:r>
          </w:p>
        </w:tc>
        <w:tc>
          <w:tcPr>
            <w:tcW w:w="0" w:type="dxa"/>
            <w:vAlign w:val="bottom"/>
          </w:tcPr>
          <w:p>
            <w:pPr>
              <w:spacing w:after="0"/>
              <w:rPr>
                <w:sz w:val="1"/>
                <w:szCs w:val="1"/>
                <w:color w:val="auto"/>
              </w:rPr>
            </w:pPr>
          </w:p>
        </w:tc>
      </w:tr>
      <w:tr>
        <w:trPr>
          <w:trHeight w:val="344"/>
        </w:trPr>
        <w:tc>
          <w:tcPr>
            <w:tcW w:w="7720" w:type="dxa"/>
            <w:vAlign w:val="bottom"/>
          </w:tcPr>
          <w:p>
            <w:pPr>
              <w:spacing w:after="0"/>
              <w:rPr>
                <w:sz w:val="20"/>
                <w:szCs w:val="20"/>
                <w:color w:val="auto"/>
              </w:rPr>
            </w:pPr>
            <w:r>
              <w:rPr>
                <w:rFonts w:ascii="Arial" w:cs="Arial" w:eastAsia="Arial" w:hAnsi="Arial"/>
                <w:sz w:val="14"/>
                <w:szCs w:val="14"/>
                <w:color w:val="auto"/>
              </w:rPr>
              <w:t>Long-term debt</w:t>
            </w:r>
          </w:p>
        </w:tc>
        <w:tc>
          <w:tcPr>
            <w:tcW w:w="3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449,064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354,253</w:t>
            </w:r>
          </w:p>
        </w:tc>
        <w:tc>
          <w:tcPr>
            <w:tcW w:w="0" w:type="dxa"/>
            <w:vAlign w:val="bottom"/>
          </w:tcPr>
          <w:p>
            <w:pPr>
              <w:spacing w:after="0"/>
              <w:rPr>
                <w:sz w:val="1"/>
                <w:szCs w:val="1"/>
                <w:color w:val="auto"/>
              </w:rPr>
            </w:pPr>
          </w:p>
        </w:tc>
      </w:tr>
      <w:tr>
        <w:trPr>
          <w:trHeight w:val="181"/>
        </w:trPr>
        <w:tc>
          <w:tcPr>
            <w:tcW w:w="7720" w:type="dxa"/>
            <w:vAlign w:val="bottom"/>
          </w:tcPr>
          <w:p>
            <w:pPr>
              <w:spacing w:after="0"/>
              <w:rPr>
                <w:sz w:val="20"/>
                <w:szCs w:val="20"/>
                <w:color w:val="auto"/>
              </w:rPr>
            </w:pPr>
            <w:r>
              <w:rPr>
                <w:rFonts w:ascii="Arial" w:cs="Arial" w:eastAsia="Arial" w:hAnsi="Arial"/>
                <w:sz w:val="14"/>
                <w:szCs w:val="14"/>
                <w:color w:val="auto"/>
              </w:rPr>
              <w:t>Other long-term liabilities</w:t>
            </w: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96,804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62,576</w:t>
            </w:r>
          </w:p>
        </w:tc>
        <w:tc>
          <w:tcPr>
            <w:tcW w:w="0" w:type="dxa"/>
            <w:vAlign w:val="bottom"/>
          </w:tcPr>
          <w:p>
            <w:pPr>
              <w:spacing w:after="0"/>
              <w:rPr>
                <w:sz w:val="1"/>
                <w:szCs w:val="1"/>
                <w:color w:val="auto"/>
              </w:rPr>
            </w:pPr>
          </w:p>
        </w:tc>
      </w:tr>
      <w:tr>
        <w:trPr>
          <w:trHeight w:val="169"/>
        </w:trPr>
        <w:tc>
          <w:tcPr>
            <w:tcW w:w="7720" w:type="dxa"/>
            <w:vAlign w:val="bottom"/>
          </w:tcPr>
          <w:p>
            <w:pPr>
              <w:ind w:left="760"/>
              <w:spacing w:after="0"/>
              <w:rPr>
                <w:sz w:val="20"/>
                <w:szCs w:val="20"/>
                <w:color w:val="auto"/>
              </w:rPr>
            </w:pPr>
            <w:r>
              <w:rPr>
                <w:rFonts w:ascii="Arial" w:cs="Arial" w:eastAsia="Arial" w:hAnsi="Arial"/>
                <w:sz w:val="14"/>
                <w:szCs w:val="14"/>
                <w:color w:val="auto"/>
              </w:rPr>
              <w:t>Total liabilities</w:t>
            </w:r>
          </w:p>
        </w:tc>
        <w:tc>
          <w:tcPr>
            <w:tcW w:w="3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3,060,383</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2,566,127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7720" w:type="dxa"/>
            <w:vAlign w:val="bottom"/>
          </w:tcPr>
          <w:p>
            <w:pPr>
              <w:spacing w:after="0"/>
              <w:rPr>
                <w:sz w:val="20"/>
                <w:szCs w:val="20"/>
                <w:color w:val="auto"/>
              </w:rPr>
            </w:pPr>
            <w:r>
              <w:rPr>
                <w:rFonts w:ascii="Arial" w:cs="Arial" w:eastAsia="Arial" w:hAnsi="Arial"/>
                <w:sz w:val="14"/>
                <w:szCs w:val="14"/>
                <w:color w:val="auto"/>
              </w:rPr>
              <w:t>Equity:</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720" w:type="dxa"/>
            <w:vAlign w:val="bottom"/>
          </w:tcPr>
          <w:p>
            <w:pPr>
              <w:ind w:left="220"/>
              <w:spacing w:after="0"/>
              <w:rPr>
                <w:sz w:val="20"/>
                <w:szCs w:val="20"/>
                <w:color w:val="auto"/>
              </w:rPr>
            </w:pPr>
            <w:r>
              <w:rPr>
                <w:rFonts w:ascii="Arial" w:cs="Arial" w:eastAsia="Arial" w:hAnsi="Arial"/>
                <w:sz w:val="14"/>
                <w:szCs w:val="14"/>
                <w:color w:val="auto"/>
              </w:rPr>
              <w:t>World Fuel shareholders' equity</w:t>
            </w: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1,673,898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1,517,174</w:t>
            </w:r>
          </w:p>
        </w:tc>
        <w:tc>
          <w:tcPr>
            <w:tcW w:w="0" w:type="dxa"/>
            <w:vAlign w:val="bottom"/>
          </w:tcPr>
          <w:p>
            <w:pPr>
              <w:spacing w:after="0"/>
              <w:rPr>
                <w:sz w:val="1"/>
                <w:szCs w:val="1"/>
                <w:color w:val="auto"/>
              </w:rPr>
            </w:pPr>
          </w:p>
        </w:tc>
      </w:tr>
      <w:tr>
        <w:trPr>
          <w:trHeight w:val="181"/>
        </w:trPr>
        <w:tc>
          <w:tcPr>
            <w:tcW w:w="7720" w:type="dxa"/>
            <w:vAlign w:val="bottom"/>
          </w:tcPr>
          <w:p>
            <w:pPr>
              <w:ind w:left="220"/>
              <w:spacing w:after="0"/>
              <w:rPr>
                <w:sz w:val="20"/>
                <w:szCs w:val="20"/>
                <w:color w:val="auto"/>
              </w:rPr>
            </w:pPr>
            <w:r>
              <w:rPr>
                <w:rFonts w:ascii="Arial" w:cs="Arial" w:eastAsia="Arial" w:hAnsi="Arial"/>
                <w:sz w:val="14"/>
                <w:szCs w:val="14"/>
                <w:color w:val="auto"/>
              </w:rPr>
              <w:t>Noncontrolling interest equity</w:t>
            </w:r>
          </w:p>
        </w:tc>
        <w:tc>
          <w:tcPr>
            <w:tcW w:w="3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4,996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24,450</w:t>
            </w:r>
          </w:p>
        </w:tc>
        <w:tc>
          <w:tcPr>
            <w:tcW w:w="0" w:type="dxa"/>
            <w:vAlign w:val="bottom"/>
          </w:tcPr>
          <w:p>
            <w:pPr>
              <w:spacing w:after="0"/>
              <w:rPr>
                <w:sz w:val="1"/>
                <w:szCs w:val="1"/>
                <w:color w:val="auto"/>
              </w:rPr>
            </w:pPr>
          </w:p>
        </w:tc>
      </w:tr>
      <w:tr>
        <w:trPr>
          <w:trHeight w:val="169"/>
        </w:trPr>
        <w:tc>
          <w:tcPr>
            <w:tcW w:w="7720" w:type="dxa"/>
            <w:vAlign w:val="bottom"/>
          </w:tcPr>
          <w:p>
            <w:pPr>
              <w:ind w:left="760"/>
              <w:spacing w:after="0"/>
              <w:rPr>
                <w:sz w:val="20"/>
                <w:szCs w:val="20"/>
                <w:color w:val="auto"/>
              </w:rPr>
            </w:pPr>
            <w:r>
              <w:rPr>
                <w:rFonts w:ascii="Arial" w:cs="Arial" w:eastAsia="Arial" w:hAnsi="Arial"/>
                <w:sz w:val="14"/>
                <w:szCs w:val="14"/>
                <w:color w:val="auto"/>
              </w:rPr>
              <w:t>Total equity</w:t>
            </w:r>
          </w:p>
        </w:tc>
        <w:tc>
          <w:tcPr>
            <w:tcW w:w="3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1,678,894</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1,541,624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7720" w:type="dxa"/>
            <w:vAlign w:val="bottom"/>
          </w:tcPr>
          <w:p>
            <w:pPr>
              <w:ind w:left="760"/>
              <w:spacing w:after="0"/>
              <w:rPr>
                <w:sz w:val="20"/>
                <w:szCs w:val="20"/>
                <w:color w:val="auto"/>
              </w:rPr>
            </w:pPr>
            <w:r>
              <w:rPr>
                <w:rFonts w:ascii="Arial" w:cs="Arial" w:eastAsia="Arial" w:hAnsi="Arial"/>
                <w:sz w:val="14"/>
                <w:szCs w:val="14"/>
                <w:color w:val="auto"/>
              </w:rPr>
              <w:t>Total liabilities and equity</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4,739,277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4,107,751</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7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 EXCEPT EARNINGS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80" w:type="dxa"/>
            <w:vAlign w:val="bottom"/>
            <w:gridSpan w:val="4"/>
          </w:tcPr>
          <w:p>
            <w:pPr>
              <w:jc w:val="right"/>
              <w:ind w:right="568"/>
              <w:spacing w:after="0"/>
              <w:rPr>
                <w:sz w:val="20"/>
                <w:szCs w:val="20"/>
                <w:color w:val="auto"/>
              </w:rPr>
            </w:pPr>
            <w:r>
              <w:rPr>
                <w:rFonts w:ascii="Arial" w:cs="Arial" w:eastAsia="Arial" w:hAnsi="Arial"/>
                <w:sz w:val="14"/>
                <w:szCs w:val="14"/>
                <w:color w:val="auto"/>
              </w:rPr>
              <w:t>For the Three Months ended</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color w:val="auto"/>
              </w:rPr>
              <w:t>For the Year ended</w:t>
            </w:r>
          </w:p>
        </w:tc>
        <w:tc>
          <w:tcPr>
            <w:tcW w:w="920" w:type="dxa"/>
            <w:vAlign w:val="bottom"/>
          </w:tcPr>
          <w:p>
            <w:pPr>
              <w:spacing w:after="0"/>
              <w:rPr>
                <w:sz w:val="15"/>
                <w:szCs w:val="15"/>
                <w:color w:val="auto"/>
              </w:rPr>
            </w:pPr>
          </w:p>
        </w:tc>
      </w:tr>
      <w:tr>
        <w:trPr>
          <w:trHeight w:val="181"/>
        </w:trPr>
        <w:tc>
          <w:tcPr>
            <w:tcW w:w="5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December 31,</w:t>
            </w: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color w:val="auto"/>
              </w:rPr>
              <w:t>December 31,</w:t>
            </w:r>
          </w:p>
        </w:tc>
        <w:tc>
          <w:tcPr>
            <w:tcW w:w="920" w:type="dxa"/>
            <w:vAlign w:val="bottom"/>
            <w:tcBorders>
              <w:bottom w:val="single" w:sz="8" w:color="auto"/>
            </w:tcBorders>
          </w:tcPr>
          <w:p>
            <w:pPr>
              <w:spacing w:after="0"/>
              <w:rPr>
                <w:sz w:val="15"/>
                <w:szCs w:val="15"/>
                <w:color w:val="auto"/>
              </w:rPr>
            </w:pPr>
          </w:p>
        </w:tc>
      </w:tr>
      <w:tr>
        <w:trPr>
          <w:trHeight w:val="169"/>
        </w:trPr>
        <w:tc>
          <w:tcPr>
            <w:tcW w:w="5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w w:val="96"/>
              </w:rPr>
              <w:t>2012</w:t>
            </w:r>
          </w:p>
        </w:tc>
      </w:tr>
      <w:tr>
        <w:trPr>
          <w:trHeight w:val="515"/>
        </w:trPr>
        <w:tc>
          <w:tcPr>
            <w:tcW w:w="5300" w:type="dxa"/>
            <w:vAlign w:val="bottom"/>
          </w:tcPr>
          <w:p>
            <w:pPr>
              <w:spacing w:after="0"/>
              <w:rPr>
                <w:sz w:val="20"/>
                <w:szCs w:val="20"/>
                <w:color w:val="auto"/>
              </w:rPr>
            </w:pPr>
            <w:r>
              <w:rPr>
                <w:rFonts w:ascii="Arial" w:cs="Arial" w:eastAsia="Arial" w:hAnsi="Arial"/>
                <w:sz w:val="14"/>
                <w:szCs w:val="14"/>
                <w:color w:val="auto"/>
              </w:rPr>
              <w:t>Revenue</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10,404,653</w:t>
            </w:r>
          </w:p>
        </w:tc>
        <w:tc>
          <w:tcPr>
            <w:tcW w:w="56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9,935,813</w:t>
            </w:r>
          </w:p>
        </w:tc>
        <w:tc>
          <w:tcPr>
            <w:tcW w:w="5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41,561,947</w:t>
            </w:r>
          </w:p>
        </w:tc>
        <w:tc>
          <w:tcPr>
            <w:tcW w:w="68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38,945,338</w:t>
            </w:r>
          </w:p>
        </w:tc>
      </w:tr>
      <w:tr>
        <w:trPr>
          <w:trHeight w:val="181"/>
        </w:trPr>
        <w:tc>
          <w:tcPr>
            <w:tcW w:w="5300" w:type="dxa"/>
            <w:vAlign w:val="bottom"/>
          </w:tcPr>
          <w:p>
            <w:pPr>
              <w:spacing w:after="0"/>
              <w:rPr>
                <w:sz w:val="20"/>
                <w:szCs w:val="20"/>
                <w:color w:val="auto"/>
              </w:rPr>
            </w:pPr>
            <w:r>
              <w:rPr>
                <w:rFonts w:ascii="Arial" w:cs="Arial" w:eastAsia="Arial" w:hAnsi="Arial"/>
                <w:sz w:val="14"/>
                <w:szCs w:val="14"/>
                <w:color w:val="auto"/>
              </w:rPr>
              <w:t>Cost of revenue</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10,209,073</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9,772,476</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40,809,189</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38,271,891</w:t>
            </w:r>
          </w:p>
        </w:tc>
      </w:tr>
      <w:tr>
        <w:trPr>
          <w:trHeight w:val="345"/>
        </w:trPr>
        <w:tc>
          <w:tcPr>
            <w:tcW w:w="5300" w:type="dxa"/>
            <w:vAlign w:val="bottom"/>
          </w:tcPr>
          <w:p>
            <w:pPr>
              <w:ind w:left="220"/>
              <w:spacing w:after="0"/>
              <w:rPr>
                <w:sz w:val="20"/>
                <w:szCs w:val="20"/>
                <w:color w:val="auto"/>
              </w:rPr>
            </w:pPr>
            <w:r>
              <w:rPr>
                <w:rFonts w:ascii="Arial" w:cs="Arial" w:eastAsia="Arial" w:hAnsi="Arial"/>
                <w:sz w:val="14"/>
                <w:szCs w:val="14"/>
                <w:color w:val="auto"/>
              </w:rPr>
              <w:t>Gross profit</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195,580</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163,337</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752,758</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673,447</w:t>
            </w:r>
          </w:p>
        </w:tc>
      </w:tr>
      <w:tr>
        <w:trPr>
          <w:trHeight w:val="339"/>
        </w:trPr>
        <w:tc>
          <w:tcPr>
            <w:tcW w:w="5300" w:type="dxa"/>
            <w:vAlign w:val="bottom"/>
          </w:tcPr>
          <w:p>
            <w:pPr>
              <w:spacing w:after="0"/>
              <w:rPr>
                <w:sz w:val="20"/>
                <w:szCs w:val="20"/>
                <w:color w:val="auto"/>
              </w:rPr>
            </w:pPr>
            <w:r>
              <w:rPr>
                <w:rFonts w:ascii="Arial" w:cs="Arial" w:eastAsia="Arial" w:hAnsi="Arial"/>
                <w:sz w:val="14"/>
                <w:szCs w:val="14"/>
                <w:color w:val="auto"/>
              </w:rPr>
              <w:t>Operating expenses:</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5300" w:type="dxa"/>
            <w:vAlign w:val="bottom"/>
          </w:tcPr>
          <w:p>
            <w:pPr>
              <w:ind w:left="220"/>
              <w:spacing w:after="0"/>
              <w:rPr>
                <w:sz w:val="20"/>
                <w:szCs w:val="20"/>
                <w:color w:val="auto"/>
              </w:rPr>
            </w:pPr>
            <w:r>
              <w:rPr>
                <w:rFonts w:ascii="Arial" w:cs="Arial" w:eastAsia="Arial" w:hAnsi="Arial"/>
                <w:sz w:val="14"/>
                <w:szCs w:val="14"/>
                <w:color w:val="auto"/>
              </w:rPr>
              <w:t>Compensation and employee benefits</w:t>
            </w:r>
          </w:p>
        </w:tc>
        <w:tc>
          <w:tcPr>
            <w:tcW w:w="36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73,663</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60,809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288,021</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237,362</w:t>
            </w:r>
          </w:p>
        </w:tc>
      </w:tr>
      <w:tr>
        <w:trPr>
          <w:trHeight w:val="176"/>
        </w:trPr>
        <w:tc>
          <w:tcPr>
            <w:tcW w:w="5300" w:type="dxa"/>
            <w:vAlign w:val="bottom"/>
          </w:tcPr>
          <w:p>
            <w:pPr>
              <w:ind w:left="220"/>
              <w:spacing w:after="0"/>
              <w:rPr>
                <w:sz w:val="20"/>
                <w:szCs w:val="20"/>
                <w:color w:val="auto"/>
              </w:rPr>
            </w:pPr>
            <w:r>
              <w:rPr>
                <w:rFonts w:ascii="Arial" w:cs="Arial" w:eastAsia="Arial" w:hAnsi="Arial"/>
                <w:sz w:val="14"/>
                <w:szCs w:val="14"/>
                <w:color w:val="auto"/>
              </w:rPr>
              <w:t>Provision for bad debt</w:t>
            </w:r>
          </w:p>
        </w:tc>
        <w:tc>
          <w:tcPr>
            <w:tcW w:w="36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6,070</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377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11,745</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4,790</w:t>
            </w:r>
          </w:p>
        </w:tc>
      </w:tr>
      <w:tr>
        <w:trPr>
          <w:trHeight w:val="181"/>
        </w:trPr>
        <w:tc>
          <w:tcPr>
            <w:tcW w:w="5300" w:type="dxa"/>
            <w:vAlign w:val="bottom"/>
          </w:tcPr>
          <w:p>
            <w:pPr>
              <w:ind w:left="220"/>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51,369</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47,790</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188,634</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174,272</w:t>
            </w:r>
          </w:p>
        </w:tc>
      </w:tr>
      <w:tr>
        <w:trPr>
          <w:trHeight w:val="345"/>
        </w:trPr>
        <w:tc>
          <w:tcPr>
            <w:tcW w:w="5300" w:type="dxa"/>
            <w:vAlign w:val="bottom"/>
          </w:tcPr>
          <w:p>
            <w:pPr>
              <w:ind w:left="420"/>
              <w:spacing w:after="0"/>
              <w:rPr>
                <w:sz w:val="20"/>
                <w:szCs w:val="20"/>
                <w:color w:val="auto"/>
              </w:rPr>
            </w:pPr>
            <w:r>
              <w:rPr>
                <w:rFonts w:ascii="Arial" w:cs="Arial" w:eastAsia="Arial" w:hAnsi="Arial"/>
                <w:sz w:val="14"/>
                <w:szCs w:val="14"/>
                <w:color w:val="auto"/>
              </w:rPr>
              <w:t>Total operating expenses</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131,102</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108,976</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488,400</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416,424</w:t>
            </w:r>
          </w:p>
        </w:tc>
      </w:tr>
      <w:tr>
        <w:trPr>
          <w:trHeight w:val="339"/>
        </w:trPr>
        <w:tc>
          <w:tcPr>
            <w:tcW w:w="5300" w:type="dxa"/>
            <w:vAlign w:val="bottom"/>
          </w:tcPr>
          <w:p>
            <w:pPr>
              <w:ind w:left="420"/>
              <w:spacing w:after="0"/>
              <w:rPr>
                <w:sz w:val="20"/>
                <w:szCs w:val="20"/>
                <w:color w:val="auto"/>
              </w:rPr>
            </w:pPr>
            <w:r>
              <w:rPr>
                <w:rFonts w:ascii="Arial" w:cs="Arial" w:eastAsia="Arial" w:hAnsi="Arial"/>
                <w:sz w:val="14"/>
                <w:szCs w:val="14"/>
                <w:color w:val="auto"/>
              </w:rPr>
              <w:t>Income from operations</w:t>
            </w:r>
          </w:p>
        </w:tc>
        <w:tc>
          <w:tcPr>
            <w:tcW w:w="36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64,478</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54,361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264,358</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257,023</w:t>
            </w:r>
          </w:p>
        </w:tc>
      </w:tr>
      <w:tr>
        <w:trPr>
          <w:trHeight w:val="181"/>
        </w:trPr>
        <w:tc>
          <w:tcPr>
            <w:tcW w:w="5300" w:type="dxa"/>
            <w:vAlign w:val="bottom"/>
          </w:tcPr>
          <w:p>
            <w:pPr>
              <w:spacing w:after="0"/>
              <w:rPr>
                <w:sz w:val="20"/>
                <w:szCs w:val="20"/>
                <w:color w:val="auto"/>
              </w:rPr>
            </w:pPr>
            <w:r>
              <w:rPr>
                <w:rFonts w:ascii="Arial" w:cs="Arial" w:eastAsia="Arial" w:hAnsi="Arial"/>
                <w:sz w:val="14"/>
                <w:szCs w:val="14"/>
                <w:color w:val="auto"/>
              </w:rPr>
              <w:t>Non-operating expenses, net</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(3,668)</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(4,341)</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(17,693)</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(17,428)</w:t>
            </w:r>
          </w:p>
        </w:tc>
      </w:tr>
      <w:tr>
        <w:trPr>
          <w:trHeight w:val="339"/>
        </w:trPr>
        <w:tc>
          <w:tcPr>
            <w:tcW w:w="5300" w:type="dxa"/>
            <w:vAlign w:val="bottom"/>
          </w:tcPr>
          <w:p>
            <w:pPr>
              <w:spacing w:after="0"/>
              <w:rPr>
                <w:sz w:val="20"/>
                <w:szCs w:val="20"/>
                <w:color w:val="auto"/>
              </w:rPr>
            </w:pPr>
            <w:r>
              <w:rPr>
                <w:rFonts w:ascii="Arial" w:cs="Arial" w:eastAsia="Arial" w:hAnsi="Arial"/>
                <w:sz w:val="14"/>
                <w:szCs w:val="14"/>
                <w:color w:val="auto"/>
              </w:rPr>
              <w:t>Income before income taxes</w:t>
            </w:r>
          </w:p>
        </w:tc>
        <w:tc>
          <w:tcPr>
            <w:tcW w:w="36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60,810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50,020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246,665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239,595</w:t>
            </w:r>
          </w:p>
        </w:tc>
      </w:tr>
      <w:tr>
        <w:trPr>
          <w:trHeight w:val="181"/>
        </w:trPr>
        <w:tc>
          <w:tcPr>
            <w:tcW w:w="530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7,415</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4,995</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39,505</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38,244</w:t>
            </w:r>
          </w:p>
        </w:tc>
      </w:tr>
      <w:tr>
        <w:trPr>
          <w:trHeight w:val="339"/>
        </w:trPr>
        <w:tc>
          <w:tcPr>
            <w:tcW w:w="5300" w:type="dxa"/>
            <w:vAlign w:val="bottom"/>
          </w:tcPr>
          <w:p>
            <w:pPr>
              <w:spacing w:after="0"/>
              <w:rPr>
                <w:sz w:val="20"/>
                <w:szCs w:val="20"/>
                <w:color w:val="auto"/>
              </w:rPr>
            </w:pPr>
            <w:r>
              <w:rPr>
                <w:rFonts w:ascii="Arial" w:cs="Arial" w:eastAsia="Arial" w:hAnsi="Arial"/>
                <w:sz w:val="14"/>
                <w:szCs w:val="14"/>
                <w:color w:val="auto"/>
              </w:rPr>
              <w:t>Net income including noncontrolling interest</w:t>
            </w:r>
          </w:p>
        </w:tc>
        <w:tc>
          <w:tcPr>
            <w:tcW w:w="36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53,395</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45,025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207,160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201,351</w:t>
            </w:r>
          </w:p>
        </w:tc>
      </w:tr>
      <w:tr>
        <w:trPr>
          <w:trHeight w:val="181"/>
        </w:trPr>
        <w:tc>
          <w:tcPr>
            <w:tcW w:w="5300" w:type="dxa"/>
            <w:vAlign w:val="bottom"/>
          </w:tcPr>
          <w:p>
            <w:pPr>
              <w:spacing w:after="0"/>
              <w:rPr>
                <w:sz w:val="20"/>
                <w:szCs w:val="20"/>
                <w:color w:val="auto"/>
              </w:rPr>
            </w:pPr>
            <w:r>
              <w:rPr>
                <w:rFonts w:ascii="Arial" w:cs="Arial" w:eastAsia="Arial" w:hAnsi="Arial"/>
                <w:sz w:val="14"/>
                <w:szCs w:val="14"/>
                <w:color w:val="auto"/>
              </w:rPr>
              <w:t>Net income attributable to noncontrolling interest</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1,533</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2,189</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4,085</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12,006</w:t>
            </w:r>
          </w:p>
        </w:tc>
      </w:tr>
      <w:tr>
        <w:trPr>
          <w:trHeight w:val="345"/>
        </w:trPr>
        <w:tc>
          <w:tcPr>
            <w:tcW w:w="5300" w:type="dxa"/>
            <w:vAlign w:val="bottom"/>
          </w:tcPr>
          <w:p>
            <w:pPr>
              <w:spacing w:after="0"/>
              <w:rPr>
                <w:sz w:val="20"/>
                <w:szCs w:val="20"/>
                <w:color w:val="auto"/>
              </w:rPr>
            </w:pPr>
            <w:r>
              <w:rPr>
                <w:rFonts w:ascii="Arial" w:cs="Arial" w:eastAsia="Arial" w:hAnsi="Arial"/>
                <w:sz w:val="14"/>
                <w:szCs w:val="14"/>
                <w:color w:val="auto"/>
              </w:rPr>
              <w:t>Net income attributable to World Fuel</w:t>
            </w:r>
          </w:p>
        </w:tc>
        <w:tc>
          <w:tcPr>
            <w:tcW w:w="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51,862</w:t>
            </w:r>
          </w:p>
        </w:tc>
        <w:tc>
          <w:tcPr>
            <w:tcW w:w="120" w:type="dxa"/>
            <w:vAlign w:val="bottom"/>
          </w:tcPr>
          <w:p>
            <w:pPr>
              <w:spacing w:after="0"/>
              <w:rPr>
                <w:sz w:val="24"/>
                <w:szCs w:val="24"/>
                <w:color w:val="auto"/>
              </w:rPr>
            </w:pPr>
          </w:p>
        </w:tc>
        <w:tc>
          <w:tcPr>
            <w:tcW w:w="4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42,836</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203,075</w:t>
            </w:r>
          </w:p>
        </w:tc>
        <w:tc>
          <w:tcPr>
            <w:tcW w:w="120" w:type="dxa"/>
            <w:vAlign w:val="bottom"/>
          </w:tcPr>
          <w:p>
            <w:pPr>
              <w:spacing w:after="0"/>
              <w:rPr>
                <w:sz w:val="24"/>
                <w:szCs w:val="24"/>
                <w:color w:val="auto"/>
              </w:rPr>
            </w:pPr>
          </w:p>
        </w:tc>
        <w:tc>
          <w:tcPr>
            <w:tcW w:w="5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189,345</w:t>
            </w:r>
          </w:p>
        </w:tc>
      </w:tr>
      <w:tr>
        <w:trPr>
          <w:trHeight w:val="20"/>
        </w:trPr>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32"/>
        </w:trPr>
        <w:tc>
          <w:tcPr>
            <w:tcW w:w="5300" w:type="dxa"/>
            <w:vAlign w:val="bottom"/>
          </w:tcPr>
          <w:p>
            <w:pPr>
              <w:spacing w:after="0"/>
              <w:rPr>
                <w:sz w:val="20"/>
                <w:szCs w:val="20"/>
                <w:color w:val="auto"/>
              </w:rPr>
            </w:pPr>
            <w:r>
              <w:rPr>
                <w:rFonts w:ascii="Arial" w:cs="Arial" w:eastAsia="Arial" w:hAnsi="Arial"/>
                <w:sz w:val="14"/>
                <w:szCs w:val="14"/>
                <w:color w:val="auto"/>
              </w:rPr>
              <w:t>Basic earnings per common share</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0.73</w:t>
            </w:r>
          </w:p>
        </w:tc>
        <w:tc>
          <w:tcPr>
            <w:tcW w:w="56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0.60</w:t>
            </w:r>
          </w:p>
        </w:tc>
        <w:tc>
          <w:tcPr>
            <w:tcW w:w="5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2.85</w:t>
            </w:r>
          </w:p>
        </w:tc>
        <w:tc>
          <w:tcPr>
            <w:tcW w:w="68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2.66</w:t>
            </w:r>
          </w:p>
        </w:tc>
      </w:tr>
      <w:tr>
        <w:trPr>
          <w:trHeight w:val="20"/>
        </w:trPr>
        <w:tc>
          <w:tcPr>
            <w:tcW w:w="5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5300" w:type="dxa"/>
            <w:vAlign w:val="bottom"/>
          </w:tcPr>
          <w:p>
            <w:pPr>
              <w:spacing w:after="0"/>
              <w:rPr>
                <w:sz w:val="20"/>
                <w:szCs w:val="20"/>
                <w:color w:val="auto"/>
              </w:rPr>
            </w:pPr>
            <w:r>
              <w:rPr>
                <w:rFonts w:ascii="Arial" w:cs="Arial" w:eastAsia="Arial" w:hAnsi="Arial"/>
                <w:sz w:val="14"/>
                <w:szCs w:val="14"/>
                <w:color w:val="auto"/>
              </w:rPr>
              <w:t>Basic weighted average common shares</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70,870</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71,232</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71,224</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71,154</w:t>
            </w:r>
          </w:p>
        </w:tc>
      </w:tr>
      <w:tr>
        <w:trPr>
          <w:trHeight w:val="20"/>
        </w:trPr>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32"/>
        </w:trPr>
        <w:tc>
          <w:tcPr>
            <w:tcW w:w="5300" w:type="dxa"/>
            <w:vAlign w:val="bottom"/>
          </w:tcPr>
          <w:p>
            <w:pPr>
              <w:spacing w:after="0"/>
              <w:rPr>
                <w:sz w:val="20"/>
                <w:szCs w:val="20"/>
                <w:color w:val="auto"/>
              </w:rPr>
            </w:pPr>
            <w:r>
              <w:rPr>
                <w:rFonts w:ascii="Arial" w:cs="Arial" w:eastAsia="Arial" w:hAnsi="Arial"/>
                <w:sz w:val="14"/>
                <w:szCs w:val="14"/>
                <w:color w:val="auto"/>
              </w:rPr>
              <w:t>Diluted earnings per common share</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0.73</w:t>
            </w:r>
          </w:p>
        </w:tc>
        <w:tc>
          <w:tcPr>
            <w:tcW w:w="56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0.60</w:t>
            </w:r>
          </w:p>
        </w:tc>
        <w:tc>
          <w:tcPr>
            <w:tcW w:w="5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2.83</w:t>
            </w:r>
          </w:p>
        </w:tc>
        <w:tc>
          <w:tcPr>
            <w:tcW w:w="68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2.64</w:t>
            </w:r>
          </w:p>
        </w:tc>
      </w:tr>
      <w:tr>
        <w:trPr>
          <w:trHeight w:val="20"/>
        </w:trPr>
        <w:tc>
          <w:tcPr>
            <w:tcW w:w="5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5300" w:type="dxa"/>
            <w:vAlign w:val="bottom"/>
          </w:tcPr>
          <w:p>
            <w:pPr>
              <w:spacing w:after="0"/>
              <w:rPr>
                <w:sz w:val="20"/>
                <w:szCs w:val="20"/>
                <w:color w:val="auto"/>
              </w:rPr>
            </w:pPr>
            <w:r>
              <w:rPr>
                <w:rFonts w:ascii="Arial" w:cs="Arial" w:eastAsia="Arial" w:hAnsi="Arial"/>
                <w:sz w:val="14"/>
                <w:szCs w:val="14"/>
                <w:color w:val="auto"/>
              </w:rPr>
              <w:t>Diluted weighted average common shares</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71,459</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71,906</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71,800</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71,817</w:t>
            </w:r>
          </w:p>
        </w:tc>
      </w:tr>
      <w:tr>
        <w:trPr>
          <w:trHeight w:val="20"/>
        </w:trPr>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1"/>
        </w:trPr>
        <w:tc>
          <w:tcPr>
            <w:tcW w:w="5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r>
        <w:trPr>
          <w:trHeight w:val="21"/>
        </w:trPr>
        <w:tc>
          <w:tcPr>
            <w:tcW w:w="53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20" w:type="dxa"/>
            <w:vAlign w:val="bottom"/>
            <w:gridSpan w:val="4"/>
          </w:tcPr>
          <w:p>
            <w:pPr>
              <w:jc w:val="right"/>
              <w:ind w:right="488"/>
              <w:spacing w:after="0"/>
              <w:rPr>
                <w:sz w:val="20"/>
                <w:szCs w:val="20"/>
                <w:color w:val="auto"/>
              </w:rPr>
            </w:pPr>
            <w:r>
              <w:rPr>
                <w:rFonts w:ascii="Arial" w:cs="Arial" w:eastAsia="Arial" w:hAnsi="Arial"/>
                <w:sz w:val="14"/>
                <w:szCs w:val="14"/>
                <w:color w:val="auto"/>
              </w:rPr>
              <w:t>For the Three Months ended</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40" w:type="dxa"/>
            <w:vAlign w:val="bottom"/>
            <w:gridSpan w:val="4"/>
          </w:tcPr>
          <w:p>
            <w:pPr>
              <w:jc w:val="right"/>
              <w:ind w:right="588"/>
              <w:spacing w:after="0"/>
              <w:rPr>
                <w:sz w:val="20"/>
                <w:szCs w:val="20"/>
                <w:color w:val="auto"/>
              </w:rPr>
            </w:pPr>
            <w:r>
              <w:rPr>
                <w:rFonts w:ascii="Arial" w:cs="Arial" w:eastAsia="Arial" w:hAnsi="Arial"/>
                <w:sz w:val="14"/>
                <w:szCs w:val="14"/>
                <w:color w:val="auto"/>
              </w:rPr>
              <w:t>For the Year ended</w:t>
            </w:r>
          </w:p>
        </w:tc>
      </w:tr>
      <w:tr>
        <w:trPr>
          <w:trHeight w:val="181"/>
        </w:trPr>
        <w:tc>
          <w:tcPr>
            <w:tcW w:w="6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December 31,</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December 31,</w:t>
            </w:r>
          </w:p>
        </w:tc>
        <w:tc>
          <w:tcPr>
            <w:tcW w:w="780" w:type="dxa"/>
            <w:vAlign w:val="bottom"/>
            <w:tcBorders>
              <w:bottom w:val="single" w:sz="8" w:color="auto"/>
            </w:tcBorders>
          </w:tcPr>
          <w:p>
            <w:pPr>
              <w:spacing w:after="0"/>
              <w:rPr>
                <w:sz w:val="15"/>
                <w:szCs w:val="15"/>
                <w:color w:val="auto"/>
              </w:rPr>
            </w:pPr>
          </w:p>
        </w:tc>
      </w:tr>
      <w:tr>
        <w:trPr>
          <w:trHeight w:val="169"/>
        </w:trPr>
        <w:tc>
          <w:tcPr>
            <w:tcW w:w="6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2013</w:t>
            </w:r>
          </w:p>
        </w:tc>
        <w:tc>
          <w:tcPr>
            <w:tcW w:w="1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2012</w:t>
            </w:r>
          </w:p>
        </w:tc>
      </w:tr>
      <w:tr>
        <w:trPr>
          <w:trHeight w:val="339"/>
        </w:trPr>
        <w:tc>
          <w:tcPr>
            <w:tcW w:w="6160" w:type="dxa"/>
            <w:vAlign w:val="bottom"/>
          </w:tcPr>
          <w:p>
            <w:pPr>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1"/>
        </w:trPr>
        <w:tc>
          <w:tcPr>
            <w:tcW w:w="6160" w:type="dxa"/>
            <w:vAlign w:val="bottom"/>
          </w:tcPr>
          <w:p>
            <w:pPr>
              <w:ind w:left="220"/>
              <w:spacing w:after="0"/>
              <w:rPr>
                <w:sz w:val="20"/>
                <w:szCs w:val="20"/>
                <w:color w:val="auto"/>
              </w:rPr>
            </w:pPr>
            <w:r>
              <w:rPr>
                <w:rFonts w:ascii="Arial" w:cs="Arial" w:eastAsia="Arial" w:hAnsi="Arial"/>
                <w:sz w:val="14"/>
                <w:szCs w:val="14"/>
                <w:color w:val="auto"/>
              </w:rPr>
              <w:t>Net income including noncontrolling interest</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53,395</w:t>
            </w: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45,025</w:t>
            </w: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207,160</w:t>
            </w: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201,351</w:t>
            </w:r>
          </w:p>
        </w:tc>
      </w:tr>
      <w:tr>
        <w:trPr>
          <w:trHeight w:val="164"/>
        </w:trPr>
        <w:tc>
          <w:tcPr>
            <w:tcW w:w="6160" w:type="dxa"/>
            <w:vAlign w:val="bottom"/>
          </w:tcPr>
          <w:p>
            <w:pPr>
              <w:ind w:left="220"/>
              <w:spacing w:after="0"/>
              <w:rPr>
                <w:sz w:val="20"/>
                <w:szCs w:val="20"/>
                <w:color w:val="auto"/>
              </w:rPr>
            </w:pPr>
            <w:r>
              <w:rPr>
                <w:rFonts w:ascii="Arial" w:cs="Arial" w:eastAsia="Arial" w:hAnsi="Arial"/>
                <w:sz w:val="14"/>
                <w:szCs w:val="14"/>
                <w:color w:val="auto"/>
              </w:rPr>
              <w:t>Adjustments to reconcile net income including</w:t>
            </w:r>
          </w:p>
        </w:tc>
        <w:tc>
          <w:tcPr>
            <w:tcW w:w="3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r>
      <w:tr>
        <w:trPr>
          <w:trHeight w:val="176"/>
        </w:trPr>
        <w:tc>
          <w:tcPr>
            <w:tcW w:w="6160" w:type="dxa"/>
            <w:vAlign w:val="bottom"/>
          </w:tcPr>
          <w:p>
            <w:pPr>
              <w:ind w:left="280"/>
              <w:spacing w:after="0"/>
              <w:rPr>
                <w:sz w:val="20"/>
                <w:szCs w:val="20"/>
                <w:color w:val="auto"/>
              </w:rPr>
            </w:pPr>
            <w:r>
              <w:rPr>
                <w:rFonts w:ascii="Arial" w:cs="Arial" w:eastAsia="Arial" w:hAnsi="Arial"/>
                <w:sz w:val="14"/>
                <w:szCs w:val="14"/>
                <w:color w:val="auto"/>
              </w:rPr>
              <w:t>noncontrolling interest to net cash provided by</w:t>
            </w: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6160" w:type="dxa"/>
            <w:vAlign w:val="bottom"/>
          </w:tcPr>
          <w:p>
            <w:pPr>
              <w:ind w:left="280"/>
              <w:spacing w:after="0"/>
              <w:rPr>
                <w:sz w:val="20"/>
                <w:szCs w:val="20"/>
                <w:color w:val="auto"/>
              </w:rPr>
            </w:pPr>
            <w:r>
              <w:rPr>
                <w:rFonts w:ascii="Arial" w:cs="Arial" w:eastAsia="Arial" w:hAnsi="Arial"/>
                <w:sz w:val="14"/>
                <w:szCs w:val="14"/>
                <w:color w:val="auto"/>
              </w:rPr>
              <w:t>operating activities:</w:t>
            </w: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6160" w:type="dxa"/>
            <w:vAlign w:val="bottom"/>
          </w:tcPr>
          <w:p>
            <w:pPr>
              <w:ind w:left="4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11,898</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9,914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44,710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36,714</w:t>
            </w:r>
          </w:p>
        </w:tc>
      </w:tr>
      <w:tr>
        <w:trPr>
          <w:trHeight w:val="176"/>
        </w:trPr>
        <w:tc>
          <w:tcPr>
            <w:tcW w:w="6160" w:type="dxa"/>
            <w:vAlign w:val="bottom"/>
          </w:tcPr>
          <w:p>
            <w:pPr>
              <w:ind w:left="420"/>
              <w:spacing w:after="0"/>
              <w:rPr>
                <w:sz w:val="20"/>
                <w:szCs w:val="20"/>
                <w:color w:val="auto"/>
              </w:rPr>
            </w:pPr>
            <w:r>
              <w:rPr>
                <w:rFonts w:ascii="Arial" w:cs="Arial" w:eastAsia="Arial" w:hAnsi="Arial"/>
                <w:sz w:val="14"/>
                <w:szCs w:val="14"/>
                <w:color w:val="auto"/>
              </w:rPr>
              <w:t>Provision for bad debt</w:t>
            </w:r>
          </w:p>
        </w:tc>
        <w:tc>
          <w:tcPr>
            <w:tcW w:w="32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6,070</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11,745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4,790</w:t>
            </w:r>
          </w:p>
        </w:tc>
      </w:tr>
      <w:tr>
        <w:trPr>
          <w:trHeight w:val="176"/>
        </w:trPr>
        <w:tc>
          <w:tcPr>
            <w:tcW w:w="6160" w:type="dxa"/>
            <w:vAlign w:val="bottom"/>
          </w:tcPr>
          <w:p>
            <w:pPr>
              <w:ind w:left="420"/>
              <w:spacing w:after="0"/>
              <w:rPr>
                <w:sz w:val="20"/>
                <w:szCs w:val="20"/>
                <w:color w:val="auto"/>
              </w:rPr>
            </w:pPr>
            <w:r>
              <w:rPr>
                <w:rFonts w:ascii="Arial" w:cs="Arial" w:eastAsia="Arial" w:hAnsi="Arial"/>
                <w:sz w:val="14"/>
                <w:szCs w:val="14"/>
                <w:color w:val="auto"/>
              </w:rPr>
              <w:t>Share-based payment award compensation costs</w:t>
            </w:r>
          </w:p>
        </w:tc>
        <w:tc>
          <w:tcPr>
            <w:tcW w:w="32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4,138</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3,738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16,716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14,079</w:t>
            </w:r>
          </w:p>
        </w:tc>
      </w:tr>
      <w:tr>
        <w:trPr>
          <w:trHeight w:val="176"/>
        </w:trPr>
        <w:tc>
          <w:tcPr>
            <w:tcW w:w="6160" w:type="dxa"/>
            <w:vAlign w:val="bottom"/>
          </w:tcPr>
          <w:p>
            <w:pPr>
              <w:ind w:left="42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(11,935)</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(12,397)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(7,193)</w:t>
            </w:r>
          </w:p>
        </w:tc>
      </w:tr>
      <w:tr>
        <w:trPr>
          <w:trHeight w:val="176"/>
        </w:trPr>
        <w:tc>
          <w:tcPr>
            <w:tcW w:w="6160" w:type="dxa"/>
            <w:vAlign w:val="bottom"/>
          </w:tcPr>
          <w:p>
            <w:pPr>
              <w:ind w:left="420"/>
              <w:spacing w:after="0"/>
              <w:rPr>
                <w:sz w:val="20"/>
                <w:szCs w:val="20"/>
                <w:color w:val="auto"/>
              </w:rPr>
            </w:pPr>
            <w:r>
              <w:rPr>
                <w:rFonts w:ascii="Arial" w:cs="Arial" w:eastAsia="Arial" w:hAnsi="Arial"/>
                <w:sz w:val="14"/>
                <w:szCs w:val="14"/>
                <w:color w:val="auto"/>
              </w:rPr>
              <w:t>Changes in cash collateral with financial counterparties</w:t>
            </w:r>
          </w:p>
        </w:tc>
        <w:tc>
          <w:tcPr>
            <w:tcW w:w="3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(9,873)</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(18,000)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9,920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(11,059)</w:t>
            </w:r>
          </w:p>
        </w:tc>
      </w:tr>
      <w:tr>
        <w:trPr>
          <w:trHeight w:val="181"/>
        </w:trPr>
        <w:tc>
          <w:tcPr>
            <w:tcW w:w="6160" w:type="dxa"/>
            <w:vAlign w:val="bottom"/>
          </w:tcPr>
          <w:p>
            <w:pPr>
              <w:ind w:left="420"/>
              <w:spacing w:after="0"/>
              <w:rPr>
                <w:sz w:val="20"/>
                <w:szCs w:val="20"/>
                <w:color w:val="auto"/>
              </w:rPr>
            </w:pPr>
            <w:r>
              <w:rPr>
                <w:rFonts w:ascii="Arial" w:cs="Arial" w:eastAsia="Arial" w:hAnsi="Arial"/>
                <w:sz w:val="14"/>
                <w:szCs w:val="14"/>
                <w:color w:val="auto"/>
              </w:rPr>
              <w:t>Changes in assets and liabilities, net of acquisitions</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(3,138)</w:t>
            </w:r>
          </w:p>
        </w:tc>
        <w:tc>
          <w:tcPr>
            <w:tcW w:w="1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56,174</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(13,552)</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(92,891)</w:t>
            </w:r>
          </w:p>
        </w:tc>
      </w:tr>
      <w:tr>
        <w:trPr>
          <w:trHeight w:val="169"/>
        </w:trPr>
        <w:tc>
          <w:tcPr>
            <w:tcW w:w="6160" w:type="dxa"/>
            <w:vAlign w:val="bottom"/>
          </w:tcPr>
          <w:p>
            <w:pPr>
              <w:ind w:left="620"/>
              <w:spacing w:after="0"/>
              <w:rPr>
                <w:sz w:val="20"/>
                <w:szCs w:val="20"/>
                <w:color w:val="auto"/>
              </w:rPr>
            </w:pPr>
            <w:r>
              <w:rPr>
                <w:rFonts w:ascii="Arial" w:cs="Arial" w:eastAsia="Arial" w:hAnsi="Arial"/>
                <w:sz w:val="14"/>
                <w:szCs w:val="14"/>
                <w:color w:val="auto"/>
              </w:rPr>
              <w:t>Total adjustments</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(2,840)</w:t>
            </w:r>
          </w:p>
        </w:tc>
        <w:tc>
          <w:tcPr>
            <w:tcW w:w="1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52,495</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57,142</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(55,560)</w:t>
            </w:r>
          </w:p>
        </w:tc>
      </w:tr>
      <w:tr>
        <w:trPr>
          <w:trHeight w:val="169"/>
        </w:trPr>
        <w:tc>
          <w:tcPr>
            <w:tcW w:w="6160" w:type="dxa"/>
            <w:vAlign w:val="bottom"/>
          </w:tcPr>
          <w:p>
            <w:pPr>
              <w:ind w:left="22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50,555</w:t>
            </w:r>
          </w:p>
        </w:tc>
        <w:tc>
          <w:tcPr>
            <w:tcW w:w="1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97,520</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264,302</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145,791</w:t>
            </w:r>
          </w:p>
        </w:tc>
      </w:tr>
      <w:tr>
        <w:trPr>
          <w:trHeight w:val="339"/>
        </w:trPr>
        <w:tc>
          <w:tcPr>
            <w:tcW w:w="616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6160" w:type="dxa"/>
            <w:vAlign w:val="bottom"/>
          </w:tcPr>
          <w:p>
            <w:pPr>
              <w:ind w:left="220"/>
              <w:spacing w:after="0"/>
              <w:rPr>
                <w:sz w:val="20"/>
                <w:szCs w:val="20"/>
                <w:color w:val="auto"/>
              </w:rPr>
            </w:pPr>
            <w:r>
              <w:rPr>
                <w:rFonts w:ascii="Arial" w:cs="Arial" w:eastAsia="Arial" w:hAnsi="Arial"/>
                <w:sz w:val="14"/>
                <w:szCs w:val="14"/>
                <w:color w:val="auto"/>
              </w:rPr>
              <w:t>Acquisitions and other investments, net of cash acquired</w:t>
            </w:r>
          </w:p>
        </w:tc>
        <w:tc>
          <w:tcPr>
            <w:tcW w:w="3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(36,542)</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(146,445)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(76,954)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(217,782)</w:t>
            </w:r>
          </w:p>
        </w:tc>
      </w:tr>
      <w:tr>
        <w:trPr>
          <w:trHeight w:val="176"/>
        </w:trPr>
        <w:tc>
          <w:tcPr>
            <w:tcW w:w="6160" w:type="dxa"/>
            <w:vAlign w:val="bottom"/>
          </w:tcPr>
          <w:p>
            <w:pPr>
              <w:ind w:left="220"/>
              <w:spacing w:after="0"/>
              <w:rPr>
                <w:sz w:val="20"/>
                <w:szCs w:val="20"/>
                <w:color w:val="auto"/>
              </w:rPr>
            </w:pPr>
            <w:r>
              <w:rPr>
                <w:rFonts w:ascii="Arial" w:cs="Arial" w:eastAsia="Arial" w:hAnsi="Arial"/>
                <w:sz w:val="14"/>
                <w:szCs w:val="14"/>
                <w:color w:val="auto"/>
              </w:rPr>
              <w:t>Capital expenditures</w:t>
            </w:r>
          </w:p>
        </w:tc>
        <w:tc>
          <w:tcPr>
            <w:tcW w:w="3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(32,430)</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(9,717)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(82,716)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(28,454)</w:t>
            </w:r>
          </w:p>
        </w:tc>
      </w:tr>
      <w:tr>
        <w:trPr>
          <w:trHeight w:val="176"/>
        </w:trPr>
        <w:tc>
          <w:tcPr>
            <w:tcW w:w="6160" w:type="dxa"/>
            <w:vAlign w:val="bottom"/>
          </w:tcPr>
          <w:p>
            <w:pPr>
              <w:ind w:left="220"/>
              <w:spacing w:after="0"/>
              <w:rPr>
                <w:sz w:val="20"/>
                <w:szCs w:val="20"/>
                <w:color w:val="auto"/>
              </w:rPr>
            </w:pPr>
            <w:r>
              <w:rPr>
                <w:rFonts w:ascii="Arial" w:cs="Arial" w:eastAsia="Arial" w:hAnsi="Arial"/>
                <w:sz w:val="14"/>
                <w:szCs w:val="14"/>
                <w:color w:val="auto"/>
              </w:rPr>
              <w:t>Purchase of short-term investments</w:t>
            </w:r>
          </w:p>
        </w:tc>
        <w:tc>
          <w:tcPr>
            <w:tcW w:w="32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(21,588)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6160" w:type="dxa"/>
            <w:vAlign w:val="bottom"/>
          </w:tcPr>
          <w:p>
            <w:pPr>
              <w:ind w:left="220"/>
              <w:spacing w:after="0"/>
              <w:rPr>
                <w:sz w:val="20"/>
                <w:szCs w:val="20"/>
                <w:color w:val="auto"/>
              </w:rPr>
            </w:pPr>
            <w:r>
              <w:rPr>
                <w:rFonts w:ascii="Arial" w:cs="Arial" w:eastAsia="Arial" w:hAnsi="Arial"/>
                <w:sz w:val="14"/>
                <w:szCs w:val="14"/>
                <w:color w:val="auto"/>
              </w:rPr>
              <w:t>Proceeds from the sale of short-term investments</w:t>
            </w:r>
          </w:p>
        </w:tc>
        <w:tc>
          <w:tcPr>
            <w:tcW w:w="32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21,588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1"/>
        </w:trPr>
        <w:tc>
          <w:tcPr>
            <w:tcW w:w="6160" w:type="dxa"/>
            <w:vAlign w:val="bottom"/>
          </w:tcPr>
          <w:p>
            <w:pPr>
              <w:ind w:left="22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(14,421)</w:t>
            </w:r>
          </w:p>
        </w:tc>
        <w:tc>
          <w:tcPr>
            <w:tcW w:w="1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(14,890)</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(386)</w:t>
            </w:r>
          </w:p>
        </w:tc>
      </w:tr>
      <w:tr>
        <w:trPr>
          <w:trHeight w:val="169"/>
        </w:trPr>
        <w:tc>
          <w:tcPr>
            <w:tcW w:w="6160" w:type="dxa"/>
            <w:vAlign w:val="bottom"/>
          </w:tcPr>
          <w:p>
            <w:pPr>
              <w:ind w:left="42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(83,393)</w:t>
            </w:r>
          </w:p>
        </w:tc>
        <w:tc>
          <w:tcPr>
            <w:tcW w:w="1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(156,162)</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(174,560)</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(246,622)</w:t>
            </w:r>
          </w:p>
        </w:tc>
      </w:tr>
      <w:tr>
        <w:trPr>
          <w:trHeight w:val="339"/>
        </w:trPr>
        <w:tc>
          <w:tcPr>
            <w:tcW w:w="616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6160" w:type="dxa"/>
            <w:vAlign w:val="bottom"/>
          </w:tcPr>
          <w:p>
            <w:pPr>
              <w:ind w:left="220"/>
              <w:spacing w:after="0"/>
              <w:rPr>
                <w:sz w:val="20"/>
                <w:szCs w:val="20"/>
                <w:color w:val="auto"/>
              </w:rPr>
            </w:pPr>
            <w:r>
              <w:rPr>
                <w:rFonts w:ascii="Arial" w:cs="Arial" w:eastAsia="Arial" w:hAnsi="Arial"/>
                <w:sz w:val="14"/>
                <w:szCs w:val="14"/>
                <w:color w:val="auto"/>
              </w:rPr>
              <w:t>Borrowings of debt, net</w:t>
            </w:r>
          </w:p>
        </w:tc>
        <w:tc>
          <w:tcPr>
            <w:tcW w:w="32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5,134</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93,096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80,314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80,236</w:t>
            </w:r>
          </w:p>
        </w:tc>
      </w:tr>
      <w:tr>
        <w:trPr>
          <w:trHeight w:val="176"/>
        </w:trPr>
        <w:tc>
          <w:tcPr>
            <w:tcW w:w="6160" w:type="dxa"/>
            <w:vAlign w:val="bottom"/>
          </w:tcPr>
          <w:p>
            <w:pPr>
              <w:ind w:left="220"/>
              <w:spacing w:after="0"/>
              <w:rPr>
                <w:sz w:val="20"/>
                <w:szCs w:val="20"/>
                <w:color w:val="auto"/>
              </w:rPr>
            </w:pPr>
            <w:r>
              <w:rPr>
                <w:rFonts w:ascii="Arial" w:cs="Arial" w:eastAsia="Arial" w:hAnsi="Arial"/>
                <w:sz w:val="14"/>
                <w:szCs w:val="14"/>
                <w:color w:val="auto"/>
              </w:rPr>
              <w:t>Dividends paid on common stock</w:t>
            </w:r>
          </w:p>
        </w:tc>
        <w:tc>
          <w:tcPr>
            <w:tcW w:w="3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(2,659)</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(2,666)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(10,679)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(10,685)</w:t>
            </w:r>
          </w:p>
        </w:tc>
      </w:tr>
      <w:tr>
        <w:trPr>
          <w:trHeight w:val="181"/>
        </w:trPr>
        <w:tc>
          <w:tcPr>
            <w:tcW w:w="6160" w:type="dxa"/>
            <w:vAlign w:val="bottom"/>
          </w:tcPr>
          <w:p>
            <w:pPr>
              <w:ind w:left="22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(11,695)</w:t>
            </w:r>
          </w:p>
        </w:tc>
        <w:tc>
          <w:tcPr>
            <w:tcW w:w="1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1,919</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(40,126)</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(2,693)</w:t>
            </w:r>
          </w:p>
        </w:tc>
      </w:tr>
      <w:tr>
        <w:trPr>
          <w:trHeight w:val="169"/>
        </w:trPr>
        <w:tc>
          <w:tcPr>
            <w:tcW w:w="6160" w:type="dxa"/>
            <w:vAlign w:val="bottom"/>
          </w:tcPr>
          <w:p>
            <w:pPr>
              <w:ind w:left="420"/>
              <w:spacing w:after="0"/>
              <w:rPr>
                <w:sz w:val="20"/>
                <w:szCs w:val="20"/>
                <w:color w:val="auto"/>
              </w:rPr>
            </w:pPr>
            <w:r>
              <w:rPr>
                <w:rFonts w:ascii="Arial" w:cs="Arial" w:eastAsia="Arial" w:hAnsi="Arial"/>
                <w:sz w:val="14"/>
                <w:szCs w:val="14"/>
                <w:color w:val="auto"/>
              </w:rPr>
              <w:t>Net cash (used in) provided by financing activities</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(9,220)</w:t>
            </w:r>
          </w:p>
        </w:tc>
        <w:tc>
          <w:tcPr>
            <w:tcW w:w="1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92,349</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29,509</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66,858</w:t>
            </w:r>
          </w:p>
        </w:tc>
      </w:tr>
      <w:tr>
        <w:trPr>
          <w:trHeight w:val="339"/>
        </w:trPr>
        <w:tc>
          <w:tcPr>
            <w:tcW w:w="6160" w:type="dxa"/>
            <w:vAlign w:val="bottom"/>
          </w:tcPr>
          <w:p>
            <w:pPr>
              <w:spacing w:after="0"/>
              <w:rPr>
                <w:sz w:val="20"/>
                <w:szCs w:val="20"/>
                <w:color w:val="auto"/>
              </w:rPr>
            </w:pPr>
            <w:r>
              <w:rPr>
                <w:rFonts w:ascii="Arial" w:cs="Arial" w:eastAsia="Arial" w:hAnsi="Arial"/>
                <w:sz w:val="14"/>
                <w:szCs w:val="14"/>
                <w:color w:val="auto"/>
              </w:rPr>
              <w:t>Effect of exchange rate changes on cash and</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1"/>
        </w:trPr>
        <w:tc>
          <w:tcPr>
            <w:tcW w:w="6160" w:type="dxa"/>
            <w:vAlign w:val="bottom"/>
          </w:tcPr>
          <w:p>
            <w:pPr>
              <w:ind w:left="80"/>
              <w:spacing w:after="0"/>
              <w:rPr>
                <w:sz w:val="20"/>
                <w:szCs w:val="20"/>
                <w:color w:val="auto"/>
              </w:rPr>
            </w:pPr>
            <w:r>
              <w:rPr>
                <w:rFonts w:ascii="Arial" w:cs="Arial" w:eastAsia="Arial" w:hAnsi="Arial"/>
                <w:sz w:val="14"/>
                <w:szCs w:val="14"/>
                <w:color w:val="auto"/>
              </w:rPr>
              <w:t>cash equivalents</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896</w:t>
            </w:r>
          </w:p>
        </w:tc>
        <w:tc>
          <w:tcPr>
            <w:tcW w:w="1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1,298</w:t>
            </w:r>
          </w:p>
        </w:tc>
      </w:tr>
      <w:tr>
        <w:trPr>
          <w:trHeight w:val="346"/>
        </w:trPr>
        <w:tc>
          <w:tcPr>
            <w:tcW w:w="6160" w:type="dxa"/>
            <w:vAlign w:val="bottom"/>
          </w:tcPr>
          <w:p>
            <w:pPr>
              <w:spacing w:after="0"/>
              <w:rPr>
                <w:sz w:val="20"/>
                <w:szCs w:val="20"/>
                <w:color w:val="auto"/>
              </w:rPr>
            </w:pPr>
            <w:r>
              <w:rPr>
                <w:rFonts w:ascii="Arial" w:cs="Arial" w:eastAsia="Arial" w:hAnsi="Arial"/>
                <w:sz w:val="14"/>
                <w:szCs w:val="14"/>
                <w:color w:val="auto"/>
              </w:rPr>
              <w:t>Net (decrease) increase in cash and cash equivalents</w:t>
            </w:r>
          </w:p>
        </w:tc>
        <w:tc>
          <w:tcPr>
            <w:tcW w:w="32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(41,162)</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33,339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119,321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(32,675)</w:t>
            </w:r>
          </w:p>
        </w:tc>
      </w:tr>
      <w:tr>
        <w:trPr>
          <w:trHeight w:val="350"/>
        </w:trPr>
        <w:tc>
          <w:tcPr>
            <w:tcW w:w="6160" w:type="dxa"/>
            <w:vAlign w:val="bottom"/>
          </w:tcPr>
          <w:p>
            <w:pPr>
              <w:spacing w:after="0"/>
              <w:rPr>
                <w:sz w:val="20"/>
                <w:szCs w:val="20"/>
                <w:color w:val="auto"/>
              </w:rPr>
            </w:pPr>
            <w:r>
              <w:rPr>
                <w:rFonts w:ascii="Arial" w:cs="Arial" w:eastAsia="Arial" w:hAnsi="Arial"/>
                <w:sz w:val="14"/>
                <w:szCs w:val="14"/>
                <w:color w:val="auto"/>
              </w:rPr>
              <w:t>Cash and cash equivalents, as of beginning of period</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333,223</w:t>
            </w:r>
          </w:p>
        </w:tc>
        <w:tc>
          <w:tcPr>
            <w:tcW w:w="1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139,401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172,740</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205,415</w:t>
            </w:r>
          </w:p>
        </w:tc>
      </w:tr>
      <w:tr>
        <w:trPr>
          <w:trHeight w:val="345"/>
        </w:trPr>
        <w:tc>
          <w:tcPr>
            <w:tcW w:w="6160" w:type="dxa"/>
            <w:vAlign w:val="bottom"/>
          </w:tcPr>
          <w:p>
            <w:pPr>
              <w:spacing w:after="0"/>
              <w:rPr>
                <w:sz w:val="20"/>
                <w:szCs w:val="20"/>
                <w:color w:val="auto"/>
              </w:rPr>
            </w:pPr>
            <w:r>
              <w:rPr>
                <w:rFonts w:ascii="Arial" w:cs="Arial" w:eastAsia="Arial" w:hAnsi="Arial"/>
                <w:sz w:val="14"/>
                <w:szCs w:val="14"/>
                <w:color w:val="auto"/>
              </w:rPr>
              <w:t>Cash and cash equivalents, as of end of period</w:t>
            </w:r>
          </w:p>
        </w:tc>
        <w:tc>
          <w:tcPr>
            <w:tcW w:w="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292,061</w:t>
            </w:r>
          </w:p>
        </w:tc>
        <w:tc>
          <w:tcPr>
            <w:tcW w:w="6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172,740</w:t>
            </w:r>
          </w:p>
        </w:tc>
        <w:tc>
          <w:tcPr>
            <w:tcW w:w="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292,061</w:t>
            </w: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172,740</w:t>
            </w:r>
          </w:p>
        </w:tc>
      </w:tr>
      <w:tr>
        <w:trPr>
          <w:trHeight w:val="20"/>
        </w:trPr>
        <w:tc>
          <w:tcPr>
            <w:tcW w:w="6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6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r>
        <w:trPr>
          <w:trHeight w:val="21"/>
        </w:trPr>
        <w:tc>
          <w:tcPr>
            <w:tcW w:w="61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GAAP TO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 EXCEPT EARNINGS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5"/>
          </w:tcPr>
          <w:p>
            <w:pPr>
              <w:ind w:left="100"/>
              <w:spacing w:after="0"/>
              <w:rPr>
                <w:sz w:val="20"/>
                <w:szCs w:val="20"/>
                <w:color w:val="auto"/>
              </w:rPr>
            </w:pPr>
            <w:r>
              <w:rPr>
                <w:rFonts w:ascii="Arial" w:cs="Arial" w:eastAsia="Arial" w:hAnsi="Arial"/>
                <w:sz w:val="14"/>
                <w:szCs w:val="14"/>
                <w:color w:val="auto"/>
              </w:rPr>
              <w:t>For the Three Months ended</w:t>
            </w:r>
          </w:p>
        </w:tc>
        <w:tc>
          <w:tcPr>
            <w:tcW w:w="200" w:type="dxa"/>
            <w:vAlign w:val="bottom"/>
          </w:tcPr>
          <w:p>
            <w:pPr>
              <w:spacing w:after="0"/>
              <w:rPr>
                <w:sz w:val="15"/>
                <w:szCs w:val="15"/>
                <w:color w:val="auto"/>
              </w:rPr>
            </w:pPr>
          </w:p>
        </w:tc>
        <w:tc>
          <w:tcPr>
            <w:tcW w:w="1700" w:type="dxa"/>
            <w:vAlign w:val="bottom"/>
            <w:gridSpan w:val="5"/>
          </w:tcPr>
          <w:p>
            <w:pPr>
              <w:jc w:val="right"/>
              <w:ind w:right="400"/>
              <w:spacing w:after="0"/>
              <w:rPr>
                <w:sz w:val="20"/>
                <w:szCs w:val="20"/>
                <w:color w:val="auto"/>
              </w:rPr>
            </w:pPr>
            <w:r>
              <w:rPr>
                <w:rFonts w:ascii="Arial" w:cs="Arial" w:eastAsia="Arial" w:hAnsi="Arial"/>
                <w:sz w:val="14"/>
                <w:szCs w:val="14"/>
                <w:color w:val="auto"/>
              </w:rPr>
              <w:t>For the Year ended</w:t>
            </w:r>
          </w:p>
        </w:tc>
      </w:tr>
      <w:tr>
        <w:trPr>
          <w:trHeight w:val="181"/>
        </w:trPr>
        <w:tc>
          <w:tcPr>
            <w:tcW w:w="7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December 31,</w:t>
            </w: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5"/>
          </w:tcPr>
          <w:p>
            <w:pPr>
              <w:jc w:val="right"/>
              <w:ind w:right="560"/>
              <w:spacing w:after="0"/>
              <w:rPr>
                <w:sz w:val="20"/>
                <w:szCs w:val="20"/>
                <w:color w:val="auto"/>
              </w:rPr>
            </w:pPr>
            <w:r>
              <w:rPr>
                <w:rFonts w:ascii="Arial" w:cs="Arial" w:eastAsia="Arial" w:hAnsi="Arial"/>
                <w:sz w:val="14"/>
                <w:szCs w:val="14"/>
                <w:color w:val="auto"/>
              </w:rPr>
              <w:t>December 31,</w:t>
            </w:r>
          </w:p>
        </w:tc>
      </w:tr>
      <w:tr>
        <w:trPr>
          <w:trHeight w:val="169"/>
        </w:trPr>
        <w:tc>
          <w:tcPr>
            <w:tcW w:w="70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2013</w:t>
            </w:r>
          </w:p>
        </w:tc>
        <w:tc>
          <w:tcPr>
            <w:tcW w:w="1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color w:val="auto"/>
                <w:w w:val="96"/>
              </w:rPr>
              <w:t>2012</w:t>
            </w:r>
          </w:p>
        </w:tc>
        <w:tc>
          <w:tcPr>
            <w:tcW w:w="1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2013</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2012</w:t>
            </w:r>
          </w:p>
        </w:tc>
        <w:tc>
          <w:tcPr>
            <w:tcW w:w="20" w:type="dxa"/>
            <w:vAlign w:val="bottom"/>
          </w:tcPr>
          <w:p>
            <w:pPr>
              <w:spacing w:after="0"/>
              <w:rPr>
                <w:sz w:val="14"/>
                <w:szCs w:val="14"/>
                <w:color w:val="auto"/>
              </w:rPr>
            </w:pPr>
          </w:p>
        </w:tc>
      </w:tr>
      <w:tr>
        <w:trPr>
          <w:trHeight w:val="346"/>
        </w:trPr>
        <w:tc>
          <w:tcPr>
            <w:tcW w:w="7040" w:type="dxa"/>
            <w:vAlign w:val="bottom"/>
          </w:tcPr>
          <w:p>
            <w:pPr>
              <w:spacing w:after="0"/>
              <w:rPr>
                <w:sz w:val="20"/>
                <w:szCs w:val="20"/>
                <w:color w:val="auto"/>
              </w:rPr>
            </w:pPr>
            <w:r>
              <w:rPr>
                <w:rFonts w:ascii="Arial" w:cs="Arial" w:eastAsia="Arial" w:hAnsi="Arial"/>
                <w:sz w:val="14"/>
                <w:szCs w:val="14"/>
                <w:color w:val="auto"/>
              </w:rPr>
              <w:t>Non-GAAP financial measures and reconciliation:</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7040" w:type="dxa"/>
            <w:vAlign w:val="bottom"/>
          </w:tcPr>
          <w:p>
            <w:pPr>
              <w:spacing w:after="0"/>
              <w:rPr>
                <w:sz w:val="20"/>
                <w:szCs w:val="20"/>
                <w:color w:val="auto"/>
              </w:rPr>
            </w:pPr>
            <w:r>
              <w:rPr>
                <w:rFonts w:ascii="Arial" w:cs="Arial" w:eastAsia="Arial" w:hAnsi="Arial"/>
                <w:sz w:val="14"/>
                <w:szCs w:val="14"/>
                <w:color w:val="auto"/>
              </w:rPr>
              <w:t>GAAP net income attributable to World Fuel</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51,862</w:t>
            </w:r>
          </w:p>
        </w:tc>
        <w:tc>
          <w:tcPr>
            <w:tcW w:w="140" w:type="dxa"/>
            <w:vAlign w:val="bottom"/>
          </w:tcPr>
          <w:p>
            <w:pPr>
              <w:spacing w:after="0"/>
              <w:rPr>
                <w:sz w:val="24"/>
                <w:szCs w:val="24"/>
                <w:color w:val="auto"/>
              </w:rPr>
            </w:pP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42,836</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203,075</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189,345</w:t>
            </w:r>
          </w:p>
        </w:tc>
      </w:tr>
      <w:tr>
        <w:trPr>
          <w:trHeight w:val="219"/>
        </w:trPr>
        <w:tc>
          <w:tcPr>
            <w:tcW w:w="7040" w:type="dxa"/>
            <w:vAlign w:val="bottom"/>
          </w:tcPr>
          <w:p>
            <w:pPr>
              <w:ind w:left="220"/>
              <w:spacing w:after="0" w:line="219" w:lineRule="exact"/>
              <w:rPr>
                <w:sz w:val="20"/>
                <w:szCs w:val="20"/>
                <w:color w:val="auto"/>
              </w:rPr>
            </w:pPr>
            <w:r>
              <w:rPr>
                <w:rFonts w:ascii="Arial" w:cs="Arial" w:eastAsia="Arial" w:hAnsi="Arial"/>
                <w:sz w:val="14"/>
                <w:szCs w:val="14"/>
                <w:color w:val="auto"/>
              </w:rPr>
              <w:t xml:space="preserve">Share-based compensation expense, net of income taxes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2,812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3,054</w:t>
            </w: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11,182</w:t>
            </w: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9,637</w:t>
            </w:r>
          </w:p>
        </w:tc>
      </w:tr>
      <w:tr>
        <w:trPr>
          <w:trHeight w:val="216"/>
        </w:trPr>
        <w:tc>
          <w:tcPr>
            <w:tcW w:w="7040" w:type="dxa"/>
            <w:vAlign w:val="bottom"/>
          </w:tcPr>
          <w:p>
            <w:pPr>
              <w:ind w:left="220"/>
              <w:spacing w:after="0" w:line="216" w:lineRule="exact"/>
              <w:rPr>
                <w:sz w:val="20"/>
                <w:szCs w:val="20"/>
                <w:color w:val="auto"/>
              </w:rPr>
            </w:pPr>
            <w:r>
              <w:rPr>
                <w:rFonts w:ascii="Arial" w:cs="Arial" w:eastAsia="Arial" w:hAnsi="Arial"/>
                <w:sz w:val="14"/>
                <w:szCs w:val="14"/>
                <w:color w:val="auto"/>
              </w:rPr>
              <w:t xml:space="preserve">Intangible asset amortization expense, net of income taxes </w:t>
            </w:r>
            <w:r>
              <w:rPr>
                <w:rFonts w:ascii="Arial" w:cs="Arial" w:eastAsia="Arial" w:hAnsi="Arial"/>
                <w:sz w:val="23"/>
                <w:szCs w:val="23"/>
                <w:color w:val="auto"/>
                <w:vertAlign w:val="superscript"/>
              </w:rPr>
              <w:t>(2)</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3,639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3,500</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14,448</w:t>
            </w: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14,037</w:t>
            </w:r>
          </w:p>
        </w:tc>
      </w:tr>
      <w:tr>
        <w:trPr>
          <w:trHeight w:val="198"/>
        </w:trPr>
        <w:tc>
          <w:tcPr>
            <w:tcW w:w="7040" w:type="dxa"/>
            <w:vAlign w:val="bottom"/>
          </w:tcPr>
          <w:p>
            <w:pPr>
              <w:ind w:left="220"/>
              <w:spacing w:after="0" w:line="198" w:lineRule="exact"/>
              <w:rPr>
                <w:sz w:val="20"/>
                <w:szCs w:val="20"/>
                <w:color w:val="auto"/>
              </w:rPr>
            </w:pPr>
            <w:r>
              <w:rPr>
                <w:rFonts w:ascii="Arial" w:cs="Arial" w:eastAsia="Arial" w:hAnsi="Arial"/>
                <w:sz w:val="14"/>
                <w:szCs w:val="14"/>
                <w:color w:val="auto"/>
              </w:rPr>
              <w:t xml:space="preserve">Expenses related to certain acquisitions, net of income taxes of $1,574 for 2012 </w:t>
            </w:r>
            <w:r>
              <w:rPr>
                <w:rFonts w:ascii="Arial" w:cs="Arial" w:eastAsia="Arial" w:hAnsi="Arial"/>
                <w:sz w:val="22"/>
                <w:szCs w:val="22"/>
                <w:color w:val="auto"/>
                <w:vertAlign w:val="superscript"/>
              </w:rPr>
              <w:t>(3)</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1,822</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2,924</w:t>
            </w:r>
          </w:p>
        </w:tc>
        <w:tc>
          <w:tcPr>
            <w:tcW w:w="2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1,822</w:t>
            </w:r>
          </w:p>
        </w:tc>
        <w:tc>
          <w:tcPr>
            <w:tcW w:w="2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2,924</w:t>
            </w:r>
          </w:p>
        </w:tc>
      </w:tr>
      <w:tr>
        <w:trPr>
          <w:trHeight w:val="169"/>
        </w:trPr>
        <w:tc>
          <w:tcPr>
            <w:tcW w:w="7040" w:type="dxa"/>
            <w:vAlign w:val="bottom"/>
          </w:tcPr>
          <w:p>
            <w:pPr>
              <w:spacing w:after="0"/>
              <w:rPr>
                <w:sz w:val="20"/>
                <w:szCs w:val="20"/>
                <w:color w:val="auto"/>
              </w:rPr>
            </w:pPr>
            <w:r>
              <w:rPr>
                <w:rFonts w:ascii="Arial" w:cs="Arial" w:eastAsia="Arial" w:hAnsi="Arial"/>
                <w:sz w:val="14"/>
                <w:szCs w:val="14"/>
                <w:color w:val="auto"/>
              </w:rPr>
              <w:t>Non-GAAP net income attributable to World Fuel</w:t>
            </w:r>
          </w:p>
        </w:tc>
        <w:tc>
          <w:tcPr>
            <w:tcW w:w="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60,135</w:t>
            </w:r>
          </w:p>
        </w:tc>
        <w:tc>
          <w:tcPr>
            <w:tcW w:w="14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52,314</w:t>
            </w:r>
          </w:p>
        </w:tc>
        <w:tc>
          <w:tcPr>
            <w:tcW w:w="1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230,527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215,943</w:t>
            </w:r>
          </w:p>
        </w:tc>
        <w:tc>
          <w:tcPr>
            <w:tcW w:w="20" w:type="dxa"/>
            <w:vAlign w:val="bottom"/>
          </w:tcPr>
          <w:p>
            <w:pPr>
              <w:spacing w:after="0"/>
              <w:rPr>
                <w:sz w:val="14"/>
                <w:szCs w:val="14"/>
                <w:color w:val="auto"/>
              </w:rPr>
            </w:pPr>
          </w:p>
        </w:tc>
      </w:tr>
      <w:tr>
        <w:trPr>
          <w:trHeight w:val="20"/>
        </w:trPr>
        <w:tc>
          <w:tcPr>
            <w:tcW w:w="7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3"/>
        </w:trPr>
        <w:tc>
          <w:tcPr>
            <w:tcW w:w="7040" w:type="dxa"/>
            <w:vAlign w:val="bottom"/>
          </w:tcPr>
          <w:p>
            <w:pPr>
              <w:spacing w:after="0"/>
              <w:rPr>
                <w:sz w:val="20"/>
                <w:szCs w:val="20"/>
                <w:color w:val="auto"/>
              </w:rPr>
            </w:pPr>
            <w:r>
              <w:rPr>
                <w:rFonts w:ascii="Arial" w:cs="Arial" w:eastAsia="Arial" w:hAnsi="Arial"/>
                <w:sz w:val="14"/>
                <w:szCs w:val="14"/>
                <w:color w:val="auto"/>
              </w:rPr>
              <w:t>GAAP diluted earnings per common share</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0.73</w:t>
            </w:r>
          </w:p>
        </w:tc>
        <w:tc>
          <w:tcPr>
            <w:tcW w:w="140" w:type="dxa"/>
            <w:vAlign w:val="bottom"/>
          </w:tcPr>
          <w:p>
            <w:pPr>
              <w:spacing w:after="0"/>
              <w:rPr>
                <w:sz w:val="24"/>
                <w:szCs w:val="24"/>
                <w:color w:val="auto"/>
              </w:rPr>
            </w:pPr>
          </w:p>
        </w:tc>
        <w:tc>
          <w:tcPr>
            <w:tcW w:w="3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0.60</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2.83</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2.64</w:t>
            </w:r>
          </w:p>
        </w:tc>
      </w:tr>
      <w:tr>
        <w:trPr>
          <w:trHeight w:val="219"/>
        </w:trPr>
        <w:tc>
          <w:tcPr>
            <w:tcW w:w="7040" w:type="dxa"/>
            <w:vAlign w:val="bottom"/>
          </w:tcPr>
          <w:p>
            <w:pPr>
              <w:ind w:left="220"/>
              <w:spacing w:after="0" w:line="219" w:lineRule="exact"/>
              <w:rPr>
                <w:sz w:val="20"/>
                <w:szCs w:val="20"/>
                <w:color w:val="auto"/>
              </w:rPr>
            </w:pPr>
            <w:r>
              <w:rPr>
                <w:rFonts w:ascii="Arial" w:cs="Arial" w:eastAsia="Arial" w:hAnsi="Arial"/>
                <w:sz w:val="14"/>
                <w:szCs w:val="14"/>
                <w:color w:val="auto"/>
              </w:rPr>
              <w:t xml:space="preserve">Share-based compensation expense, net of income taxes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0.04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0.04</w:t>
            </w:r>
          </w:p>
        </w:tc>
        <w:tc>
          <w:tcPr>
            <w:tcW w:w="2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0.16</w:t>
            </w: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0.13</w:t>
            </w:r>
          </w:p>
        </w:tc>
      </w:tr>
      <w:tr>
        <w:trPr>
          <w:trHeight w:val="216"/>
        </w:trPr>
        <w:tc>
          <w:tcPr>
            <w:tcW w:w="7040" w:type="dxa"/>
            <w:vAlign w:val="bottom"/>
          </w:tcPr>
          <w:p>
            <w:pPr>
              <w:ind w:left="220"/>
              <w:spacing w:after="0" w:line="216" w:lineRule="exact"/>
              <w:rPr>
                <w:sz w:val="20"/>
                <w:szCs w:val="20"/>
                <w:color w:val="auto"/>
              </w:rPr>
            </w:pPr>
            <w:r>
              <w:rPr>
                <w:rFonts w:ascii="Arial" w:cs="Arial" w:eastAsia="Arial" w:hAnsi="Arial"/>
                <w:sz w:val="14"/>
                <w:szCs w:val="14"/>
                <w:color w:val="auto"/>
              </w:rPr>
              <w:t xml:space="preserve">Intangible asset amortization expense, net of income taxes </w:t>
            </w:r>
            <w:r>
              <w:rPr>
                <w:rFonts w:ascii="Arial" w:cs="Arial" w:eastAsia="Arial" w:hAnsi="Arial"/>
                <w:sz w:val="23"/>
                <w:szCs w:val="23"/>
                <w:color w:val="auto"/>
                <w:vertAlign w:val="superscript"/>
              </w:rPr>
              <w:t>(2)</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0.05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0.05</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0.20</w:t>
            </w: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0.20</w:t>
            </w:r>
          </w:p>
        </w:tc>
      </w:tr>
      <w:tr>
        <w:trPr>
          <w:trHeight w:val="198"/>
        </w:trPr>
        <w:tc>
          <w:tcPr>
            <w:tcW w:w="7040" w:type="dxa"/>
            <w:vAlign w:val="bottom"/>
          </w:tcPr>
          <w:p>
            <w:pPr>
              <w:ind w:left="220"/>
              <w:spacing w:after="0" w:line="198" w:lineRule="exact"/>
              <w:rPr>
                <w:sz w:val="20"/>
                <w:szCs w:val="20"/>
                <w:color w:val="auto"/>
              </w:rPr>
            </w:pPr>
            <w:r>
              <w:rPr>
                <w:rFonts w:ascii="Arial" w:cs="Arial" w:eastAsia="Arial" w:hAnsi="Arial"/>
                <w:sz w:val="14"/>
                <w:szCs w:val="14"/>
                <w:color w:val="auto"/>
              </w:rPr>
              <w:t xml:space="preserve">Expenses related to certain acquisitions, net of income taxes </w:t>
            </w:r>
            <w:r>
              <w:rPr>
                <w:rFonts w:ascii="Arial" w:cs="Arial" w:eastAsia="Arial" w:hAnsi="Arial"/>
                <w:sz w:val="22"/>
                <w:szCs w:val="22"/>
                <w:color w:val="auto"/>
                <w:vertAlign w:val="superscript"/>
              </w:rPr>
              <w:t>(3)</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0.03</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0.04</w:t>
            </w:r>
          </w:p>
        </w:tc>
        <w:tc>
          <w:tcPr>
            <w:tcW w:w="2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0.03</w:t>
            </w:r>
          </w:p>
        </w:tc>
        <w:tc>
          <w:tcPr>
            <w:tcW w:w="2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0.04</w:t>
            </w:r>
          </w:p>
        </w:tc>
      </w:tr>
      <w:tr>
        <w:trPr>
          <w:trHeight w:val="169"/>
        </w:trPr>
        <w:tc>
          <w:tcPr>
            <w:tcW w:w="7040" w:type="dxa"/>
            <w:vAlign w:val="bottom"/>
          </w:tcPr>
          <w:p>
            <w:pPr>
              <w:spacing w:after="0"/>
              <w:rPr>
                <w:sz w:val="20"/>
                <w:szCs w:val="20"/>
                <w:color w:val="auto"/>
              </w:rPr>
            </w:pPr>
            <w:r>
              <w:rPr>
                <w:rFonts w:ascii="Arial" w:cs="Arial" w:eastAsia="Arial" w:hAnsi="Arial"/>
                <w:sz w:val="14"/>
                <w:szCs w:val="14"/>
                <w:color w:val="auto"/>
              </w:rPr>
              <w:t>Non-GAAP diluted earnings per common share</w:t>
            </w:r>
          </w:p>
        </w:tc>
        <w:tc>
          <w:tcPr>
            <w:tcW w:w="2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0.85</w:t>
            </w:r>
          </w:p>
        </w:tc>
        <w:tc>
          <w:tcPr>
            <w:tcW w:w="14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0.73</w:t>
            </w:r>
          </w:p>
        </w:tc>
        <w:tc>
          <w:tcPr>
            <w:tcW w:w="1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3.01</w:t>
            </w:r>
          </w:p>
        </w:tc>
        <w:tc>
          <w:tcPr>
            <w:tcW w:w="20" w:type="dxa"/>
            <w:vAlign w:val="bottom"/>
          </w:tcPr>
          <w:p>
            <w:pPr>
              <w:spacing w:after="0"/>
              <w:rPr>
                <w:sz w:val="14"/>
                <w:szCs w:val="14"/>
                <w:color w:val="auto"/>
              </w:rPr>
            </w:pPr>
          </w:p>
        </w:tc>
      </w:tr>
      <w:tr>
        <w:trPr>
          <w:trHeight w:val="20"/>
        </w:trPr>
        <w:tc>
          <w:tcPr>
            <w:tcW w:w="7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46" w:lineRule="exact"/>
        <w:rPr>
          <w:sz w:val="20"/>
          <w:szCs w:val="20"/>
          <w:color w:val="auto"/>
        </w:rPr>
      </w:pPr>
    </w:p>
    <w:p>
      <w:pPr>
        <w:ind w:left="220" w:right="4920" w:hanging="212"/>
        <w:spacing w:after="0" w:line="238" w:lineRule="auto"/>
        <w:tabs>
          <w:tab w:leader="none" w:pos="220" w:val="left"/>
        </w:tabs>
        <w:numPr>
          <w:ilvl w:val="0"/>
          <w:numId w:val="1"/>
        </w:numPr>
        <w:rPr>
          <w:rFonts w:ascii="Arial" w:cs="Arial" w:eastAsia="Arial" w:hAnsi="Arial"/>
          <w:sz w:val="12"/>
          <w:szCs w:val="12"/>
          <w:color w:val="auto"/>
        </w:rPr>
      </w:pPr>
      <w:r>
        <w:rPr>
          <w:rFonts w:ascii="Arial" w:cs="Arial" w:eastAsia="Arial" w:hAnsi="Arial"/>
          <w:sz w:val="14"/>
          <w:szCs w:val="14"/>
          <w:color w:val="auto"/>
        </w:rPr>
        <w:t>The pre-tax amount of share-based compensation expense was $4,137 and $4,529 for the three months ended December 31, 2013 and 2012, respectively, and $16,716 and $14,079 for the year ended December 31, 2013 and 2012, respectively.</w:t>
      </w:r>
    </w:p>
    <w:p>
      <w:pPr>
        <w:spacing w:after="0" w:line="169" w:lineRule="exact"/>
        <w:rPr>
          <w:rFonts w:ascii="Arial" w:cs="Arial" w:eastAsia="Arial" w:hAnsi="Arial"/>
          <w:sz w:val="12"/>
          <w:szCs w:val="12"/>
          <w:color w:val="auto"/>
        </w:rPr>
      </w:pPr>
    </w:p>
    <w:p>
      <w:pPr>
        <w:ind w:left="220" w:right="4920" w:hanging="212"/>
        <w:spacing w:after="0" w:line="238" w:lineRule="auto"/>
        <w:tabs>
          <w:tab w:leader="none" w:pos="220" w:val="left"/>
        </w:tabs>
        <w:numPr>
          <w:ilvl w:val="0"/>
          <w:numId w:val="1"/>
        </w:numPr>
        <w:rPr>
          <w:rFonts w:ascii="Arial" w:cs="Arial" w:eastAsia="Arial" w:hAnsi="Arial"/>
          <w:sz w:val="12"/>
          <w:szCs w:val="12"/>
          <w:color w:val="auto"/>
        </w:rPr>
      </w:pPr>
      <w:r>
        <w:rPr>
          <w:rFonts w:ascii="Arial" w:cs="Arial" w:eastAsia="Arial" w:hAnsi="Arial"/>
          <w:sz w:val="14"/>
          <w:szCs w:val="14"/>
          <w:color w:val="auto"/>
        </w:rPr>
        <w:t>The pre-tax amount of intangible asset amortization expense was $5,666 and $4,950 for the three months ended December 31, 2013 and 2012, respectively, and $22,576 and $18,127 for the year ended December 31, 2013 and 2012, respectively.</w:t>
      </w:r>
    </w:p>
    <w:p>
      <w:pPr>
        <w:spacing w:after="0" w:line="169" w:lineRule="exact"/>
        <w:rPr>
          <w:rFonts w:ascii="Arial" w:cs="Arial" w:eastAsia="Arial" w:hAnsi="Arial"/>
          <w:sz w:val="12"/>
          <w:szCs w:val="12"/>
          <w:color w:val="auto"/>
        </w:rPr>
      </w:pPr>
    </w:p>
    <w:p>
      <w:pPr>
        <w:ind w:left="220" w:right="5040" w:hanging="212"/>
        <w:spacing w:after="0" w:line="253" w:lineRule="auto"/>
        <w:tabs>
          <w:tab w:leader="none" w:pos="220" w:val="left"/>
        </w:tabs>
        <w:numPr>
          <w:ilvl w:val="0"/>
          <w:numId w:val="1"/>
        </w:numPr>
        <w:rPr>
          <w:rFonts w:ascii="Arial" w:cs="Arial" w:eastAsia="Arial" w:hAnsi="Arial"/>
          <w:sz w:val="12"/>
          <w:szCs w:val="12"/>
          <w:color w:val="auto"/>
        </w:rPr>
      </w:pPr>
      <w:r>
        <w:rPr>
          <w:rFonts w:ascii="Arial" w:cs="Arial" w:eastAsia="Arial" w:hAnsi="Arial"/>
          <w:sz w:val="14"/>
          <w:szCs w:val="14"/>
          <w:color w:val="auto"/>
        </w:rPr>
        <w:t>The expenses incurred in 2013 relate to the anticipated 2014 acquisition of Watson Petroleum Limited. The 2012 expenses relate to the acquisition of the Multi Service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727202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BUSINESS SEGMENTS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20" w:type="dxa"/>
            <w:vAlign w:val="bottom"/>
            <w:gridSpan w:val="5"/>
          </w:tcPr>
          <w:p>
            <w:pPr>
              <w:jc w:val="right"/>
              <w:ind w:right="1080"/>
              <w:spacing w:after="0"/>
              <w:rPr>
                <w:sz w:val="20"/>
                <w:szCs w:val="20"/>
                <w:color w:val="auto"/>
              </w:rPr>
            </w:pPr>
            <w:r>
              <w:rPr>
                <w:rFonts w:ascii="Arial" w:cs="Arial" w:eastAsia="Arial" w:hAnsi="Arial"/>
                <w:sz w:val="14"/>
                <w:szCs w:val="14"/>
                <w:color w:val="auto"/>
              </w:rPr>
              <w:t>For the Three Months ended</w:t>
            </w:r>
          </w:p>
        </w:tc>
        <w:tc>
          <w:tcPr>
            <w:tcW w:w="420" w:type="dxa"/>
            <w:vAlign w:val="bottom"/>
          </w:tcPr>
          <w:p>
            <w:pPr>
              <w:spacing w:after="0"/>
              <w:rPr>
                <w:sz w:val="15"/>
                <w:szCs w:val="15"/>
                <w:color w:val="auto"/>
              </w:rPr>
            </w:pPr>
          </w:p>
        </w:tc>
        <w:tc>
          <w:tcPr>
            <w:tcW w:w="1880" w:type="dxa"/>
            <w:vAlign w:val="bottom"/>
            <w:gridSpan w:val="3"/>
          </w:tcPr>
          <w:p>
            <w:pPr>
              <w:jc w:val="right"/>
              <w:ind w:right="8"/>
              <w:spacing w:after="0"/>
              <w:rPr>
                <w:sz w:val="20"/>
                <w:szCs w:val="20"/>
                <w:color w:val="auto"/>
              </w:rPr>
            </w:pPr>
            <w:r>
              <w:rPr>
                <w:rFonts w:ascii="Arial" w:cs="Arial" w:eastAsia="Arial" w:hAnsi="Arial"/>
                <w:sz w:val="14"/>
                <w:szCs w:val="14"/>
                <w:color w:val="auto"/>
              </w:rPr>
              <w:t>For the Year ended</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color w:val="auto"/>
              </w:rPr>
              <w:t>December 31,</w:t>
            </w:r>
          </w:p>
        </w:tc>
        <w:tc>
          <w:tcPr>
            <w:tcW w:w="11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color w:val="auto"/>
              </w:rPr>
              <w:t>December 31,</w:t>
            </w:r>
          </w:p>
        </w:tc>
        <w:tc>
          <w:tcPr>
            <w:tcW w:w="10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2013</w:t>
            </w:r>
          </w:p>
        </w:tc>
        <w:tc>
          <w:tcPr>
            <w:tcW w:w="1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2012</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2013</w:t>
            </w: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20" w:type="dxa"/>
            <w:vAlign w:val="bottom"/>
          </w:tcPr>
          <w:p>
            <w:pPr>
              <w:spacing w:after="0"/>
              <w:rPr>
                <w:sz w:val="20"/>
                <w:szCs w:val="20"/>
                <w:color w:val="auto"/>
              </w:rPr>
            </w:pPr>
            <w:r>
              <w:rPr>
                <w:rFonts w:ascii="Arial" w:cs="Arial" w:eastAsia="Arial" w:hAnsi="Arial"/>
                <w:sz w:val="14"/>
                <w:szCs w:val="14"/>
                <w:color w:val="auto"/>
              </w:rPr>
              <w:t>Revenue:</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140"/>
              <w:spacing w:after="0"/>
              <w:rPr>
                <w:sz w:val="20"/>
                <w:szCs w:val="20"/>
                <w:color w:val="auto"/>
              </w:rPr>
            </w:pPr>
            <w:r>
              <w:rPr>
                <w:rFonts w:ascii="Arial" w:cs="Arial" w:eastAsia="Arial" w:hAnsi="Arial"/>
                <w:sz w:val="14"/>
                <w:szCs w:val="14"/>
                <w:color w:val="auto"/>
              </w:rPr>
              <w:t>Aviation segment</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4,232,935</w:t>
            </w:r>
          </w:p>
        </w:tc>
        <w:tc>
          <w:tcPr>
            <w:tcW w:w="140" w:type="dxa"/>
            <w:vAlign w:val="bottom"/>
          </w:tcPr>
          <w:p>
            <w:pPr>
              <w:spacing w:after="0"/>
              <w:rPr>
                <w:sz w:val="15"/>
                <w:szCs w:val="15"/>
                <w:color w:val="auto"/>
              </w:rPr>
            </w:pP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3,909,286</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16,087,611</w:t>
            </w:r>
          </w:p>
        </w:tc>
        <w:tc>
          <w:tcPr>
            <w:tcW w:w="5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14,692,042</w:t>
            </w:r>
          </w:p>
        </w:tc>
        <w:tc>
          <w:tcPr>
            <w:tcW w:w="0" w:type="dxa"/>
            <w:vAlign w:val="bottom"/>
          </w:tcPr>
          <w:p>
            <w:pPr>
              <w:spacing w:after="0"/>
              <w:rPr>
                <w:sz w:val="1"/>
                <w:szCs w:val="1"/>
                <w:color w:val="auto"/>
              </w:rPr>
            </w:pPr>
          </w:p>
        </w:tc>
      </w:tr>
      <w:tr>
        <w:trPr>
          <w:trHeight w:val="176"/>
        </w:trPr>
        <w:tc>
          <w:tcPr>
            <w:tcW w:w="4420" w:type="dxa"/>
            <w:vAlign w:val="bottom"/>
          </w:tcPr>
          <w:p>
            <w:pPr>
              <w:ind w:left="140"/>
              <w:spacing w:after="0"/>
              <w:rPr>
                <w:sz w:val="20"/>
                <w:szCs w:val="20"/>
                <w:color w:val="auto"/>
              </w:rPr>
            </w:pPr>
            <w:r>
              <w:rPr>
                <w:rFonts w:ascii="Arial" w:cs="Arial" w:eastAsia="Arial" w:hAnsi="Arial"/>
                <w:sz w:val="14"/>
                <w:szCs w:val="14"/>
                <w:color w:val="auto"/>
              </w:rPr>
              <w:t>Marine segment</w:t>
            </w:r>
          </w:p>
        </w:tc>
        <w:tc>
          <w:tcPr>
            <w:tcW w:w="4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3,530,317</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3,448,996</w:t>
            </w:r>
          </w:p>
        </w:tc>
        <w:tc>
          <w:tcPr>
            <w:tcW w:w="42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14,790,342</w:t>
            </w:r>
          </w:p>
        </w:tc>
        <w:tc>
          <w:tcPr>
            <w:tcW w:w="56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14,750,425</w:t>
            </w:r>
          </w:p>
        </w:tc>
        <w:tc>
          <w:tcPr>
            <w:tcW w:w="0" w:type="dxa"/>
            <w:vAlign w:val="bottom"/>
          </w:tcPr>
          <w:p>
            <w:pPr>
              <w:spacing w:after="0"/>
              <w:rPr>
                <w:sz w:val="1"/>
                <w:szCs w:val="1"/>
                <w:color w:val="auto"/>
              </w:rPr>
            </w:pPr>
          </w:p>
        </w:tc>
      </w:tr>
      <w:tr>
        <w:trPr>
          <w:trHeight w:val="181"/>
        </w:trPr>
        <w:tc>
          <w:tcPr>
            <w:tcW w:w="4420" w:type="dxa"/>
            <w:vAlign w:val="bottom"/>
          </w:tcPr>
          <w:p>
            <w:pPr>
              <w:ind w:left="140"/>
              <w:spacing w:after="0"/>
              <w:rPr>
                <w:sz w:val="20"/>
                <w:szCs w:val="20"/>
                <w:color w:val="auto"/>
              </w:rPr>
            </w:pPr>
            <w:r>
              <w:rPr>
                <w:rFonts w:ascii="Arial" w:cs="Arial" w:eastAsia="Arial" w:hAnsi="Arial"/>
                <w:sz w:val="14"/>
                <w:szCs w:val="14"/>
                <w:color w:val="auto"/>
              </w:rPr>
              <w:t>Land segment</w:t>
            </w:r>
          </w:p>
        </w:tc>
        <w:tc>
          <w:tcPr>
            <w:tcW w:w="4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2,641,401</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2,577,531</w:t>
            </w:r>
          </w:p>
        </w:tc>
        <w:tc>
          <w:tcPr>
            <w:tcW w:w="42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10,683,994</w:t>
            </w:r>
          </w:p>
        </w:tc>
        <w:tc>
          <w:tcPr>
            <w:tcW w:w="56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9,502,871</w:t>
            </w: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10,404,653</w:t>
            </w:r>
          </w:p>
        </w:tc>
        <w:tc>
          <w:tcPr>
            <w:tcW w:w="1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9,935,813</w:t>
            </w:r>
          </w:p>
        </w:tc>
        <w:tc>
          <w:tcPr>
            <w:tcW w:w="14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41,561,947</w:t>
            </w:r>
          </w:p>
        </w:tc>
        <w:tc>
          <w:tcPr>
            <w:tcW w:w="16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38,945,338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4"/>
                <w:szCs w:val="14"/>
                <w:color w:val="auto"/>
              </w:rPr>
              <w:t>Gross profit:</w:t>
            </w: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4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140"/>
              <w:spacing w:after="0"/>
              <w:rPr>
                <w:sz w:val="20"/>
                <w:szCs w:val="20"/>
                <w:color w:val="auto"/>
              </w:rPr>
            </w:pPr>
            <w:r>
              <w:rPr>
                <w:rFonts w:ascii="Arial" w:cs="Arial" w:eastAsia="Arial" w:hAnsi="Arial"/>
                <w:sz w:val="14"/>
                <w:szCs w:val="14"/>
                <w:color w:val="auto"/>
              </w:rPr>
              <w:t>Aviation segment</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84,395</w:t>
            </w:r>
          </w:p>
        </w:tc>
        <w:tc>
          <w:tcPr>
            <w:tcW w:w="140" w:type="dxa"/>
            <w:vAlign w:val="bottom"/>
          </w:tcPr>
          <w:p>
            <w:pPr>
              <w:spacing w:after="0"/>
              <w:rPr>
                <w:sz w:val="15"/>
                <w:szCs w:val="15"/>
                <w:color w:val="auto"/>
              </w:rPr>
            </w:pP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76,319</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327,178</w:t>
            </w:r>
          </w:p>
        </w:tc>
        <w:tc>
          <w:tcPr>
            <w:tcW w:w="5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294,601</w:t>
            </w:r>
          </w:p>
        </w:tc>
        <w:tc>
          <w:tcPr>
            <w:tcW w:w="0" w:type="dxa"/>
            <w:vAlign w:val="bottom"/>
          </w:tcPr>
          <w:p>
            <w:pPr>
              <w:spacing w:after="0"/>
              <w:rPr>
                <w:sz w:val="1"/>
                <w:szCs w:val="1"/>
                <w:color w:val="auto"/>
              </w:rPr>
            </w:pPr>
          </w:p>
        </w:tc>
      </w:tr>
      <w:tr>
        <w:trPr>
          <w:trHeight w:val="176"/>
        </w:trPr>
        <w:tc>
          <w:tcPr>
            <w:tcW w:w="4420" w:type="dxa"/>
            <w:vAlign w:val="bottom"/>
          </w:tcPr>
          <w:p>
            <w:pPr>
              <w:ind w:left="140"/>
              <w:spacing w:after="0"/>
              <w:rPr>
                <w:sz w:val="20"/>
                <w:szCs w:val="20"/>
                <w:color w:val="auto"/>
              </w:rPr>
            </w:pPr>
            <w:r>
              <w:rPr>
                <w:rFonts w:ascii="Arial" w:cs="Arial" w:eastAsia="Arial" w:hAnsi="Arial"/>
                <w:sz w:val="14"/>
                <w:szCs w:val="14"/>
                <w:color w:val="auto"/>
              </w:rPr>
              <w:t>Marine segment</w:t>
            </w:r>
          </w:p>
        </w:tc>
        <w:tc>
          <w:tcPr>
            <w:tcW w:w="4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42,815</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47,243</w:t>
            </w:r>
          </w:p>
        </w:tc>
        <w:tc>
          <w:tcPr>
            <w:tcW w:w="42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177,052</w:t>
            </w:r>
          </w:p>
        </w:tc>
        <w:tc>
          <w:tcPr>
            <w:tcW w:w="56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208,028</w:t>
            </w:r>
          </w:p>
        </w:tc>
        <w:tc>
          <w:tcPr>
            <w:tcW w:w="0" w:type="dxa"/>
            <w:vAlign w:val="bottom"/>
          </w:tcPr>
          <w:p>
            <w:pPr>
              <w:spacing w:after="0"/>
              <w:rPr>
                <w:sz w:val="1"/>
                <w:szCs w:val="1"/>
                <w:color w:val="auto"/>
              </w:rPr>
            </w:pPr>
          </w:p>
        </w:tc>
      </w:tr>
      <w:tr>
        <w:trPr>
          <w:trHeight w:val="181"/>
        </w:trPr>
        <w:tc>
          <w:tcPr>
            <w:tcW w:w="4420" w:type="dxa"/>
            <w:vAlign w:val="bottom"/>
          </w:tcPr>
          <w:p>
            <w:pPr>
              <w:ind w:left="140"/>
              <w:spacing w:after="0"/>
              <w:rPr>
                <w:sz w:val="20"/>
                <w:szCs w:val="20"/>
                <w:color w:val="auto"/>
              </w:rPr>
            </w:pPr>
            <w:r>
              <w:rPr>
                <w:rFonts w:ascii="Arial" w:cs="Arial" w:eastAsia="Arial" w:hAnsi="Arial"/>
                <w:sz w:val="14"/>
                <w:szCs w:val="14"/>
                <w:color w:val="auto"/>
              </w:rPr>
              <w:t>Land segment</w:t>
            </w:r>
          </w:p>
        </w:tc>
        <w:tc>
          <w:tcPr>
            <w:tcW w:w="4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68,370</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39,775</w:t>
            </w:r>
          </w:p>
        </w:tc>
        <w:tc>
          <w:tcPr>
            <w:tcW w:w="42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248,528</w:t>
            </w:r>
          </w:p>
        </w:tc>
        <w:tc>
          <w:tcPr>
            <w:tcW w:w="56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170,818</w:t>
            </w: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195,580</w:t>
            </w:r>
          </w:p>
        </w:tc>
        <w:tc>
          <w:tcPr>
            <w:tcW w:w="1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163,337</w:t>
            </w:r>
          </w:p>
        </w:tc>
        <w:tc>
          <w:tcPr>
            <w:tcW w:w="14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752,758</w:t>
            </w:r>
          </w:p>
        </w:tc>
        <w:tc>
          <w:tcPr>
            <w:tcW w:w="16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673,447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4"/>
                <w:szCs w:val="14"/>
                <w:color w:val="auto"/>
              </w:rPr>
              <w:t>Income from operations:</w:t>
            </w: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4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140"/>
              <w:spacing w:after="0"/>
              <w:rPr>
                <w:sz w:val="20"/>
                <w:szCs w:val="20"/>
                <w:color w:val="auto"/>
              </w:rPr>
            </w:pPr>
            <w:r>
              <w:rPr>
                <w:rFonts w:ascii="Arial" w:cs="Arial" w:eastAsia="Arial" w:hAnsi="Arial"/>
                <w:sz w:val="14"/>
                <w:szCs w:val="14"/>
                <w:color w:val="auto"/>
              </w:rPr>
              <w:t>Aviation segment</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41,131</w:t>
            </w:r>
          </w:p>
        </w:tc>
        <w:tc>
          <w:tcPr>
            <w:tcW w:w="140" w:type="dxa"/>
            <w:vAlign w:val="bottom"/>
          </w:tcPr>
          <w:p>
            <w:pPr>
              <w:spacing w:after="0"/>
              <w:rPr>
                <w:sz w:val="15"/>
                <w:szCs w:val="15"/>
                <w:color w:val="auto"/>
              </w:rPr>
            </w:pP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35,552</w:t>
            </w:r>
          </w:p>
        </w:tc>
        <w:tc>
          <w:tcPr>
            <w:tcW w:w="4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150,886</w:t>
            </w:r>
          </w:p>
        </w:tc>
        <w:tc>
          <w:tcPr>
            <w:tcW w:w="56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128,153</w:t>
            </w:r>
          </w:p>
        </w:tc>
        <w:tc>
          <w:tcPr>
            <w:tcW w:w="0" w:type="dxa"/>
            <w:vAlign w:val="bottom"/>
          </w:tcPr>
          <w:p>
            <w:pPr>
              <w:spacing w:after="0"/>
              <w:rPr>
                <w:sz w:val="1"/>
                <w:szCs w:val="1"/>
                <w:color w:val="auto"/>
              </w:rPr>
            </w:pPr>
          </w:p>
        </w:tc>
      </w:tr>
      <w:tr>
        <w:trPr>
          <w:trHeight w:val="176"/>
        </w:trPr>
        <w:tc>
          <w:tcPr>
            <w:tcW w:w="4420" w:type="dxa"/>
            <w:vAlign w:val="bottom"/>
          </w:tcPr>
          <w:p>
            <w:pPr>
              <w:ind w:left="140"/>
              <w:spacing w:after="0"/>
              <w:rPr>
                <w:sz w:val="20"/>
                <w:szCs w:val="20"/>
                <w:color w:val="auto"/>
              </w:rPr>
            </w:pPr>
            <w:r>
              <w:rPr>
                <w:rFonts w:ascii="Arial" w:cs="Arial" w:eastAsia="Arial" w:hAnsi="Arial"/>
                <w:sz w:val="14"/>
                <w:szCs w:val="14"/>
                <w:color w:val="auto"/>
              </w:rPr>
              <w:t>Marine segment</w:t>
            </w:r>
          </w:p>
        </w:tc>
        <w:tc>
          <w:tcPr>
            <w:tcW w:w="4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17,430</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20,557</w:t>
            </w:r>
          </w:p>
        </w:tc>
        <w:tc>
          <w:tcPr>
            <w:tcW w:w="42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73,770</w:t>
            </w:r>
          </w:p>
        </w:tc>
        <w:tc>
          <w:tcPr>
            <w:tcW w:w="56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103,229</w:t>
            </w:r>
          </w:p>
        </w:tc>
        <w:tc>
          <w:tcPr>
            <w:tcW w:w="0" w:type="dxa"/>
            <w:vAlign w:val="bottom"/>
          </w:tcPr>
          <w:p>
            <w:pPr>
              <w:spacing w:after="0"/>
              <w:rPr>
                <w:sz w:val="1"/>
                <w:szCs w:val="1"/>
                <w:color w:val="auto"/>
              </w:rPr>
            </w:pPr>
          </w:p>
        </w:tc>
      </w:tr>
      <w:tr>
        <w:trPr>
          <w:trHeight w:val="181"/>
        </w:trPr>
        <w:tc>
          <w:tcPr>
            <w:tcW w:w="4420" w:type="dxa"/>
            <w:vAlign w:val="bottom"/>
          </w:tcPr>
          <w:p>
            <w:pPr>
              <w:ind w:left="140"/>
              <w:spacing w:after="0"/>
              <w:rPr>
                <w:sz w:val="20"/>
                <w:szCs w:val="20"/>
                <w:color w:val="auto"/>
              </w:rPr>
            </w:pPr>
            <w:r>
              <w:rPr>
                <w:rFonts w:ascii="Arial" w:cs="Arial" w:eastAsia="Arial" w:hAnsi="Arial"/>
                <w:sz w:val="14"/>
                <w:szCs w:val="14"/>
                <w:color w:val="auto"/>
              </w:rPr>
              <w:t>Land segment</w:t>
            </w:r>
          </w:p>
        </w:tc>
        <w:tc>
          <w:tcPr>
            <w:tcW w:w="4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21,159</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12,554</w:t>
            </w:r>
          </w:p>
        </w:tc>
        <w:tc>
          <w:tcPr>
            <w:tcW w:w="42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84,767</w:t>
            </w:r>
          </w:p>
        </w:tc>
        <w:tc>
          <w:tcPr>
            <w:tcW w:w="56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75,291</w:t>
            </w:r>
          </w:p>
        </w:tc>
        <w:tc>
          <w:tcPr>
            <w:tcW w:w="0" w:type="dxa"/>
            <w:vAlign w:val="bottom"/>
          </w:tcPr>
          <w:p>
            <w:pPr>
              <w:spacing w:after="0"/>
              <w:rPr>
                <w:sz w:val="1"/>
                <w:szCs w:val="1"/>
                <w:color w:val="auto"/>
              </w:rPr>
            </w:pPr>
          </w:p>
        </w:tc>
      </w:tr>
      <w:tr>
        <w:trPr>
          <w:trHeight w:val="164"/>
        </w:trPr>
        <w:tc>
          <w:tcPr>
            <w:tcW w:w="44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79,720</w:t>
            </w:r>
          </w:p>
        </w:tc>
        <w:tc>
          <w:tcPr>
            <w:tcW w:w="14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68,663</w:t>
            </w:r>
          </w:p>
        </w:tc>
        <w:tc>
          <w:tcPr>
            <w:tcW w:w="14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309,423</w:t>
            </w:r>
          </w:p>
        </w:tc>
        <w:tc>
          <w:tcPr>
            <w:tcW w:w="16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306,673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420" w:type="dxa"/>
            <w:vAlign w:val="bottom"/>
          </w:tcPr>
          <w:p>
            <w:pPr>
              <w:ind w:left="140"/>
              <w:spacing w:after="0"/>
              <w:rPr>
                <w:sz w:val="20"/>
                <w:szCs w:val="20"/>
                <w:color w:val="auto"/>
              </w:rPr>
            </w:pPr>
            <w:r>
              <w:rPr>
                <w:rFonts w:ascii="Arial" w:cs="Arial" w:eastAsia="Arial" w:hAnsi="Arial"/>
                <w:sz w:val="14"/>
                <w:szCs w:val="14"/>
                <w:color w:val="auto"/>
              </w:rPr>
              <w:t>Corporate overhead - unallocated</w:t>
            </w:r>
          </w:p>
        </w:tc>
        <w:tc>
          <w:tcPr>
            <w:tcW w:w="4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15,242</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14,302</w:t>
            </w:r>
          </w:p>
        </w:tc>
        <w:tc>
          <w:tcPr>
            <w:tcW w:w="42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45,065</w:t>
            </w:r>
          </w:p>
        </w:tc>
        <w:tc>
          <w:tcPr>
            <w:tcW w:w="56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49,650</w:t>
            </w: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64,478</w:t>
            </w:r>
          </w:p>
        </w:tc>
        <w:tc>
          <w:tcPr>
            <w:tcW w:w="1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54,361</w:t>
            </w:r>
          </w:p>
        </w:tc>
        <w:tc>
          <w:tcPr>
            <w:tcW w:w="14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264,358</w:t>
            </w:r>
          </w:p>
        </w:tc>
        <w:tc>
          <w:tcPr>
            <w:tcW w:w="16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Executive Vice President &amp; Chief Financial Officer</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2019-12-05T22:15:42Z</dcterms:created>
  <dcterms:modified xsi:type="dcterms:W3CDTF">2019-12-05T22:15:42Z</dcterms:modified>
</cp:coreProperties>
</file>