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PRESBY J THOMAS</w:t>
              </w:r>
            </w:hyperlink>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120" w:type="dxa"/>
            <w:vAlign w:val="bottom"/>
            <w:tcBorders>
              <w:top w:val="single" w:sz="8" w:color="EEEEEE"/>
            </w:tcBorders>
            <w:vMerge w:val="restart"/>
          </w:tcPr>
          <w:p>
            <w:pPr>
              <w:ind w:left="460"/>
              <w:spacing w:after="0"/>
              <w:rPr>
                <w:sz w:val="20"/>
                <w:szCs w:val="20"/>
                <w:color w:val="auto"/>
              </w:rPr>
            </w:pPr>
            <w:r>
              <w:rPr>
                <w:rFonts w:ascii="Arial" w:cs="Arial" w:eastAsia="Arial" w:hAnsi="Arial"/>
                <w:sz w:val="14"/>
                <w:szCs w:val="14"/>
                <w:color w:val="auto"/>
              </w:rPr>
              <w:t>(First)</w:t>
            </w:r>
          </w:p>
        </w:tc>
        <w:tc>
          <w:tcPr>
            <w:tcW w:w="1860" w:type="dxa"/>
            <w:vAlign w:val="bottom"/>
            <w:tcBorders>
              <w:top w:val="single" w:sz="8" w:color="EEEEEE"/>
            </w:tcBorders>
            <w:vMerge w:val="restart"/>
          </w:tcPr>
          <w:p>
            <w:pPr>
              <w:ind w:left="60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860" w:type="dxa"/>
            <w:vAlign w:val="bottom"/>
            <w:vMerge w:val="continue"/>
          </w:tcPr>
          <w:p>
            <w:pPr>
              <w:spacing w:after="0"/>
              <w:rPr>
                <w:sz w:val="11"/>
                <w:szCs w:val="11"/>
                <w:color w:val="auto"/>
              </w:rPr>
            </w:pPr>
          </w:p>
        </w:tc>
        <w:tc>
          <w:tcPr>
            <w:tcW w:w="3220" w:type="dxa"/>
            <w:vAlign w:val="bottom"/>
            <w:gridSpan w:val="4"/>
            <w:vMerge w:val="restart"/>
          </w:tcPr>
          <w:p>
            <w:pPr>
              <w:ind w:left="160"/>
              <w:spacing w:after="0" w:line="203" w:lineRule="exact"/>
              <w:rPr>
                <w:sz w:val="20"/>
                <w:szCs w:val="20"/>
                <w:color w:val="auto"/>
              </w:rPr>
            </w:pPr>
            <w:r>
              <w:rPr>
                <w:rFonts w:ascii="Arial" w:cs="Arial" w:eastAsia="Arial" w:hAnsi="Arial"/>
                <w:sz w:val="18"/>
                <w:szCs w:val="18"/>
                <w:color w:val="0000FF"/>
              </w:rPr>
              <w:t>05/29/2014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 HOLTON LANE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ESSEX FELLS</w:t>
            </w:r>
          </w:p>
        </w:tc>
        <w:tc>
          <w:tcPr>
            <w:tcW w:w="920" w:type="dxa"/>
            <w:vAlign w:val="bottom"/>
          </w:tcPr>
          <w:p>
            <w:pPr>
              <w:ind w:left="8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07021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05/29/2014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3,035</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39,346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46 stock units received by the reporting person in connection with deferred stock grants and dividends payable on such deferred stock grants under the issuer's Stock Deferral Plan for Non-Employee Directors.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 Thomas Presby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06/02/2014</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2019-12-17T17:16:30Z</dcterms:created>
  <dcterms:modified xsi:type="dcterms:W3CDTF">2019-12-17T17:16:30Z</dcterms:modified>
</cp:coreProperties>
</file>