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100" w:right="1900" w:hanging="3004"/>
        <w:spacing w:after="0" w:line="501" w:lineRule="auto"/>
        <w:tabs>
          <w:tab w:leader="none" w:pos="3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81"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6"/>
              </w:rPr>
              <w:t>Florida</w:t>
            </w:r>
          </w:p>
        </w:tc>
        <w:tc>
          <w:tcPr>
            <w:tcW w:w="32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(State or other jurisdiction of</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incorporation or organization)</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12"/>
                <w:szCs w:val="12"/>
                <w:b w:val="1"/>
                <w:bCs w:val="1"/>
                <w:color w:val="auto"/>
                <w:w w:val="91"/>
              </w:rPr>
              <w:t>st</w:t>
            </w:r>
            <w:r>
              <w:rPr>
                <w:rFonts w:ascii="Arial" w:cs="Arial" w:eastAsia="Arial" w:hAnsi="Arial"/>
                <w:sz w:val="18"/>
                <w:szCs w:val="18"/>
                <w:b w:val="1"/>
                <w:bCs w:val="1"/>
                <w:color w:val="auto"/>
                <w:w w:val="91"/>
              </w:rPr>
              <w:t xml:space="preserve"> Street</w:t>
            </w:r>
          </w:p>
        </w:tc>
        <w:tc>
          <w:tcPr>
            <w:tcW w:w="3240" w:type="dxa"/>
            <w:vAlign w:val="bottom"/>
          </w:tcPr>
          <w:p>
            <w:pPr>
              <w:spacing w:after="0"/>
              <w:rPr>
                <w:sz w:val="24"/>
                <w:szCs w:val="24"/>
                <w:color w:val="auto"/>
              </w:rPr>
            </w:pPr>
          </w:p>
        </w:tc>
      </w:t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Miami, Florida</w:t>
            </w: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jc w:val="center"/>
              <w:ind w:left="1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75"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00" w:firstLine="243"/>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left="260"/>
        <w:spacing w:after="0"/>
        <w:rPr>
          <w:sz w:val="20"/>
          <w:szCs w:val="20"/>
          <w:color w:val="auto"/>
        </w:rPr>
      </w:pPr>
      <w:r>
        <w:rPr>
          <w:rFonts w:ascii="Arial" w:cs="Arial" w:eastAsia="Arial" w:hAnsi="Arial"/>
          <w:sz w:val="17"/>
          <w:szCs w:val="17"/>
          <w:color w:val="auto"/>
        </w:rPr>
        <w:t>The registrant had a total of 67,618,762 shares of common stock, par value $0.01 per share, issued and outstanding as of October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0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66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7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2017 and December 31, 2016</w:t>
              </w:r>
            </w:hyperlink>
          </w:p>
        </w:tc>
        <w:tc>
          <w:tcPr>
            <w:tcW w:w="3580" w:type="dxa"/>
            <w:vAlign w:val="bottom"/>
            <w:gridSpan w:val="5"/>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320" w:type="dxa"/>
            <w:vAlign w:val="bottom"/>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for the Three and Nine Months ended September 30, 2017 and</w:t>
              </w:r>
            </w:hyperlink>
          </w:p>
        </w:tc>
        <w:tc>
          <w:tcPr>
            <w:tcW w:w="3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7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Shareholders’ Equity for the Nine Months ended September 30, 2017 and 2016</w:t>
              </w:r>
            </w:hyperlink>
          </w:p>
        </w:tc>
        <w:tc>
          <w:tcPr>
            <w:tcW w:w="1580" w:type="dxa"/>
            <w:vAlign w:val="bottom"/>
            <w:gridSpan w:val="2"/>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September 30, 2017 and 2016</w:t>
              </w:r>
            </w:hyperlink>
          </w:p>
        </w:tc>
        <w:tc>
          <w:tcPr>
            <w:tcW w:w="2260" w:type="dxa"/>
            <w:vAlign w:val="bottom"/>
            <w:gridSpan w:val="3"/>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Consolidated Financial Statements</w:t>
              </w:r>
            </w:hyperlink>
          </w:p>
        </w:tc>
        <w:tc>
          <w:tcPr>
            <w:tcW w:w="5900" w:type="dxa"/>
            <w:vAlign w:val="bottom"/>
            <w:gridSpan w:val="8"/>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400" w:type="dxa"/>
            <w:vAlign w:val="bottom"/>
          </w:tcPr>
          <w:p>
            <w:pPr>
              <w:spacing w:after="0"/>
              <w:rPr>
                <w:sz w:val="24"/>
                <w:szCs w:val="24"/>
                <w:color w:val="auto"/>
              </w:rPr>
            </w:pPr>
          </w:p>
        </w:tc>
        <w:tc>
          <w:tcPr>
            <w:tcW w:w="6460" w:type="dxa"/>
            <w:vAlign w:val="bottom"/>
            <w:tcBorders>
              <w:top w:val="single" w:sz="8" w:color="0000EE"/>
            </w:tcBorders>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4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4960" w:type="dxa"/>
            <w:vAlign w:val="bottom"/>
            <w:gridSpan w:val="6"/>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20"/>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892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980" w:type="dxa"/>
            <w:vAlign w:val="bottom"/>
            <w:gridSpan w:val="11"/>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400" w:type="dxa"/>
            <w:vAlign w:val="bottom"/>
          </w:tcPr>
          <w:p>
            <w:pPr>
              <w:spacing w:after="0"/>
              <w:rPr>
                <w:sz w:val="24"/>
                <w:szCs w:val="24"/>
                <w:color w:val="auto"/>
              </w:rPr>
            </w:pPr>
          </w:p>
        </w:tc>
        <w:tc>
          <w:tcPr>
            <w:tcW w:w="432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000" w:type="dxa"/>
            <w:vAlign w:val="bottom"/>
            <w:gridSpan w:val="7"/>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520"/>
        </w:trPr>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80" w:type="dxa"/>
            <w:vAlign w:val="bottom"/>
          </w:tcPr>
          <w:p>
            <w:pPr>
              <w:jc w:val="center"/>
              <w:ind w:left="1710"/>
              <w:spacing w:after="0"/>
              <w:rPr>
                <w:sz w:val="20"/>
                <w:szCs w:val="20"/>
                <w:color w:val="auto"/>
              </w:rPr>
            </w:pPr>
            <w:r>
              <w:rPr>
                <w:rFonts w:ascii="Arial" w:cs="Arial" w:eastAsia="Arial" w:hAnsi="Arial"/>
                <w:sz w:val="18"/>
                <w:szCs w:val="18"/>
                <w:b w:val="1"/>
                <w:bCs w:val="1"/>
                <w:color w:val="auto"/>
                <w:w w:val="87"/>
              </w:rPr>
              <w:t>Consolidated Balance Sheets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color w:val="auto"/>
                <w:w w:val="91"/>
              </w:rPr>
              <w:t>(Unaudited - In millions, except per share data)</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698.6</w:t>
            </w:r>
          </w:p>
        </w:tc>
      </w:tr>
      <w:tr>
        <w:trPr>
          <w:trHeight w:val="264"/>
        </w:trPr>
        <w:tc>
          <w:tcPr>
            <w:tcW w:w="83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2,583.4</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2,344.0</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522.7</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458.0</w:t>
            </w:r>
          </w:p>
        </w:tc>
      </w:tr>
      <w:tr>
        <w:trPr>
          <w:trHeight w:val="264"/>
        </w:trPr>
        <w:tc>
          <w:tcPr>
            <w:tcW w:w="83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55.3</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46.5</w:t>
            </w:r>
          </w:p>
        </w:tc>
      </w:tr>
      <w:tr>
        <w:trPr>
          <w:trHeight w:val="276"/>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r>
      <w:tr>
        <w:trPr>
          <w:trHeight w:val="264"/>
        </w:trPr>
        <w:tc>
          <w:tcPr>
            <w:tcW w:w="8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287.3</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230.6</w:t>
            </w:r>
          </w:p>
        </w:tc>
      </w:tr>
      <w:tr>
        <w:trPr>
          <w:trHeight w:val="270"/>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4,025.3</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3,836.6</w:t>
            </w:r>
          </w:p>
        </w:tc>
      </w:tr>
      <w:tr>
        <w:trPr>
          <w:trHeight w:val="264"/>
        </w:trPr>
        <w:tc>
          <w:tcPr>
            <w:tcW w:w="836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332.1</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311.2</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901.1</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835.8</w:t>
            </w:r>
          </w:p>
        </w:tc>
      </w:tr>
      <w:tr>
        <w:trPr>
          <w:trHeight w:val="264"/>
        </w:trPr>
        <w:tc>
          <w:tcPr>
            <w:tcW w:w="8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464.6</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429.1</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70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5,723.1</w:t>
            </w: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5,412.6</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360" w:type="dxa"/>
            <w:vAlign w:val="bottom"/>
            <w:gridSpan w:val="3"/>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23.6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6"/>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2,041.0</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1,770.4</w:t>
            </w:r>
          </w:p>
        </w:tc>
      </w:tr>
      <w:tr>
        <w:trPr>
          <w:trHeight w:val="264"/>
        </w:trPr>
        <w:tc>
          <w:tcPr>
            <w:tcW w:w="83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99.4</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90.8</w:t>
            </w:r>
          </w:p>
        </w:tc>
      </w:tr>
      <w:tr>
        <w:trPr>
          <w:trHeight w:val="270"/>
        </w:trPr>
        <w:tc>
          <w:tcPr>
            <w:tcW w:w="83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302.2</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306.0</w:t>
            </w:r>
          </w:p>
        </w:tc>
      </w:tr>
      <w:tr>
        <w:trPr>
          <w:trHeight w:val="264"/>
        </w:trPr>
        <w:tc>
          <w:tcPr>
            <w:tcW w:w="8360" w:type="dxa"/>
            <w:vAlign w:val="bottom"/>
            <w:gridSpan w:val="3"/>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2,466.3</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2,182.7</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4"/>
                <w:szCs w:val="24"/>
                <w:color w:val="auto"/>
              </w:rPr>
            </w:pPr>
          </w:p>
        </w:tc>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1,128.1</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1,170.8</w:t>
            </w:r>
          </w:p>
        </w:tc>
      </w:tr>
      <w:tr>
        <w:trPr>
          <w:trHeight w:val="264"/>
        </w:trPr>
        <w:tc>
          <w:tcPr>
            <w:tcW w:w="83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149.7</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84.6</w:t>
            </w:r>
          </w:p>
        </w:tc>
      </w:tr>
      <w:tr>
        <w:trPr>
          <w:trHeight w:val="270"/>
        </w:trPr>
        <w:tc>
          <w:tcPr>
            <w:tcW w:w="83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43.2</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r>
      <w:tr>
        <w:trPr>
          <w:trHeight w:val="304"/>
        </w:trPr>
        <w:tc>
          <w:tcPr>
            <w:tcW w:w="83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3,787.3</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3,472.6</w:t>
            </w:r>
          </w:p>
        </w:tc>
      </w:tr>
      <w:tr>
        <w:trPr>
          <w:trHeight w:val="257"/>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World Fuel shareholders' equity: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360" w:type="dxa"/>
            <w:vAlign w:val="bottom"/>
            <w:gridSpan w:val="3"/>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3"/>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5"/>
              </w:rPr>
              <w:t>Common stock, $0.01 par value; 100.0 shares authorized, 67.7 and 69.9 issued and outstanding as of September 30, 2017 and December</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4"/>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31, 2016, respectively</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8360" w:type="dxa"/>
            <w:vAlign w:val="bottom"/>
            <w:gridSpan w:val="3"/>
          </w:tcPr>
          <w:p>
            <w:pPr>
              <w:ind w:left="180"/>
              <w:spacing w:after="0"/>
              <w:rPr>
                <w:sz w:val="20"/>
                <w:szCs w:val="20"/>
                <w:color w:val="auto"/>
              </w:rPr>
            </w:pPr>
            <w:r>
              <w:rPr>
                <w:rFonts w:ascii="Arial" w:cs="Arial" w:eastAsia="Arial" w:hAnsi="Arial"/>
                <w:sz w:val="14"/>
                <w:szCs w:val="14"/>
                <w:color w:val="auto"/>
              </w:rPr>
              <w:t>Capital in excess of par value</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349.3</w:t>
            </w:r>
          </w:p>
        </w:tc>
        <w:tc>
          <w:tcPr>
            <w:tcW w:w="3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399.9</w:t>
            </w:r>
          </w:p>
        </w:tc>
      </w:tr>
      <w:tr>
        <w:trPr>
          <w:trHeight w:val="276"/>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1,693.9</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1,679.3</w:t>
            </w:r>
          </w:p>
        </w:tc>
      </w:tr>
      <w:tr>
        <w:trPr>
          <w:trHeight w:val="264"/>
        </w:trPr>
        <w:tc>
          <w:tcPr>
            <w:tcW w:w="8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(124.8)</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r>
      <w:tr>
        <w:trPr>
          <w:trHeight w:val="270"/>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World Fuel shareholders' equity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1,919.0</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1,925.0</w:t>
            </w:r>
          </w:p>
        </w:tc>
      </w:tr>
      <w:tr>
        <w:trPr>
          <w:trHeight w:val="264"/>
        </w:trPr>
        <w:tc>
          <w:tcPr>
            <w:tcW w:w="8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Noncontrolling interest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70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1,935.8</w:t>
            </w: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1,940.0</w:t>
            </w:r>
          </w:p>
        </w:tc>
      </w:tr>
      <w:tr>
        <w:trPr>
          <w:trHeight w:val="264"/>
        </w:trPr>
        <w:tc>
          <w:tcPr>
            <w:tcW w:w="83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 and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5,723.1</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5,412.6</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6"/>
                <w:szCs w:val="16"/>
                <w:color w:val="auto"/>
              </w:rPr>
            </w:pPr>
          </w:p>
        </w:tc>
        <w:tc>
          <w:tcPr>
            <w:tcW w:w="24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24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8,543.0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7,399.8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24,823.4</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19,223.6</w:t>
            </w: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8,303.1</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7,163.1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24,121.1</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18,546.9</w:t>
            </w:r>
          </w:p>
        </w:tc>
      </w:tr>
      <w:tr>
        <w:trPr>
          <w:trHeight w:val="264"/>
        </w:trPr>
        <w:tc>
          <w:tcPr>
            <w:tcW w:w="5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239.9</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702.3</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676.7</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107.6</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314.5</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306.2</w:t>
            </w: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5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3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5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68.6</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218.7</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200.2</w:t>
            </w:r>
          </w:p>
        </w:tc>
      </w:tr>
      <w:tr>
        <w:trPr>
          <w:trHeight w:val="264"/>
        </w:trPr>
        <w:tc>
          <w:tcPr>
            <w:tcW w:w="5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178.6</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539.5</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511.9</w:t>
            </w:r>
          </w:p>
        </w:tc>
      </w:tr>
      <w:tr>
        <w:trPr>
          <w:trHeight w:val="264"/>
        </w:trPr>
        <w:tc>
          <w:tcPr>
            <w:tcW w:w="5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61.3</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162.8</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164.8</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Non-operating expenses, net:</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264"/>
        </w:trPr>
        <w:tc>
          <w:tcPr>
            <w:tcW w:w="5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(expense), net</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52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(47.3)</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5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44.6</w:t>
            </w:r>
          </w:p>
        </w:tc>
        <w:tc>
          <w:tcPr>
            <w:tcW w:w="3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115.6</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140.1</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82.6</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92.2</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5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3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23.4</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124.4</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0.6</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30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(loss) attributable to World Fuel</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124.3</w:t>
            </w:r>
          </w:p>
        </w:tc>
      </w:tr>
      <w:tr>
        <w:trPr>
          <w:trHeight w:val="257"/>
        </w:trPr>
        <w:tc>
          <w:tcPr>
            <w:tcW w:w="5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(0.57)</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0.33</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r>
      <w:tr>
        <w:trPr>
          <w:trHeight w:val="257"/>
        </w:trPr>
        <w:tc>
          <w:tcPr>
            <w:tcW w:w="5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weighted average common shares</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67.9</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68.3</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69.4</w:t>
            </w:r>
          </w:p>
        </w:tc>
      </w:tr>
      <w:tr>
        <w:trPr>
          <w:trHeight w:val="257"/>
        </w:trPr>
        <w:tc>
          <w:tcPr>
            <w:tcW w:w="5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(0.57)</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0.61</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0.33</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r>
      <w:tr>
        <w:trPr>
          <w:trHeight w:val="257"/>
        </w:trPr>
        <w:tc>
          <w:tcPr>
            <w:tcW w:w="5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weighted average common shares</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68.2</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68.6</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69.9</w:t>
            </w:r>
          </w:p>
        </w:tc>
      </w:tr>
      <w:tr>
        <w:trPr>
          <w:trHeight w:val="257"/>
        </w:trPr>
        <w:tc>
          <w:tcPr>
            <w:tcW w:w="5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124.4</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57"/>
        </w:trPr>
        <w:tc>
          <w:tcPr>
            <w:tcW w:w="5240" w:type="dxa"/>
            <w:vAlign w:val="bottom"/>
          </w:tcPr>
          <w:p>
            <w:pPr>
              <w:ind w:left="180"/>
              <w:spacing w:after="0" w:line="157" w:lineRule="exact"/>
              <w:rPr>
                <w:sz w:val="20"/>
                <w:szCs w:val="20"/>
                <w:color w:val="auto"/>
              </w:rPr>
            </w:pPr>
            <w:r>
              <w:rPr>
                <w:rFonts w:ascii="Arial" w:cs="Arial" w:eastAsia="Arial" w:hAnsi="Arial"/>
                <w:sz w:val="14"/>
                <w:szCs w:val="14"/>
                <w:color w:val="auto"/>
                <w:w w:val="95"/>
              </w:rPr>
              <w:t>Cash Flow hedges, net of income tax benefit of $5.5 and income tax expense of $1.1</w:t>
            </w:r>
          </w:p>
        </w:tc>
        <w:tc>
          <w:tcPr>
            <w:tcW w:w="54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(8.7)</w:t>
            </w:r>
          </w:p>
        </w:tc>
        <w:tc>
          <w:tcPr>
            <w:tcW w:w="38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1.8</w:t>
            </w:r>
          </w:p>
        </w:tc>
        <w:tc>
          <w:tcPr>
            <w:tcW w:w="30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(2.8)</w:t>
            </w:r>
          </w:p>
        </w:tc>
      </w:tr>
      <w:tr>
        <w:trPr>
          <w:trHeight w:val="188"/>
        </w:trPr>
        <w:tc>
          <w:tcPr>
            <w:tcW w:w="5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 the three and nine months ended September 30, 2017, respectively</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Comprehensive income (loss) including noncontrolling interest</w:t>
            </w:r>
          </w:p>
        </w:tc>
        <w:tc>
          <w:tcPr>
            <w:tcW w:w="5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3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55.0</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93.7</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World Fuel</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52.8</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125" w:right="2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0"/>
              <w:spacing w:after="0" w:line="140" w:lineRule="exact"/>
              <w:rPr>
                <w:sz w:val="20"/>
                <w:szCs w:val="20"/>
                <w:color w:val="auto"/>
              </w:rPr>
            </w:pPr>
            <w:r>
              <w:rPr>
                <w:rFonts w:ascii="Arial" w:cs="Arial" w:eastAsia="Arial" w:hAnsi="Arial"/>
                <w:sz w:val="13"/>
                <w:szCs w:val="13"/>
                <w:b w:val="1"/>
                <w:bCs w:val="1"/>
                <w:color w:val="auto"/>
              </w:rPr>
              <w:t>Capital in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0"/>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0"/>
              <w:spacing w:after="0" w:line="110" w:lineRule="exact"/>
              <w:rPr>
                <w:sz w:val="20"/>
                <w:szCs w:val="20"/>
                <w:color w:val="auto"/>
              </w:rPr>
            </w:pPr>
            <w:r>
              <w:rPr>
                <w:rFonts w:ascii="Arial" w:cs="Arial" w:eastAsia="Arial" w:hAnsi="Arial"/>
                <w:sz w:val="12"/>
                <w:szCs w:val="12"/>
                <w:b w:val="1"/>
                <w:bCs w:val="1"/>
                <w:color w:val="auto"/>
              </w:rPr>
              <w:t>Excess of</w:t>
            </w:r>
          </w:p>
        </w:tc>
        <w:tc>
          <w:tcPr>
            <w:tcW w:w="240" w:type="dxa"/>
            <w:vAlign w:val="bottom"/>
          </w:tcPr>
          <w:p>
            <w:pPr>
              <w:spacing w:after="0"/>
              <w:rPr>
                <w:sz w:val="9"/>
                <w:szCs w:val="9"/>
                <w:color w:val="auto"/>
              </w:rPr>
            </w:pPr>
          </w:p>
        </w:tc>
        <w:tc>
          <w:tcPr>
            <w:tcW w:w="68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Par Value</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3"/>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Balance as of December 31, 2016</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399.9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1,679.3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(154.8)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1,925.0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1,940.0</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22.8</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22.8</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Amortization of share-based payment</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awards</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15.3</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w w:val="98"/>
              </w:rPr>
              <w:t>Cancellation of common stock related to</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share-based payment awards</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6"/>
              </w:rPr>
              <w:t>Purchases of common stock tendered by</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payment awards</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Purchases of common stock</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(61.9)</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(61.9)</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Other comprehensive income</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30.0</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30.0</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Balance as of September 30, 2017</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349.3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1,693.9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1,919.0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1,935.8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0"/>
              <w:spacing w:after="0" w:line="140" w:lineRule="exact"/>
              <w:rPr>
                <w:sz w:val="20"/>
                <w:szCs w:val="20"/>
                <w:color w:val="auto"/>
              </w:rPr>
            </w:pPr>
            <w:r>
              <w:rPr>
                <w:rFonts w:ascii="Arial" w:cs="Arial" w:eastAsia="Arial" w:hAnsi="Arial"/>
                <w:sz w:val="13"/>
                <w:szCs w:val="13"/>
                <w:b w:val="1"/>
                <w:bCs w:val="1"/>
                <w:color w:val="auto"/>
              </w:rPr>
              <w:t>Capital in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0"/>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0"/>
              <w:spacing w:after="0" w:line="110" w:lineRule="exact"/>
              <w:rPr>
                <w:sz w:val="20"/>
                <w:szCs w:val="20"/>
                <w:color w:val="auto"/>
              </w:rPr>
            </w:pPr>
            <w:r>
              <w:rPr>
                <w:rFonts w:ascii="Arial" w:cs="Arial" w:eastAsia="Arial" w:hAnsi="Arial"/>
                <w:sz w:val="12"/>
                <w:szCs w:val="12"/>
                <w:b w:val="1"/>
                <w:bCs w:val="1"/>
                <w:color w:val="auto"/>
              </w:rPr>
              <w:t>Excess of</w:t>
            </w:r>
          </w:p>
        </w:tc>
        <w:tc>
          <w:tcPr>
            <w:tcW w:w="240" w:type="dxa"/>
            <w:vAlign w:val="bottom"/>
          </w:tcPr>
          <w:p>
            <w:pPr>
              <w:spacing w:after="0"/>
              <w:rPr>
                <w:sz w:val="9"/>
                <w:szCs w:val="9"/>
                <w:color w:val="auto"/>
              </w:rPr>
            </w:pPr>
          </w:p>
        </w:tc>
        <w:tc>
          <w:tcPr>
            <w:tcW w:w="68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Par Value</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3"/>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Balance as of December 31, 2015</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70.8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435.3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1,569.4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(109.5)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1,895.9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1,905.9</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124.3</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124.3</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Amortization of share-based payment</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awards</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14.5</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rPr>
              <w:t>Issuance of common stock related to</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rPr>
              <w:t>share-based payment awards including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income tax benefit of $1.6 million</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6"/>
              </w:rPr>
              <w:t>Purchases of common stock tendered by</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payment awards</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Purchases of common stock</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(18.4)</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Acquisition of remaining 49% equity</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 xml:space="preserve">interest </w:t>
            </w:r>
            <w:r>
              <w:rPr>
                <w:rFonts w:ascii="Arial" w:cs="Arial" w:eastAsia="Arial" w:hAnsi="Arial"/>
                <w:sz w:val="8"/>
                <w:szCs w:val="8"/>
                <w:color w:val="auto"/>
              </w:rPr>
              <w:t>(a)</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(10.9)</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Other comprehensive (loss)</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(28.9)</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(28.9)</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Balance as of September 30, 2016</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418.0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1,681.2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1,961.6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1,976.8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Relates to Tobras. See Note 2.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74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124.4</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64.1</w:t>
            </w:r>
          </w:p>
        </w:tc>
        <w:tc>
          <w:tcPr>
            <w:tcW w:w="6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58.4</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7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76.9</w:t>
            </w:r>
          </w:p>
        </w:tc>
        <w:tc>
          <w:tcPr>
            <w:tcW w:w="6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sale of held for sale assets and liabilities</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7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15.3</w:t>
            </w:r>
          </w:p>
        </w:tc>
        <w:tc>
          <w:tcPr>
            <w:tcW w:w="6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benefit</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Extinguishment of liabilities, net</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losses (gains), net</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Other</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6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(256.3)</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(212.3)</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Prepaid expenses</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192.5</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(49.7)</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6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253.7</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213.2</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Customer deposits</w:t>
            </w:r>
          </w:p>
        </w:tc>
        <w:tc>
          <w:tcPr>
            <w:tcW w:w="7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r>
      <w:tr>
        <w:trPr>
          <w:trHeight w:val="264"/>
        </w:trPr>
        <w:tc>
          <w:tcPr>
            <w:tcW w:w="74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7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7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adjustments</w:t>
            </w:r>
          </w:p>
        </w:tc>
        <w:tc>
          <w:tcPr>
            <w:tcW w:w="7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6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provided by operating activities</w:t>
            </w:r>
          </w:p>
        </w:tc>
        <w:tc>
          <w:tcPr>
            <w:tcW w:w="7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45.2</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(266.4)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business</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270"/>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investing activities, net</w:t>
            </w:r>
          </w:p>
        </w:tc>
        <w:tc>
          <w:tcPr>
            <w:tcW w:w="7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6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investing activities</w:t>
            </w:r>
          </w:p>
        </w:tc>
        <w:tc>
          <w:tcPr>
            <w:tcW w:w="7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(133.0)</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Borrowings of debt</w:t>
            </w:r>
          </w:p>
        </w:tc>
        <w:tc>
          <w:tcPr>
            <w:tcW w:w="7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3,500.1</w:t>
            </w:r>
          </w:p>
        </w:tc>
        <w:tc>
          <w:tcPr>
            <w:tcW w:w="6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2,810.6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debt</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(3,492.6)</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 on common stock</w:t>
            </w:r>
          </w:p>
        </w:tc>
        <w:tc>
          <w:tcPr>
            <w:tcW w:w="7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6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4"/>
              </w:rPr>
              <w:t>Federal and state tax benefits resulting from tax deductions in excess of the compensation cost recognized for share-based</w:t>
            </w: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payment awards</w:t>
            </w:r>
          </w:p>
        </w:tc>
        <w:tc>
          <w:tcPr>
            <w:tcW w:w="720" w:type="dxa"/>
            <w:vAlign w:val="bottom"/>
          </w:tcPr>
          <w:p>
            <w:pPr>
              <w:spacing w:after="0"/>
              <w:rPr>
                <w:sz w:val="16"/>
                <w:szCs w:val="16"/>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 tendered by employees to satisfy the required withholding taxes related to share-based</w:t>
            </w:r>
          </w:p>
        </w:tc>
        <w:tc>
          <w:tcPr>
            <w:tcW w:w="7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awards</w:t>
            </w:r>
          </w:p>
        </w:tc>
        <w:tc>
          <w:tcPr>
            <w:tcW w:w="7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6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7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7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6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325.7</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7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(152.6)</w:t>
            </w:r>
          </w:p>
        </w:tc>
        <w:tc>
          <w:tcPr>
            <w:tcW w:w="6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289.9</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7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698.6</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582.5</w:t>
            </w:r>
          </w:p>
        </w:tc>
      </w:tr>
      <w:tr>
        <w:trPr>
          <w:trHeight w:val="264"/>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546.0</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872.3</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2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273"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dividends declared, but not yet paid, was $4.2 million as of September 30, 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connection with our acquisitions, the following table presents the assets acquired, net of cash and liabilities assumed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For the Nine Months Ended</w:t>
            </w:r>
          </w:p>
        </w:tc>
        <w:tc>
          <w:tcPr>
            <w:tcW w:w="1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03"/>
        </w:trPr>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rPr>
              <w:t>September 30, 2017</w:t>
            </w:r>
          </w:p>
        </w:tc>
        <w:tc>
          <w:tcPr>
            <w:tcW w:w="4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 2016</w:t>
            </w:r>
          </w:p>
        </w:tc>
      </w:tr>
      <w:tr>
        <w:trPr>
          <w:trHeight w:val="26"/>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 acquired, net of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98.9</w:t>
            </w: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321.6</w:t>
            </w:r>
          </w:p>
        </w:tc>
      </w:tr>
      <w:tr>
        <w:trPr>
          <w:trHeight w:val="270"/>
        </w:trPr>
        <w:tc>
          <w:tcPr>
            <w:tcW w:w="7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4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w:t>
            </w: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prepared the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 Unless the context requires otherwise, references to “World Fuel”, “the Company”, “we”, “us”, or “our” in this Quarterly Report on Form 10-Q (“10-Q Report”) refer to World Fuel Services Corporation and its subsidiaries.</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presentation of the financial information, which are of a normal and recurring nature, have been made for the interim periods reported. The information included in this 10-Q Report should be read in conjunction with the consolidated financial statements and accompanying notes included in our 2016 Annual Report on Form 10-K (“2016 10-K Report”). Certain amounts in the consolidated financial statements and associated notes may not add due to rounding. All percentages have been calculated using unrounded amounts.</w:t>
      </w:r>
    </w:p>
    <w:p>
      <w:pPr>
        <w:spacing w:after="0" w:line="193"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There have been no significant changes in the Company's accounting policies from those disclosed in our 2016 10</w:t>
      </w:r>
      <w:r>
        <w:rPr>
          <w:rFonts w:ascii="MS PGothic" w:cs="MS PGothic" w:eastAsia="MS PGothic" w:hAnsi="MS PGothic"/>
          <w:sz w:val="18"/>
          <w:szCs w:val="18"/>
          <w:color w:val="auto"/>
        </w:rPr>
        <w:t>‑</w:t>
      </w:r>
      <w:r>
        <w:rPr>
          <w:rFonts w:ascii="Arial" w:cs="Arial" w:eastAsia="Arial" w:hAnsi="Arial"/>
          <w:sz w:val="18"/>
          <w:szCs w:val="18"/>
          <w:color w:val="auto"/>
        </w:rPr>
        <w:t>K Report. The significant accounting policies we use for quarterly financial reporting are disclosed in Note 1 of the “Notes to the Consolidated Financial Statements” included in our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In January 2017, Accounting Standards Update (ASU)</w:t>
      </w:r>
      <w:r>
        <w:rPr>
          <w:rFonts w:ascii="Arial" w:cs="Arial" w:eastAsia="Arial" w:hAnsi="Arial"/>
          <w:sz w:val="17"/>
          <w:szCs w:val="17"/>
          <w:i w:val="1"/>
          <w:iCs w:val="1"/>
          <w:color w:val="auto"/>
        </w:rPr>
        <w:t xml:space="preserve"> </w:t>
      </w:r>
      <w:r>
        <w:rPr>
          <w:rFonts w:ascii="Arial" w:cs="Arial" w:eastAsia="Arial" w:hAnsi="Arial"/>
          <w:sz w:val="17"/>
          <w:szCs w:val="17"/>
          <w:color w:val="auto"/>
        </w:rPr>
        <w:t>2017-04 was issued, which simplifies the accounting for goodwill impairment by eliminating the requirement to perform a hypothetical purchase price allocation. As a result, an entity should recognize an impairment charge for the amount by which the carrying value of a reporting unit exceeds its fair value, not to exceed the total amount of goodwill allocated to that reporting unit. We have early adopted ASU 2017-04 and will apply the new guidance for our goodwill impairment tests that will be performed during the fourth quarter. Accordingly, we continue to evaluate the adoption of this new guidance to determine if it will have a significant impact on our consolidated financial statements and related disclosures.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Revenue Recognition (Topic 606): Revenue from Contracts with Customers. </w:t>
      </w:r>
      <w:r>
        <w:rPr>
          <w:rFonts w:ascii="Arial" w:cs="Arial" w:eastAsia="Arial" w:hAnsi="Arial"/>
          <w:sz w:val="16"/>
          <w:szCs w:val="16"/>
          <w:color w:val="auto"/>
        </w:rPr>
        <w:t>In May 2014, ASU 2014-09 was issued. Under this ASU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amendments, an entity is required to recognize the amount of revenue it expects to be entitled to for the transfer of promised goods or services to customers. The updated standard will replace most existing revenue recognition guidance in U.S. GAAP. This ASU provides alternative methods of transition, a full retrospective and a modified restrospective approach. The modified retrospective approach would result in recognition of the cumulative impact of a retrospective application as of the beginning of the period of initial application, which in our case is the interim period beginning January 1, 2018.</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preparation for adoption, we initially developed a cross-functional team and utilized a third-party service provider to assist us throughout our evaluation. In addition, we have factored in the adoption into our ongoing enterprise resource planning ("ERP") platform upgrade, which we previously committed to perform, as our system readiness is a key element towards the determination of the adoption approach we undertake. We have substantially completed our review of certain contracts for each of our revenue streams, including additional selections that were identified as we continued to consider our various revenue streams. Through this process, we have made preliminary determinations on how certain of our revenue streams will be accounted for and we have substantially completed our associated revenue recognition policy, which captures those decisions. We continue to evaluate the appropriate design of our internal control environment and will make necessary changes to our existing controls, if necessary. Additionally, the Company has selected the modified retrospective adoption approach, and as we proceed through our analysis, we will begin assessing the potential cumulative adjustment, if any that the Company would recognize upon adoption of the ASU. We continue to perform our assessment, and while those activities are not complete, we expect to identify similar performance obligations under ASC 606 as compared to those previously identified.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Leases, was issued. This standard will require all lessees to recognize a right of use asset and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liability on the balance sheet, except for leases with durations that are less than twelve months.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standard is effective at the beginning of our 2019 fiscal year. We are currently evaluating whether the adoption of this new guidance will have a significant impact on our consolidated financial statements and related disclosures.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Flows: Statement of Cash Flows (Topic 230): Classification of Certain Cash Receipts and Cash Payments. </w:t>
      </w:r>
      <w:r>
        <w:rPr>
          <w:rFonts w:ascii="Arial" w:cs="Arial" w:eastAsia="Arial" w:hAnsi="Arial"/>
          <w:sz w:val="18"/>
          <w:szCs w:val="18"/>
          <w:color w:val="auto"/>
        </w:rPr>
        <w:t>In August 2016 ASU 2016-15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The ASU provides guidance on classification of eight specific cash flows items. This standard is effective at the beginning of our 2018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(Topic 740): Intra-Entity Transfers of Assets Other than Inventory. </w:t>
      </w:r>
      <w:r>
        <w:rPr>
          <w:rFonts w:ascii="Arial" w:cs="Arial" w:eastAsia="Arial" w:hAnsi="Arial"/>
          <w:sz w:val="18"/>
          <w:szCs w:val="18"/>
          <w:color w:val="auto"/>
        </w:rPr>
        <w:t>In October 2016, ASU 2016-16 was issued. The update prohibits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current and deferred income taxes for an intra-entity asset transfer until the asset has been sold to an outside party. This standard is effective at the beginning of our 2018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Flows: Statement of Cash Flows (Topic 230): Restricted Cash. </w:t>
      </w:r>
      <w:r>
        <w:rPr>
          <w:rFonts w:ascii="Arial" w:cs="Arial" w:eastAsia="Arial" w:hAnsi="Arial"/>
          <w:sz w:val="18"/>
          <w:szCs w:val="18"/>
          <w:color w:val="auto"/>
        </w:rPr>
        <w:t>In November 2016, ASU 2016-18 was issued. The update requires that a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explain the change during the period in the total of cash, cash equivalents, and amounts generally described as restricted cash or restricted cash equivalents. This standard is effective at the beginning of our 2018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Business Combinations (Topic 805): Clarifying the Definition of a Business. </w:t>
      </w:r>
      <w:r>
        <w:rPr>
          <w:rFonts w:ascii="Arial" w:cs="Arial" w:eastAsia="Arial" w:hAnsi="Arial"/>
          <w:sz w:val="17"/>
          <w:szCs w:val="17"/>
          <w:color w:val="auto"/>
        </w:rPr>
        <w:t>In January 2017, ASU 2017-01 was issued. The update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a business with the objective of adding guidance to assist entities with evaluating whether transactions should be accounted for as acquisitions (or disposals) of businesses. This standard is effective at the beginning of our 2018 fiscal year. We are currently evaluating whether the adoption of this new guidance will have a significant impact on our consolidated financial statements and related disclosures.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Derivatives and Hedging (Topic 815): Targeted Improvements to Accounting for Hedging Activities. </w:t>
      </w:r>
      <w:r>
        <w:rPr>
          <w:rFonts w:ascii="Arial" w:cs="Arial" w:eastAsia="Arial" w:hAnsi="Arial"/>
          <w:sz w:val="17"/>
          <w:szCs w:val="17"/>
          <w:color w:val="auto"/>
        </w:rPr>
        <w:t>In August 2017, ASU 2017-12 was issued. The ASU</w:t>
      </w:r>
      <w:r>
        <w:rPr>
          <w:rFonts w:ascii="Arial" w:cs="Arial" w:eastAsia="Arial" w:hAnsi="Arial"/>
          <w:sz w:val="17"/>
          <w:szCs w:val="17"/>
          <w:i w:val="1"/>
          <w:iCs w:val="1"/>
          <w:color w:val="auto"/>
        </w:rPr>
        <w:t xml:space="preserve"> </w:t>
      </w:r>
      <w:r>
        <w:rPr>
          <w:rFonts w:ascii="Arial" w:cs="Arial" w:eastAsia="Arial" w:hAnsi="Arial"/>
          <w:sz w:val="17"/>
          <w:szCs w:val="17"/>
          <w:color w:val="auto"/>
        </w:rPr>
        <w:t>is targeted at simplifying the application of hedge accounting and is effective at the beginning of our 2019 fiscal year. The amended guidance aims at aligning the recognition and presentation of the effects of hedge instruments and hedge items. We are currently evaluating whether the adoption of this new guidance will have a significant impact on our consolidated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2017, we completed the acquisition of certain aviation fueling operations in Italy, Germany, Australia and New Zealand associated with the ExxonMobil transaction described below. We also completed two acquisitions during the first quarter of 2017 which were not material individually or in the aggregate.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summarizes the aggregate consideration paid for acquisitions during the nine months ended September 30, 2017 and the provisional amounts of the assets acquired and liabilities assumed, recognized at the acquisition date. The Company is in the process of finalizing the valuations of certain acquired fixed assets and intangible assets; thus, the provisional measurements of these acquired assets and assumed liabilities are subject to change and will be finalized no later than one year from the acquisition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paid for acquisition of businesses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Non-monetary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 acquired:</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 and identifiable intangible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and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Long-term liabilities and deferred tax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44"/>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87.6</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39"/>
        </w:trPr>
        <w:tc>
          <w:tcPr>
            <w:tcW w:w="10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79.8</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5093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91.9</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380"/>
          </w:cols>
          <w:pgMar w:left="240" w:top="125" w:right="239" w:bottom="1440" w:gutter="0" w:footer="0" w:header="0"/>
          <w:type w:val="continuous"/>
        </w:sect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goodwill of $46.4 million assigned to the aviation segment, of which $22.4 million is anticipated to be deductible for tax purposes, is attributable primarily to the expected synergies and other benefits that we believe will result from combining the acquired operations with the aviation segment operations. The identifiable intangible assets consists of $33.4 million of customer relationships with weighted average lives of 9.9 years.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position, results of operations and cash flows of the 2017 acquisitions have been included in our consolidated financial statements since their respective acquisition dates and did not have a material impact on our revenue and net income for the three and nine months ended September 30, 2017. Accordingly, pro forma information for the 2017 acquisitions has not been provided as the impact is not material.</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2016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1, 2016, we acquired all of the outstanding capital stock of PAPCO, Inc. (“PAPCO”) and Associated Petroleum Products, Inc. (“APP”). PAPCO, headquartered in Virginia Beach, VA and APP, headquartered in Tacoma, WA are leading distributors of gasoline, diesel, lubricants, propane and related services in the Mid-Atlantic and the Pacific Northwest region of the U.S., respectively.</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acquisitions, we completed five acquisitions in our land segment in the nine months ended September 30, 2016 which were not significant individually or in the aggregate.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purchase price for the 2016 acquisitions of $264.0 million was allocated to the assets acquired and liabilities assumed based on their fair value as of the acquisition date. The purchase price allocation for the 2016 acquisitions is as follows :</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paid for acquisition of businesses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due to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 acquired:</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and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 and identifiable intangible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and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Long-term liabilities and deferred tax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44"/>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253.7</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264.0</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39"/>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60.4</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35.4</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45.3</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166.5</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864"/>
        </w:trPr>
        <w:tc>
          <w:tcPr>
            <w:tcW w:w="1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70"/>
        </w:trPr>
        <w:tc>
          <w:tcPr>
            <w:tcW w:w="10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264.0</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380"/>
          </w:cols>
          <w:pgMar w:left="240" w:top="125" w:right="239" w:bottom="1440" w:gutter="0" w:footer="0" w:header="0"/>
          <w:type w:val="continuous"/>
        </w:sectPr>
      </w:pP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Goodwill of $73.4 million, of which $72.0 million is anticipated to be deductible for tax purposes, was assigned to the land segment and is attributable primarily to the expected synergies and other benefits that we believe will result from combining the operations of PAPCO and APP with our land segment operations. The identifiable intangible assets consisted of $79.7 million of customer relationships and $3.9 million of other identifiable assets, with weighted average lives of 5.4 years and 2.0 years, respectively, as well as $9.5 million of indefinite-lived trademark/trade name rights.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the unaudited pro forma results for 2016 as if the 2016 acquisitions had been completed on January 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Unaudited Supplemental Pro Forma Consolidated Results</w:t>
            </w:r>
          </w:p>
        </w:tc>
      </w:tr>
      <w:tr>
        <w:trPr>
          <w:trHeight w:val="270"/>
        </w:trPr>
        <w:tc>
          <w:tcPr>
            <w:tcW w:w="5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23"/>
                <w:szCs w:val="23"/>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50"/>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4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2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7,399.8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19,797.6</w:t>
            </w: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World Fuel</w:t>
            </w:r>
          </w:p>
        </w:tc>
        <w:tc>
          <w:tcPr>
            <w:tcW w:w="640" w:type="dxa"/>
            <w:vAlign w:val="bottom"/>
          </w:tcPr>
          <w:p>
            <w:pPr>
              <w:spacing w:after="0"/>
              <w:rPr>
                <w:sz w:val="22"/>
                <w:szCs w:val="22"/>
                <w:color w:val="auto"/>
              </w:rPr>
            </w:pPr>
          </w:p>
        </w:tc>
        <w:tc>
          <w:tcPr>
            <w:tcW w:w="200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133.2</w:t>
            </w:r>
          </w:p>
        </w:tc>
      </w:tr>
      <w:tr>
        <w:trPr>
          <w:trHeight w:val="330"/>
        </w:trPr>
        <w:tc>
          <w:tcPr>
            <w:tcW w:w="5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Earnings per common share:</w:t>
            </w:r>
          </w:p>
        </w:tc>
        <w:tc>
          <w:tcPr>
            <w:tcW w:w="6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2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64"/>
        </w:trPr>
        <w:tc>
          <w:tcPr>
            <w:tcW w:w="5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Diluted earnings per common share</w:t>
            </w: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2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0.61</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ExxonMobil</w:t>
      </w:r>
    </w:p>
    <w:p>
      <w:pPr>
        <w:spacing w:after="0" w:line="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In the first quarter of 2016, we signed a definitive agreement to acquire from certain ExxonMobil affiliates their aviation fueling operations at more than 80 airport locations in Canada, the United Kingdom, Germany, Italy, France, Australia and New Zealand. The transaction closed in phases with the Canada, France and U.K. locations closing during the fourth quarter of 2016 and the remaining locations closing during the first quarter of 2017.</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Tobras Distribuidora de Combustiveis Limitada (“Tobras”)</w:t>
      </w:r>
    </w:p>
    <w:p>
      <w:pPr>
        <w:spacing w:after="0" w:line="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June 23, 2016, we acquired the remaining 49% of the outstanding equity interest of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Held for Sale</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May 1, 2016, we completed the sale of Pester Marketing Company's ("Pester") retail business for $32.3 million, resulting in a gain of $3.8 million, which is included in other income, net in the consolidated statements of income and comprehensive income for the nine months ended 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land and marine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 occurs. If it is determined that a transaction designated as NPNS no longer qualifies for this classification, the fair value of the related contract is recorded as an asset or liability on the consolidated balance sheets and the difference between the fair value and the contract amount is immediately recognized through earnings.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derivative contracts we execute to mitigate the risk of price volatility in forecasted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swaps or futures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certain forward fixed price purchase and sale contracts and proprietary trading.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Gross Derivative Assets</w:t>
            </w:r>
          </w:p>
        </w:tc>
        <w:tc>
          <w:tcPr>
            <w:tcW w:w="380" w:type="dxa"/>
            <w:vAlign w:val="bottom"/>
          </w:tcPr>
          <w:p>
            <w:pPr>
              <w:spacing w:after="0"/>
              <w:rPr>
                <w:sz w:val="16"/>
                <w:szCs w:val="16"/>
                <w:color w:val="auto"/>
              </w:rPr>
            </w:pPr>
          </w:p>
        </w:tc>
        <w:tc>
          <w:tcPr>
            <w:tcW w:w="196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3"/>
              </w:rPr>
              <w:t>Gross Derivative Liabilities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2"/>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28"/>
              <w:spacing w:after="0" w:line="147" w:lineRule="exact"/>
              <w:rPr>
                <w:sz w:val="20"/>
                <w:szCs w:val="20"/>
                <w:color w:val="auto"/>
              </w:rPr>
            </w:pPr>
            <w:r>
              <w:rPr>
                <w:rFonts w:ascii="Arial" w:cs="Arial" w:eastAsia="Arial" w:hAnsi="Arial"/>
                <w:sz w:val="14"/>
                <w:szCs w:val="14"/>
                <w:b w:val="1"/>
                <w:bCs w:val="1"/>
                <w:color w:val="auto"/>
                <w:w w:val="93"/>
              </w:rPr>
              <w:t>September 30,</w:t>
            </w:r>
          </w:p>
        </w:tc>
        <w:tc>
          <w:tcPr>
            <w:tcW w:w="1400" w:type="dxa"/>
            <w:vAlign w:val="bottom"/>
            <w:gridSpan w:val="3"/>
          </w:tcPr>
          <w:p>
            <w:pPr>
              <w:jc w:val="right"/>
              <w:ind w:right="320"/>
              <w:spacing w:after="0" w:line="147"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jc w:val="right"/>
              <w:ind w:right="28"/>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44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Balance Sheet Location</w:t>
            </w:r>
          </w:p>
        </w:tc>
        <w:tc>
          <w:tcPr>
            <w:tcW w:w="3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442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w:t>
            </w:r>
          </w:p>
        </w:tc>
        <w:tc>
          <w:tcPr>
            <w:tcW w:w="4420" w:type="dxa"/>
            <w:vAlign w:val="bottom"/>
            <w:gridSpan w:val="4"/>
            <w:shd w:val="clear" w:color="auto" w:fill="CCEEFF"/>
          </w:tcPr>
          <w:p>
            <w:pPr>
              <w:ind w:left="440"/>
              <w:spacing w:after="0"/>
              <w:rPr>
                <w:sz w:val="20"/>
                <w:szCs w:val="20"/>
                <w:color w:val="auto"/>
              </w:rPr>
            </w:pPr>
            <w:r>
              <w:rPr>
                <w:rFonts w:ascii="Arial" w:cs="Arial" w:eastAsia="Arial" w:hAnsi="Arial"/>
                <w:sz w:val="14"/>
                <w:szCs w:val="14"/>
                <w:color w:val="auto"/>
              </w:rPr>
              <w:t>Short-term derivative assets,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0.6</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420" w:type="dxa"/>
            <w:vAlign w:val="bottom"/>
            <w:gridSpan w:val="4"/>
          </w:tcPr>
          <w:p>
            <w:pPr>
              <w:ind w:left="44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41.6</w:t>
            </w:r>
          </w:p>
        </w:tc>
        <w:tc>
          <w:tcPr>
            <w:tcW w:w="5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86.0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52.8</w:t>
            </w:r>
          </w:p>
        </w:tc>
        <w:tc>
          <w:tcPr>
            <w:tcW w:w="5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420" w:type="dxa"/>
            <w:vAlign w:val="bottom"/>
            <w:gridSpan w:val="4"/>
            <w:shd w:val="clear" w:color="auto" w:fill="CCEEFF"/>
          </w:tcPr>
          <w:p>
            <w:pPr>
              <w:ind w:left="440"/>
              <w:spacing w:after="0"/>
              <w:rPr>
                <w:sz w:val="20"/>
                <w:szCs w:val="20"/>
                <w:color w:val="auto"/>
              </w:rPr>
            </w:pPr>
            <w:r>
              <w:rPr>
                <w:rFonts w:ascii="Arial" w:cs="Arial" w:eastAsia="Arial" w:hAnsi="Arial"/>
                <w:sz w:val="14"/>
                <w:szCs w:val="14"/>
                <w:color w:val="auto"/>
              </w:rPr>
              <w:t>Other long-term liabilities</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80"/>
        </w:trPr>
        <w:tc>
          <w:tcPr>
            <w:tcW w:w="20" w:type="dxa"/>
            <w:vAlign w:val="bottom"/>
            <w:tcBorders>
              <w:bottom w:val="single" w:sz="8" w:color="auto"/>
            </w:tcBorders>
            <w:shd w:val="clear" w:color="auto" w:fill="CCEEFF"/>
          </w:tcPr>
          <w:p>
            <w:pPr>
              <w:spacing w:after="0"/>
              <w:rPr>
                <w:sz w:val="6"/>
                <w:szCs w:val="6"/>
                <w:color w:val="auto"/>
              </w:rPr>
            </w:pPr>
          </w:p>
        </w:tc>
        <w:tc>
          <w:tcPr>
            <w:tcW w:w="286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26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00" w:type="dxa"/>
            <w:vAlign w:val="bottom"/>
            <w:gridSpan w:val="5"/>
          </w:tcPr>
          <w:p>
            <w:pPr>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42.3</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2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53.8</w:t>
            </w: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6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860" w:type="dxa"/>
            <w:vAlign w:val="bottom"/>
            <w:gridSpan w:val="2"/>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gridSpan w:val="5"/>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w:t>
            </w:r>
          </w:p>
        </w:tc>
        <w:tc>
          <w:tcPr>
            <w:tcW w:w="4420" w:type="dxa"/>
            <w:vAlign w:val="bottom"/>
            <w:gridSpan w:val="4"/>
            <w:shd w:val="clear" w:color="auto" w:fill="CCEEFF"/>
          </w:tcPr>
          <w:p>
            <w:pPr>
              <w:ind w:left="440"/>
              <w:spacing w:after="0"/>
              <w:rPr>
                <w:sz w:val="20"/>
                <w:szCs w:val="20"/>
                <w:color w:val="auto"/>
              </w:rPr>
            </w:pPr>
            <w:r>
              <w:rPr>
                <w:rFonts w:ascii="Arial" w:cs="Arial" w:eastAsia="Arial" w:hAnsi="Arial"/>
                <w:sz w:val="14"/>
                <w:szCs w:val="14"/>
                <w:color w:val="auto"/>
              </w:rPr>
              <w:t>Short-term derivative assets,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133.8</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83.4</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420" w:type="dxa"/>
            <w:vAlign w:val="bottom"/>
            <w:gridSpan w:val="4"/>
          </w:tcPr>
          <w:p>
            <w:pPr>
              <w:ind w:left="440"/>
              <w:spacing w:after="0"/>
              <w:rPr>
                <w:sz w:val="20"/>
                <w:szCs w:val="20"/>
                <w:color w:val="auto"/>
              </w:rPr>
            </w:pPr>
            <w:r>
              <w:rPr>
                <w:rFonts w:ascii="Arial" w:cs="Arial" w:eastAsia="Arial" w:hAnsi="Arial"/>
                <w:sz w:val="14"/>
                <w:szCs w:val="14"/>
                <w:color w:val="auto"/>
              </w:rPr>
              <w:t>Identifiable intangible and other non-current assets</w:t>
            </w:r>
          </w:p>
        </w:tc>
        <w:tc>
          <w:tcPr>
            <w:tcW w:w="3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27.4</w:t>
            </w:r>
          </w:p>
        </w:tc>
        <w:tc>
          <w:tcPr>
            <w:tcW w:w="5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16.0</w:t>
            </w:r>
          </w:p>
        </w:tc>
        <w:tc>
          <w:tcPr>
            <w:tcW w:w="5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420" w:type="dxa"/>
            <w:vAlign w:val="bottom"/>
            <w:gridSpan w:val="4"/>
            <w:shd w:val="clear" w:color="auto" w:fill="CCEEFF"/>
          </w:tcPr>
          <w:p>
            <w:pPr>
              <w:ind w:left="44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46.4</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77.1</w:t>
            </w: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420" w:type="dxa"/>
            <w:vAlign w:val="bottom"/>
            <w:gridSpan w:val="4"/>
          </w:tcPr>
          <w:p>
            <w:pPr>
              <w:ind w:left="440"/>
              <w:spacing w:after="0"/>
              <w:rPr>
                <w:sz w:val="20"/>
                <w:szCs w:val="20"/>
                <w:color w:val="auto"/>
              </w:rPr>
            </w:pPr>
            <w:r>
              <w:rPr>
                <w:rFonts w:ascii="Arial" w:cs="Arial" w:eastAsia="Arial" w:hAnsi="Arial"/>
                <w:sz w:val="14"/>
                <w:szCs w:val="14"/>
                <w:color w:val="auto"/>
              </w:rPr>
              <w:t>Other long-term liabilities</w:t>
            </w:r>
          </w:p>
        </w:tc>
        <w:tc>
          <w:tcPr>
            <w:tcW w:w="3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5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12.1</w:t>
            </w:r>
          </w:p>
        </w:tc>
        <w:tc>
          <w:tcPr>
            <w:tcW w:w="5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80"/>
        </w:trPr>
        <w:tc>
          <w:tcPr>
            <w:tcW w:w="20" w:type="dxa"/>
            <w:vAlign w:val="bottom"/>
            <w:tcBorders>
              <w:bottom w:val="single" w:sz="8" w:color="CCEEFF"/>
            </w:tcBorders>
          </w:tcPr>
          <w:p>
            <w:pPr>
              <w:spacing w:after="0"/>
              <w:rPr>
                <w:sz w:val="6"/>
                <w:szCs w:val="6"/>
                <w:color w:val="auto"/>
              </w:rPr>
            </w:pPr>
          </w:p>
        </w:tc>
        <w:tc>
          <w:tcPr>
            <w:tcW w:w="20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32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214.5</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188.7</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4420" w:type="dxa"/>
            <w:vAlign w:val="bottom"/>
            <w:gridSpan w:val="4"/>
            <w:shd w:val="clear" w:color="auto" w:fill="CCEEFF"/>
          </w:tcPr>
          <w:p>
            <w:pPr>
              <w:ind w:left="440"/>
              <w:spacing w:after="0"/>
              <w:rPr>
                <w:sz w:val="20"/>
                <w:szCs w:val="20"/>
                <w:color w:val="auto"/>
              </w:rPr>
            </w:pPr>
            <w:r>
              <w:rPr>
                <w:rFonts w:ascii="Arial" w:cs="Arial" w:eastAsia="Arial" w:hAnsi="Arial"/>
                <w:sz w:val="14"/>
                <w:szCs w:val="14"/>
                <w:color w:val="auto"/>
              </w:rPr>
              <w:t>Short-term derivative assets,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0.4</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420" w:type="dxa"/>
            <w:vAlign w:val="bottom"/>
            <w:gridSpan w:val="4"/>
          </w:tcPr>
          <w:p>
            <w:pPr>
              <w:ind w:left="440"/>
              <w:spacing w:after="0"/>
              <w:rPr>
                <w:sz w:val="20"/>
                <w:szCs w:val="20"/>
                <w:color w:val="auto"/>
              </w:rPr>
            </w:pPr>
            <w:r>
              <w:rPr>
                <w:rFonts w:ascii="Arial" w:cs="Arial" w:eastAsia="Arial" w:hAnsi="Arial"/>
                <w:sz w:val="14"/>
                <w:szCs w:val="14"/>
                <w:color w:val="auto"/>
              </w:rPr>
              <w:t>Identifiable intangible and other non-current assets</w:t>
            </w:r>
          </w:p>
        </w:tc>
        <w:tc>
          <w:tcPr>
            <w:tcW w:w="3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420" w:type="dxa"/>
            <w:vAlign w:val="bottom"/>
            <w:gridSpan w:val="4"/>
            <w:shd w:val="clear" w:color="auto" w:fill="CCEEFF"/>
          </w:tcPr>
          <w:p>
            <w:pPr>
              <w:ind w:left="44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420" w:type="dxa"/>
            <w:vAlign w:val="bottom"/>
            <w:gridSpan w:val="4"/>
          </w:tcPr>
          <w:p>
            <w:pPr>
              <w:ind w:left="440"/>
              <w:spacing w:after="0"/>
              <w:rPr>
                <w:sz w:val="20"/>
                <w:szCs w:val="20"/>
                <w:color w:val="auto"/>
              </w:rPr>
            </w:pPr>
            <w:r>
              <w:rPr>
                <w:rFonts w:ascii="Arial" w:cs="Arial" w:eastAsia="Arial" w:hAnsi="Arial"/>
                <w:sz w:val="14"/>
                <w:szCs w:val="14"/>
                <w:color w:val="auto"/>
              </w:rPr>
              <w:t>Other long-term liabilities</w:t>
            </w:r>
          </w:p>
        </w:tc>
        <w:tc>
          <w:tcPr>
            <w:tcW w:w="3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5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0" w:type="dxa"/>
            <w:vAlign w:val="bottom"/>
            <w:tcBorders>
              <w:bottom w:val="single" w:sz="8" w:color="CCEEFF"/>
            </w:tcBorders>
          </w:tcPr>
          <w:p>
            <w:pPr>
              <w:spacing w:after="0"/>
              <w:rPr>
                <w:sz w:val="6"/>
                <w:szCs w:val="6"/>
                <w:color w:val="auto"/>
              </w:rPr>
            </w:pPr>
          </w:p>
        </w:tc>
        <w:tc>
          <w:tcPr>
            <w:tcW w:w="20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32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80"/>
        </w:trPr>
        <w:tc>
          <w:tcPr>
            <w:tcW w:w="20" w:type="dxa"/>
            <w:vAlign w:val="bottom"/>
            <w:tcBorders>
              <w:bottom w:val="single" w:sz="8" w:color="auto"/>
            </w:tcBorders>
            <w:shd w:val="clear" w:color="auto" w:fill="CCEEFF"/>
          </w:tcPr>
          <w:p>
            <w:pPr>
              <w:spacing w:after="0"/>
              <w:rPr>
                <w:sz w:val="6"/>
                <w:szCs w:val="6"/>
                <w:color w:val="auto"/>
              </w:rPr>
            </w:pPr>
          </w:p>
        </w:tc>
        <w:tc>
          <w:tcPr>
            <w:tcW w:w="286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26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00" w:type="dxa"/>
            <w:vAlign w:val="bottom"/>
            <w:gridSpan w:val="5"/>
          </w:tcPr>
          <w:p>
            <w:pPr>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219.5</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253.9</w:t>
            </w:r>
          </w:p>
        </w:tc>
        <w:tc>
          <w:tcPr>
            <w:tcW w:w="2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198.2</w:t>
            </w: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32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4"/>
                <w:szCs w:val="14"/>
                <w:b w:val="1"/>
                <w:bCs w:val="1"/>
                <w:color w:val="auto"/>
              </w:rPr>
              <w:t>Total derivatives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261.8</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347.2</w:t>
            </w:r>
          </w:p>
        </w:tc>
        <w:tc>
          <w:tcPr>
            <w:tcW w:w="2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251.9</w:t>
            </w: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80"/>
        </w:trPr>
        <w:tc>
          <w:tcPr>
            <w:tcW w:w="2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4.</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September 30, 2017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As of September 30,</w:t>
            </w:r>
          </w:p>
        </w:tc>
        <w:tc>
          <w:tcPr>
            <w:tcW w:w="0" w:type="dxa"/>
            <w:vAlign w:val="bottom"/>
          </w:tcPr>
          <w:p>
            <w:pPr>
              <w:spacing w:after="0"/>
              <w:rPr>
                <w:sz w:val="1"/>
                <w:szCs w:val="1"/>
                <w:color w:val="auto"/>
              </w:rPr>
            </w:pPr>
          </w:p>
        </w:tc>
      </w:tr>
      <w:tr>
        <w:trPr>
          <w:trHeight w:val="80"/>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333333"/>
              </w:rPr>
              <w:t>Derivative Instruments</w:t>
            </w:r>
          </w:p>
        </w:tc>
        <w:tc>
          <w:tcPr>
            <w:tcW w:w="4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9480" w:type="dxa"/>
            <w:vAlign w:val="bottom"/>
            <w:vMerge w:val="continue"/>
          </w:tcPr>
          <w:p>
            <w:pPr>
              <w:spacing w:after="0"/>
              <w:rPr>
                <w:sz w:val="16"/>
                <w:szCs w:val="16"/>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333333"/>
              </w:rPr>
              <w:t>Units</w:t>
            </w:r>
          </w:p>
        </w:tc>
        <w:tc>
          <w:tcPr>
            <w:tcW w:w="1460" w:type="dxa"/>
            <w:vAlign w:val="bottom"/>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94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4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480" w:type="dxa"/>
            <w:vAlign w:val="bottom"/>
          </w:tcPr>
          <w:p>
            <w:pPr>
              <w:ind w:left="40"/>
              <w:spacing w:after="0"/>
              <w:rPr>
                <w:sz w:val="20"/>
                <w:szCs w:val="20"/>
                <w:color w:val="auto"/>
              </w:rPr>
            </w:pPr>
            <w:r>
              <w:rPr>
                <w:rFonts w:ascii="Arial" w:cs="Arial" w:eastAsia="Arial" w:hAnsi="Arial"/>
                <w:sz w:val="14"/>
                <w:szCs w:val="14"/>
                <w:color w:val="auto"/>
              </w:rPr>
              <w:t>Buy / Long</w:t>
            </w:r>
          </w:p>
        </w:tc>
        <w:tc>
          <w:tcPr>
            <w:tcW w:w="480" w:type="dxa"/>
            <w:vAlign w:val="bottom"/>
          </w:tcPr>
          <w:p>
            <w:pPr>
              <w:ind w:left="40"/>
              <w:spacing w:after="0"/>
              <w:rPr>
                <w:sz w:val="20"/>
                <w:szCs w:val="20"/>
                <w:color w:val="auto"/>
              </w:rPr>
            </w:pPr>
            <w:r>
              <w:rPr>
                <w:rFonts w:ascii="Arial" w:cs="Arial" w:eastAsia="Arial" w:hAnsi="Arial"/>
                <w:sz w:val="14"/>
                <w:szCs w:val="14"/>
                <w:color w:val="auto"/>
              </w:rPr>
              <w:t>BBL</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80"/>
        </w:trPr>
        <w:tc>
          <w:tcPr>
            <w:tcW w:w="9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 / Short</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BBL</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80"/>
        </w:trPr>
        <w:tc>
          <w:tcPr>
            <w:tcW w:w="94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Foreign currency exchange contracts</w:t>
            </w: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4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480" w:type="dxa"/>
            <w:vAlign w:val="bottom"/>
          </w:tcPr>
          <w:p>
            <w:pPr>
              <w:ind w:left="40"/>
              <w:spacing w:after="0"/>
              <w:rPr>
                <w:sz w:val="20"/>
                <w:szCs w:val="20"/>
                <w:color w:val="auto"/>
              </w:rPr>
            </w:pPr>
            <w:r>
              <w:rPr>
                <w:rFonts w:ascii="Arial" w:cs="Arial" w:eastAsia="Arial" w:hAnsi="Arial"/>
                <w:sz w:val="14"/>
                <w:szCs w:val="14"/>
                <w:color w:val="auto"/>
              </w:rPr>
              <w:t>Sell U.S. dollar, buy other currencies</w:t>
            </w:r>
          </w:p>
        </w:tc>
        <w:tc>
          <w:tcPr>
            <w:tcW w:w="480" w:type="dxa"/>
            <w:vAlign w:val="bottom"/>
          </w:tcPr>
          <w:p>
            <w:pPr>
              <w:ind w:left="40"/>
              <w:spacing w:after="0"/>
              <w:rPr>
                <w:sz w:val="20"/>
                <w:szCs w:val="20"/>
                <w:color w:val="auto"/>
              </w:rPr>
            </w:pPr>
            <w:r>
              <w:rPr>
                <w:rFonts w:ascii="Arial" w:cs="Arial" w:eastAsia="Arial" w:hAnsi="Arial"/>
                <w:sz w:val="14"/>
                <w:szCs w:val="14"/>
                <w:color w:val="auto"/>
              </w:rPr>
              <w:t>USD</w:t>
            </w:r>
          </w:p>
        </w:tc>
        <w:tc>
          <w:tcPr>
            <w:tcW w:w="1460" w:type="dxa"/>
            <w:vAlign w:val="bottom"/>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80"/>
        </w:trPr>
        <w:tc>
          <w:tcPr>
            <w:tcW w:w="9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 sell other currencies</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USD</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80"/>
        </w:trPr>
        <w:tc>
          <w:tcPr>
            <w:tcW w:w="94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ind w:left="40"/>
              <w:spacing w:after="0"/>
              <w:rPr>
                <w:sz w:val="20"/>
                <w:szCs w:val="20"/>
                <w:color w:val="auto"/>
              </w:rPr>
            </w:pPr>
            <w:r>
              <w:rPr>
                <w:rFonts w:ascii="Arial" w:cs="Arial" w:eastAsia="Arial" w:hAnsi="Arial"/>
                <w:sz w:val="14"/>
                <w:szCs w:val="14"/>
                <w:b w:val="1"/>
                <w:bCs w:val="1"/>
                <w:color w:val="auto"/>
              </w:rPr>
              <w:t>Realized and Unrealized Gain (Loss)</w:t>
            </w:r>
          </w:p>
        </w:tc>
        <w:tc>
          <w:tcPr>
            <w:tcW w:w="640" w:type="dxa"/>
            <w:vAlign w:val="bottom"/>
          </w:tcPr>
          <w:p>
            <w:pPr>
              <w:spacing w:after="0"/>
              <w:rPr>
                <w:sz w:val="16"/>
                <w:szCs w:val="16"/>
                <w:color w:val="auto"/>
              </w:rPr>
            </w:pPr>
          </w:p>
        </w:tc>
        <w:tc>
          <w:tcPr>
            <w:tcW w:w="22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For the Three Months Ended</w:t>
            </w:r>
          </w:p>
        </w:tc>
        <w:tc>
          <w:tcPr>
            <w:tcW w:w="2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Realized and Unrealized Gain (Loss)</w:t>
            </w:r>
          </w:p>
        </w:tc>
        <w:tc>
          <w:tcPr>
            <w:tcW w:w="580" w:type="dxa"/>
            <w:vAlign w:val="bottom"/>
          </w:tcPr>
          <w:p>
            <w:pPr>
              <w:spacing w:after="0"/>
              <w:rPr>
                <w:sz w:val="16"/>
                <w:szCs w:val="16"/>
                <w:color w:val="auto"/>
              </w:rPr>
            </w:pPr>
          </w:p>
        </w:tc>
        <w:tc>
          <w:tcPr>
            <w:tcW w:w="20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r>
      <w:tr>
        <w:trPr>
          <w:trHeight w:val="270"/>
        </w:trPr>
        <w:tc>
          <w:tcPr>
            <w:tcW w:w="2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September 30,</w:t>
            </w:r>
          </w:p>
        </w:tc>
      </w:tr>
      <w:tr>
        <w:trPr>
          <w:trHeight w:val="80"/>
        </w:trPr>
        <w:tc>
          <w:tcPr>
            <w:tcW w:w="29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84"/>
        </w:trPr>
        <w:tc>
          <w:tcPr>
            <w:tcW w:w="2900" w:type="dxa"/>
            <w:vAlign w:val="bottom"/>
          </w:tcPr>
          <w:p>
            <w:pPr>
              <w:ind w:left="40"/>
              <w:spacing w:after="0"/>
              <w:rPr>
                <w:sz w:val="20"/>
                <w:szCs w:val="20"/>
                <w:color w:val="auto"/>
              </w:rPr>
            </w:pPr>
            <w:r>
              <w:rPr>
                <w:rFonts w:ascii="Arial" w:cs="Arial" w:eastAsia="Arial" w:hAnsi="Arial"/>
                <w:sz w:val="14"/>
                <w:szCs w:val="14"/>
                <w:b w:val="1"/>
                <w:bCs w:val="1"/>
                <w:color w:val="auto"/>
              </w:rPr>
              <w:t>Derivative Instruments   Location</w:t>
            </w:r>
          </w:p>
        </w:tc>
        <w:tc>
          <w:tcPr>
            <w:tcW w:w="64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Hedged Items</w:t>
            </w: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Location</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80"/>
        </w:trPr>
        <w:tc>
          <w:tcPr>
            <w:tcW w:w="29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84"/>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1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80"/>
        </w:trPr>
        <w:tc>
          <w:tcPr>
            <w:tcW w:w="29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191"/>
        </w:trPr>
        <w:tc>
          <w:tcPr>
            <w:tcW w:w="2900" w:type="dxa"/>
            <w:vAlign w:val="bottom"/>
          </w:tcPr>
          <w:p>
            <w:pPr>
              <w:ind w:left="1640"/>
              <w:spacing w:after="0"/>
              <w:rPr>
                <w:sz w:val="20"/>
                <w:szCs w:val="20"/>
                <w:color w:val="auto"/>
              </w:rPr>
            </w:pPr>
            <w:r>
              <w:rPr>
                <w:rFonts w:ascii="Arial" w:cs="Arial" w:eastAsia="Arial" w:hAnsi="Arial"/>
                <w:sz w:val="14"/>
                <w:szCs w:val="14"/>
                <w:color w:val="auto"/>
              </w:rPr>
              <w:t>Cost of revenue</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8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80"/>
        </w:trPr>
        <w:tc>
          <w:tcPr>
            <w:tcW w:w="29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84"/>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(Loss) Gain</w:t>
            </w:r>
          </w:p>
        </w:tc>
        <w:tc>
          <w:tcPr>
            <w:tcW w:w="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Gain (Loss)</w:t>
            </w:r>
          </w:p>
        </w:tc>
        <w:tc>
          <w:tcPr>
            <w:tcW w:w="15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80"/>
        </w:trPr>
        <w:tc>
          <w:tcPr>
            <w:tcW w:w="290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auto"/>
            </w:tcBorders>
            <w:shd w:val="clear" w:color="auto" w:fill="CCEEFF"/>
          </w:tcPr>
          <w:p>
            <w:pPr>
              <w:spacing w:after="0"/>
              <w:rPr>
                <w:sz w:val="6"/>
                <w:szCs w:val="6"/>
                <w:color w:val="auto"/>
              </w:rPr>
            </w:pPr>
          </w:p>
        </w:tc>
        <w:tc>
          <w:tcPr>
            <w:tcW w:w="158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ind w:left="40"/>
              <w:spacing w:after="0"/>
              <w:rPr>
                <w:sz w:val="20"/>
                <w:szCs w:val="20"/>
                <w:color w:val="auto"/>
              </w:rPr>
            </w:pPr>
            <w:r>
              <w:rPr>
                <w:rFonts w:ascii="Arial" w:cs="Arial" w:eastAsia="Arial" w:hAnsi="Arial"/>
                <w:sz w:val="14"/>
                <w:szCs w:val="14"/>
                <w:b w:val="1"/>
                <w:bCs w:val="1"/>
                <w:color w:val="auto"/>
              </w:rPr>
              <w:t>Realized and Unrealized Gain (Loss)</w:t>
            </w:r>
          </w:p>
        </w:tc>
        <w:tc>
          <w:tcPr>
            <w:tcW w:w="680" w:type="dxa"/>
            <w:vAlign w:val="bottom"/>
          </w:tcPr>
          <w:p>
            <w:pPr>
              <w:spacing w:after="0"/>
              <w:rPr>
                <w:sz w:val="16"/>
                <w:szCs w:val="16"/>
                <w:color w:val="auto"/>
              </w:rPr>
            </w:pPr>
          </w:p>
        </w:tc>
        <w:tc>
          <w:tcPr>
            <w:tcW w:w="22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For the Nine Months Ended</w:t>
            </w:r>
          </w:p>
        </w:tc>
        <w:tc>
          <w:tcPr>
            <w:tcW w:w="2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Realized and Unrealized Gain (Loss)</w:t>
            </w:r>
          </w:p>
        </w:tc>
        <w:tc>
          <w:tcPr>
            <w:tcW w:w="620" w:type="dxa"/>
            <w:vAlign w:val="bottom"/>
          </w:tcPr>
          <w:p>
            <w:pPr>
              <w:spacing w:after="0"/>
              <w:rPr>
                <w:sz w:val="16"/>
                <w:szCs w:val="16"/>
                <w:color w:val="auto"/>
              </w:rPr>
            </w:pPr>
          </w:p>
        </w:tc>
        <w:tc>
          <w:tcPr>
            <w:tcW w:w="20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0"/>
        </w:trPr>
        <w:tc>
          <w:tcPr>
            <w:tcW w:w="2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September 30,</w:t>
            </w:r>
          </w:p>
        </w:tc>
      </w:tr>
      <w:tr>
        <w:trPr>
          <w:trHeight w:val="80"/>
        </w:trPr>
        <w:tc>
          <w:tcPr>
            <w:tcW w:w="29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84"/>
        </w:trPr>
        <w:tc>
          <w:tcPr>
            <w:tcW w:w="2900" w:type="dxa"/>
            <w:vAlign w:val="bottom"/>
          </w:tcPr>
          <w:p>
            <w:pPr>
              <w:ind w:left="40"/>
              <w:spacing w:after="0"/>
              <w:rPr>
                <w:sz w:val="20"/>
                <w:szCs w:val="20"/>
                <w:color w:val="auto"/>
              </w:rPr>
            </w:pPr>
            <w:r>
              <w:rPr>
                <w:rFonts w:ascii="Arial" w:cs="Arial" w:eastAsia="Arial" w:hAnsi="Arial"/>
                <w:sz w:val="14"/>
                <w:szCs w:val="14"/>
                <w:b w:val="1"/>
                <w:bCs w:val="1"/>
                <w:color w:val="auto"/>
              </w:rPr>
              <w:t>Derivative Instruments   Location</w:t>
            </w:r>
          </w:p>
        </w:tc>
        <w:tc>
          <w:tcPr>
            <w:tcW w:w="68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Hedged Items</w:t>
            </w: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Location</w:t>
            </w:r>
          </w:p>
        </w:tc>
        <w:tc>
          <w:tcPr>
            <w:tcW w:w="62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80"/>
        </w:trPr>
        <w:tc>
          <w:tcPr>
            <w:tcW w:w="29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84"/>
        </w:trPr>
        <w:tc>
          <w:tcPr>
            <w:tcW w:w="290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Arial" w:cs="Arial" w:eastAsia="Arial" w:hAnsi="Arial"/>
                <w:sz w:val="14"/>
                <w:szCs w:val="14"/>
                <w:color w:val="auto"/>
              </w:rPr>
              <w:t>Inventories</w:t>
            </w:r>
          </w:p>
        </w:tc>
        <w:tc>
          <w:tcPr>
            <w:tcW w:w="1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80"/>
        </w:trPr>
        <w:tc>
          <w:tcPr>
            <w:tcW w:w="2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191"/>
        </w:trPr>
        <w:tc>
          <w:tcPr>
            <w:tcW w:w="2900" w:type="dxa"/>
            <w:vAlign w:val="bottom"/>
            <w:shd w:val="clear" w:color="auto" w:fill="CCEEFF"/>
          </w:tcPr>
          <w:p>
            <w:pPr>
              <w:ind w:left="1640"/>
              <w:spacing w:after="0"/>
              <w:rPr>
                <w:sz w:val="20"/>
                <w:szCs w:val="20"/>
                <w:color w:val="auto"/>
              </w:rPr>
            </w:pPr>
            <w:r>
              <w:rPr>
                <w:rFonts w:ascii="Arial" w:cs="Arial" w:eastAsia="Arial" w:hAnsi="Arial"/>
                <w:sz w:val="14"/>
                <w:szCs w:val="14"/>
                <w:color w:val="auto"/>
              </w:rPr>
              <w:t>Cost of revenue</w:t>
            </w:r>
          </w:p>
        </w:tc>
        <w:tc>
          <w:tcPr>
            <w:tcW w:w="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of revenue</w:t>
            </w:r>
          </w:p>
        </w:tc>
        <w:tc>
          <w:tcPr>
            <w:tcW w:w="6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80"/>
        </w:trPr>
        <w:tc>
          <w:tcPr>
            <w:tcW w:w="29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tcBorders>
              <w:bottom w:val="single" w:sz="8" w:color="auto"/>
            </w:tcBorders>
            <w:shd w:val="clear" w:color="auto" w:fill="CCEEFF"/>
          </w:tcPr>
          <w:p>
            <w:pPr>
              <w:spacing w:after="0"/>
              <w:rPr>
                <w:sz w:val="6"/>
                <w:szCs w:val="6"/>
                <w:color w:val="auto"/>
              </w:rPr>
            </w:pPr>
          </w:p>
        </w:tc>
        <w:tc>
          <w:tcPr>
            <w:tcW w:w="15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r>
      <w:tr>
        <w:trPr>
          <w:trHeight w:val="184"/>
        </w:trPr>
        <w:tc>
          <w:tcPr>
            <w:tcW w:w="2900" w:type="dxa"/>
            <w:vAlign w:val="bottom"/>
          </w:tcPr>
          <w:p>
            <w:pPr>
              <w:ind w:left="40"/>
              <w:spacing w:after="0"/>
              <w:rPr>
                <w:sz w:val="20"/>
                <w:szCs w:val="20"/>
                <w:color w:val="auto"/>
              </w:rPr>
            </w:pPr>
            <w:r>
              <w:rPr>
                <w:rFonts w:ascii="Arial" w:cs="Arial" w:eastAsia="Arial" w:hAnsi="Arial"/>
                <w:sz w:val="14"/>
                <w:szCs w:val="14"/>
                <w:color w:val="auto"/>
              </w:rPr>
              <w:t>Total (Loss)</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Arial" w:cs="Arial" w:eastAsia="Arial" w:hAnsi="Arial"/>
                <w:sz w:val="14"/>
                <w:szCs w:val="14"/>
                <w:color w:val="auto"/>
              </w:rPr>
              <w:t>Total (Loss) Gain</w:t>
            </w:r>
          </w:p>
        </w:tc>
        <w:tc>
          <w:tcPr>
            <w:tcW w:w="158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9.8</w:t>
            </w:r>
          </w:p>
        </w:tc>
      </w:tr>
      <w:tr>
        <w:trPr>
          <w:trHeight w:val="80"/>
        </w:trPr>
        <w:tc>
          <w:tcPr>
            <w:tcW w:w="29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gains or losses recognized in income for the three months ended September 30, 2017 and 2016, representing hedge ineffectiveness were a $22.3 million loss, and a $10.4 million gain, respectively. For the nine months ended September 30, 2017 and 2016, the amounts of losses representing hedge ineffectiveness were $17.7 million, and $9.7 million, respectively. There were no amounts for the three and nine months ended September 30, 2017 and 2016, that were excluded from the assessment of the effectiveness of our fair value hedges.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25" w:right="239" w:bottom="1440" w:gutter="0" w:footer="0" w:header="0"/>
        </w:sect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Amount of Gain (Loss) Recognized in</w:t>
            </w:r>
          </w:p>
        </w:tc>
        <w:tc>
          <w:tcPr>
            <w:tcW w:w="480" w:type="dxa"/>
            <w:vAlign w:val="bottom"/>
          </w:tcPr>
          <w:p>
            <w:pPr>
              <w:spacing w:after="0"/>
              <w:rPr>
                <w:sz w:val="14"/>
                <w:szCs w:val="14"/>
                <w:color w:val="auto"/>
              </w:rPr>
            </w:pPr>
          </w:p>
        </w:tc>
        <w:tc>
          <w:tcPr>
            <w:tcW w:w="20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9"/>
        </w:trPr>
        <w:tc>
          <w:tcPr>
            <w:tcW w:w="29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Accumulated Other Comprehensive Income</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(Effective Portion)</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8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0"/>
        </w:trPr>
        <w:tc>
          <w:tcPr>
            <w:tcW w:w="29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298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(83.0)</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8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68.7</w:t>
            </w:r>
          </w:p>
        </w:tc>
        <w:tc>
          <w:tcPr>
            <w:tcW w:w="5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80"/>
        </w:trPr>
        <w:tc>
          <w:tcPr>
            <w:tcW w:w="29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20"/>
              <w:spacing w:after="0"/>
              <w:rPr>
                <w:sz w:val="20"/>
                <w:szCs w:val="20"/>
                <w:color w:val="auto"/>
              </w:rPr>
            </w:pPr>
            <w:r>
              <w:rPr>
                <w:rFonts w:ascii="Arial" w:cs="Arial" w:eastAsia="Arial" w:hAnsi="Arial"/>
                <w:sz w:val="14"/>
                <w:szCs w:val="14"/>
                <w:color w:val="auto"/>
              </w:rPr>
              <w:t>Total (Loss) Gain</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(14.3)</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80"/>
        </w:trPr>
        <w:tc>
          <w:tcPr>
            <w:tcW w:w="29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Amount of Gain (Loss) Reclassified from</w:t>
            </w:r>
          </w:p>
        </w:tc>
        <w:tc>
          <w:tcPr>
            <w:tcW w:w="400" w:type="dxa"/>
            <w:vAlign w:val="bottom"/>
          </w:tcPr>
          <w:p>
            <w:pPr>
              <w:spacing w:after="0"/>
              <w:rPr>
                <w:sz w:val="14"/>
                <w:szCs w:val="14"/>
                <w:color w:val="auto"/>
              </w:rPr>
            </w:pPr>
          </w:p>
        </w:tc>
        <w:tc>
          <w:tcPr>
            <w:tcW w:w="20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9"/>
              </w:rPr>
              <w:t>Accumulated Other Comprehensive Income into</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Income (Effective Portion)</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0"/>
        </w:trPr>
        <w:tc>
          <w:tcPr>
            <w:tcW w:w="32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3220" w:type="dxa"/>
            <w:vAlign w:val="bottom"/>
          </w:tcPr>
          <w:p>
            <w:pPr>
              <w:ind w:left="20"/>
              <w:spacing w:after="0"/>
              <w:rPr>
                <w:sz w:val="20"/>
                <w:szCs w:val="20"/>
                <w:color w:val="auto"/>
              </w:rPr>
            </w:pPr>
            <w:r>
              <w:rPr>
                <w:rFonts w:ascii="Arial" w:cs="Arial" w:eastAsia="Arial" w:hAnsi="Arial"/>
                <w:sz w:val="14"/>
                <w:szCs w:val="14"/>
                <w:color w:val="auto"/>
              </w:rPr>
              <w:t>Revenue</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70"/>
        </w:trPr>
        <w:tc>
          <w:tcPr>
            <w:tcW w:w="32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40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48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80"/>
        </w:trPr>
        <w:tc>
          <w:tcPr>
            <w:tcW w:w="32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Total (Loss) Gain</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w:t>
            </w: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80"/>
        </w:trPr>
        <w:tc>
          <w:tcPr>
            <w:tcW w:w="32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-736600</wp:posOffset>
            </wp:positionV>
            <wp:extent cx="722947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-376555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-16510</wp:posOffset>
            </wp:positionV>
            <wp:extent cx="722947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220"/>
            <w:col w:w="5660"/>
          </w:cols>
          <w:pgMar w:left="240" w:top="125" w:right="239" w:bottom="1440" w:gutter="0" w:footer="0" w:header="0"/>
          <w:type w:val="continuous"/>
        </w:sectPr>
      </w:pP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Amount of Gain (Loss) Recognized in</w:t>
            </w:r>
          </w:p>
        </w:tc>
        <w:tc>
          <w:tcPr>
            <w:tcW w:w="2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Accumulated Other Comprehensive Income</w:t>
            </w:r>
          </w:p>
        </w:tc>
        <w:tc>
          <w:tcPr>
            <w:tcW w:w="112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(Effective Portion)</w:t>
            </w:r>
          </w:p>
        </w:tc>
        <w:tc>
          <w:tcPr>
            <w:tcW w:w="1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0"/>
        </w:trPr>
        <w:tc>
          <w:tcPr>
            <w:tcW w:w="3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Amount of Gain (Loss) Reclassified from</w:t>
            </w:r>
          </w:p>
        </w:tc>
        <w:tc>
          <w:tcPr>
            <w:tcW w:w="22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9"/>
        </w:trPr>
        <w:tc>
          <w:tcPr>
            <w:tcW w:w="3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Accumulated Other Comprehensive Income into</w:t>
            </w:r>
          </w:p>
        </w:tc>
        <w:tc>
          <w:tcPr>
            <w:tcW w:w="1060" w:type="dxa"/>
            <w:vAlign w:val="bottom"/>
          </w:tcPr>
          <w:p>
            <w:pPr>
              <w:spacing w:after="0"/>
              <w:rPr>
                <w:sz w:val="12"/>
                <w:szCs w:val="12"/>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Income (Effective Portion)</w:t>
            </w:r>
          </w:p>
        </w:tc>
        <w:tc>
          <w:tcPr>
            <w:tcW w:w="10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0"/>
        </w:trPr>
        <w:tc>
          <w:tcPr>
            <w:tcW w:w="34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-8255</wp:posOffset>
            </wp:positionV>
            <wp:extent cx="72294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220"/>
            <w:col w:w="5660"/>
          </w:cols>
          <w:pgMar w:left="240" w:top="125" w:right="239" w:bottom="1440" w:gutter="0" w:footer="0" w:header="0"/>
          <w:type w:val="continuous"/>
        </w:sectPr>
      </w:pP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2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23.3</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(105.3)</w:t>
            </w:r>
          </w:p>
        </w:tc>
        <w:tc>
          <w:tcPr>
            <w:tcW w:w="220" w:type="dxa"/>
            <w:vAlign w:val="bottom"/>
          </w:tcPr>
          <w:p>
            <w:pPr>
              <w:spacing w:after="0"/>
              <w:rPr>
                <w:sz w:val="15"/>
                <w:szCs w:val="15"/>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Revenue</w:t>
            </w:r>
          </w:p>
        </w:tc>
        <w:tc>
          <w:tcPr>
            <w:tcW w:w="98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30.7</w:t>
            </w:r>
          </w:p>
        </w:tc>
      </w:tr>
      <w:tr>
        <w:trPr>
          <w:trHeight w:val="80"/>
        </w:trPr>
        <w:tc>
          <w:tcPr>
            <w:tcW w:w="2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19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w:t>
            </w: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w:t>
            </w: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80"/>
        </w:trPr>
        <w:tc>
          <w:tcPr>
            <w:tcW w:w="22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Total (Loss) Gain</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220" w:type="dxa"/>
            <w:vAlign w:val="bottom"/>
          </w:tcPr>
          <w:p>
            <w:pPr>
              <w:spacing w:after="0"/>
              <w:rPr>
                <w:sz w:val="16"/>
                <w:szCs w:val="16"/>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Total (Loss) Gain</w:t>
            </w:r>
          </w:p>
        </w:tc>
        <w:tc>
          <w:tcPr>
            <w:tcW w:w="98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80"/>
        </w:trPr>
        <w:tc>
          <w:tcPr>
            <w:tcW w:w="5520" w:type="dxa"/>
            <w:vAlign w:val="bottom"/>
            <w:tcBorders>
              <w:bottom w:val="single" w:sz="8" w:color="auto"/>
            </w:tcBorders>
            <w:gridSpan w:val="5"/>
          </w:tcPr>
          <w:p>
            <w:pPr>
              <w:spacing w:after="0"/>
              <w:rPr>
                <w:sz w:val="6"/>
                <w:szCs w:val="6"/>
                <w:color w:val="auto"/>
              </w:rPr>
            </w:pPr>
          </w:p>
        </w:tc>
        <w:tc>
          <w:tcPr>
            <w:tcW w:w="220" w:type="dxa"/>
            <w:vAlign w:val="bottom"/>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gridSpan w:val="3"/>
          </w:tcPr>
          <w:p>
            <w:pPr>
              <w:spacing w:after="0"/>
              <w:rPr>
                <w:sz w:val="6"/>
                <w:szCs w:val="6"/>
                <w:color w:val="auto"/>
              </w:rPr>
            </w:pPr>
          </w:p>
        </w:tc>
      </w:tr>
      <w:tr>
        <w:trPr>
          <w:trHeight w:val="20"/>
        </w:trPr>
        <w:tc>
          <w:tcPr>
            <w:tcW w:w="552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r>
      <w:tr>
        <w:trPr>
          <w:trHeight w:val="522"/>
        </w:trPr>
        <w:tc>
          <w:tcPr>
            <w:tcW w:w="7480" w:type="dxa"/>
            <w:vAlign w:val="bottom"/>
            <w:gridSpan w:val="7"/>
          </w:tcPr>
          <w:p>
            <w:pPr>
              <w:ind w:left="20"/>
              <w:spacing w:after="0"/>
              <w:rPr>
                <w:sz w:val="20"/>
                <w:szCs w:val="20"/>
                <w:color w:val="auto"/>
              </w:rPr>
            </w:pPr>
            <w:r>
              <w:rPr>
                <w:rFonts w:ascii="Arial" w:cs="Arial" w:eastAsia="Arial" w:hAnsi="Arial"/>
                <w:sz w:val="14"/>
                <w:szCs w:val="14"/>
                <w:b w:val="1"/>
                <w:bCs w:val="1"/>
                <w:color w:val="auto"/>
                <w:w w:val="96"/>
              </w:rPr>
              <w:t>Amount of Gain (Loss) Recognized in Income (Ineffective Portion and Amount Excluded from Effectiveness Testing)</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5"/>
              </w:rPr>
              <w:t>For the Three Months Ended</w:t>
            </w:r>
          </w:p>
        </w:tc>
      </w:tr>
      <w:tr>
        <w:trPr>
          <w:trHeight w:val="216"/>
        </w:trPr>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2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80"/>
        </w:trPr>
        <w:tc>
          <w:tcPr>
            <w:tcW w:w="2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8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80"/>
        </w:trPr>
        <w:tc>
          <w:tcPr>
            <w:tcW w:w="22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r>
      <w:tr>
        <w:trPr>
          <w:trHeight w:val="191"/>
        </w:trPr>
        <w:tc>
          <w:tcPr>
            <w:tcW w:w="22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80"/>
        </w:trPr>
        <w:tc>
          <w:tcPr>
            <w:tcW w:w="2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8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(Loss)</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80"/>
        </w:trPr>
        <w:tc>
          <w:tcPr>
            <w:tcW w:w="7480" w:type="dxa"/>
            <w:vAlign w:val="bottom"/>
            <w:tcBorders>
              <w:bottom w:val="single" w:sz="8" w:color="auto"/>
            </w:tcBorders>
            <w:gridSpan w:val="7"/>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1940" w:type="dxa"/>
            <w:vAlign w:val="bottom"/>
            <w:tcBorders>
              <w:bottom w:val="single" w:sz="8" w:color="auto"/>
            </w:tcBorders>
            <w:gridSpan w:val="3"/>
            <w:shd w:val="clear" w:color="auto" w:fill="CCEEFF"/>
          </w:tcPr>
          <w:p>
            <w:pPr>
              <w:spacing w:after="0"/>
              <w:rPr>
                <w:sz w:val="6"/>
                <w:szCs w:val="6"/>
                <w:color w:val="auto"/>
              </w:rPr>
            </w:pPr>
          </w:p>
        </w:tc>
      </w:tr>
      <w:tr>
        <w:trPr>
          <w:trHeight w:val="20"/>
        </w:trPr>
        <w:tc>
          <w:tcPr>
            <w:tcW w:w="7480" w:type="dxa"/>
            <w:vAlign w:val="bottom"/>
            <w:tcBorders>
              <w:bottom w:val="single" w:sz="8" w:color="auto"/>
            </w:tcBorders>
            <w:gridSpan w:val="7"/>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r>
      <w:tr>
        <w:trPr>
          <w:trHeight w:val="455"/>
        </w:trPr>
        <w:tc>
          <w:tcPr>
            <w:tcW w:w="7480" w:type="dxa"/>
            <w:vAlign w:val="bottom"/>
            <w:gridSpan w:val="7"/>
          </w:tcPr>
          <w:p>
            <w:pPr>
              <w:ind w:left="20"/>
              <w:spacing w:after="0"/>
              <w:rPr>
                <w:sz w:val="20"/>
                <w:szCs w:val="20"/>
                <w:color w:val="auto"/>
              </w:rPr>
            </w:pPr>
            <w:r>
              <w:rPr>
                <w:rFonts w:ascii="Arial" w:cs="Arial" w:eastAsia="Arial" w:hAnsi="Arial"/>
                <w:sz w:val="14"/>
                <w:szCs w:val="14"/>
                <w:b w:val="1"/>
                <w:bCs w:val="1"/>
                <w:color w:val="auto"/>
                <w:w w:val="96"/>
              </w:rPr>
              <w:t>Amount of Gain (Loss) Recognized in Income (Ineffective Portion and Amount Excluded from Effectiveness Testing)</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216"/>
        </w:trPr>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2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80"/>
        </w:trPr>
        <w:tc>
          <w:tcPr>
            <w:tcW w:w="2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Revenue</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80"/>
        </w:trPr>
        <w:tc>
          <w:tcPr>
            <w:tcW w:w="2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19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r>
      <w:tr>
        <w:trPr>
          <w:trHeight w:val="80"/>
        </w:trPr>
        <w:tc>
          <w:tcPr>
            <w:tcW w:w="22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7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Total (Loss)</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(11.8)</w:t>
            </w:r>
          </w:p>
        </w:tc>
        <w:tc>
          <w:tcPr>
            <w:tcW w:w="8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80"/>
        </w:trPr>
        <w:tc>
          <w:tcPr>
            <w:tcW w:w="2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effective portion of the gains or losses on derivative instruments designated as cash flow hedges of forecasted transactions are initially reported as a component of accumulated other comprehensive income and subsequently reclassified into earnings once the future transactions affects earnings.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r>
      <w:tr>
        <w:trPr>
          <w:trHeight w:val="270"/>
        </w:trPr>
        <w:tc>
          <w:tcPr>
            <w:tcW w:w="436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80"/>
        </w:trPr>
        <w:tc>
          <w:tcPr>
            <w:tcW w:w="43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84"/>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740" w:type="dxa"/>
            <w:vAlign w:val="bottom"/>
          </w:tcPr>
          <w:p>
            <w:pPr>
              <w:ind w:left="136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80"/>
        </w:trPr>
        <w:tc>
          <w:tcPr>
            <w:tcW w:w="43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84"/>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80"/>
        </w:trPr>
        <w:tc>
          <w:tcPr>
            <w:tcW w:w="43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191"/>
        </w:trPr>
        <w:tc>
          <w:tcPr>
            <w:tcW w:w="4360" w:type="dxa"/>
            <w:vAlign w:val="bottom"/>
          </w:tcPr>
          <w:p>
            <w:pPr>
              <w:spacing w:after="0"/>
              <w:rPr>
                <w:sz w:val="16"/>
                <w:szCs w:val="16"/>
                <w:color w:val="auto"/>
              </w:rPr>
            </w:pPr>
          </w:p>
        </w:tc>
        <w:tc>
          <w:tcPr>
            <w:tcW w:w="3740" w:type="dxa"/>
            <w:vAlign w:val="bottom"/>
          </w:tcPr>
          <w:p>
            <w:pPr>
              <w:ind w:left="1360"/>
              <w:spacing w:after="0"/>
              <w:rPr>
                <w:sz w:val="20"/>
                <w:szCs w:val="20"/>
                <w:color w:val="auto"/>
              </w:rPr>
            </w:pPr>
            <w:r>
              <w:rPr>
                <w:rFonts w:ascii="Arial" w:cs="Arial" w:eastAsia="Arial" w:hAnsi="Arial"/>
                <w:sz w:val="14"/>
                <w:szCs w:val="14"/>
                <w:color w:val="auto"/>
              </w:rPr>
              <w:t>Revenue</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80"/>
        </w:trPr>
        <w:tc>
          <w:tcPr>
            <w:tcW w:w="4360" w:type="dxa"/>
            <w:vAlign w:val="bottom"/>
          </w:tcPr>
          <w:p>
            <w:pPr>
              <w:spacing w:after="0"/>
              <w:rPr>
                <w:sz w:val="6"/>
                <w:szCs w:val="6"/>
                <w:color w:val="auto"/>
              </w:rPr>
            </w:pPr>
          </w:p>
        </w:tc>
        <w:tc>
          <w:tcPr>
            <w:tcW w:w="3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91"/>
        </w:trPr>
        <w:tc>
          <w:tcPr>
            <w:tcW w:w="4360" w:type="dxa"/>
            <w:vAlign w:val="bottom"/>
            <w:shd w:val="clear" w:color="auto" w:fill="CCEEFF"/>
          </w:tcPr>
          <w:p>
            <w:pPr>
              <w:spacing w:after="0"/>
              <w:rPr>
                <w:sz w:val="16"/>
                <w:szCs w:val="16"/>
                <w:color w:val="auto"/>
              </w:rPr>
            </w:pPr>
          </w:p>
        </w:tc>
        <w:tc>
          <w:tcPr>
            <w:tcW w:w="374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Cost of revenue</w:t>
            </w: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w:t>
            </w: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80"/>
        </w:trPr>
        <w:tc>
          <w:tcPr>
            <w:tcW w:w="43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184"/>
        </w:trPr>
        <w:tc>
          <w:tcPr>
            <w:tcW w:w="4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16.7</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80"/>
        </w:trPr>
        <w:tc>
          <w:tcPr>
            <w:tcW w:w="4360" w:type="dxa"/>
            <w:vAlign w:val="bottom"/>
          </w:tcPr>
          <w:p>
            <w:pPr>
              <w:spacing w:after="0"/>
              <w:rPr>
                <w:sz w:val="6"/>
                <w:szCs w:val="6"/>
                <w:color w:val="auto"/>
              </w:rPr>
            </w:pPr>
          </w:p>
        </w:tc>
        <w:tc>
          <w:tcPr>
            <w:tcW w:w="3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91"/>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80"/>
        </w:trPr>
        <w:tc>
          <w:tcPr>
            <w:tcW w:w="43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191"/>
        </w:trPr>
        <w:tc>
          <w:tcPr>
            <w:tcW w:w="4360" w:type="dxa"/>
            <w:vAlign w:val="bottom"/>
          </w:tcPr>
          <w:p>
            <w:pPr>
              <w:spacing w:after="0"/>
              <w:rPr>
                <w:sz w:val="16"/>
                <w:szCs w:val="16"/>
                <w:color w:val="auto"/>
              </w:rPr>
            </w:pPr>
          </w:p>
        </w:tc>
        <w:tc>
          <w:tcPr>
            <w:tcW w:w="3740" w:type="dxa"/>
            <w:vAlign w:val="bottom"/>
          </w:tcPr>
          <w:p>
            <w:pPr>
              <w:ind w:left="1360"/>
              <w:spacing w:after="0"/>
              <w:rPr>
                <w:sz w:val="20"/>
                <w:szCs w:val="20"/>
                <w:color w:val="auto"/>
              </w:rPr>
            </w:pPr>
            <w:r>
              <w:rPr>
                <w:rFonts w:ascii="Arial" w:cs="Arial" w:eastAsia="Arial" w:hAnsi="Arial"/>
                <w:sz w:val="14"/>
                <w:szCs w:val="14"/>
                <w:color w:val="auto"/>
              </w:rPr>
              <w:t>Revenue</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80"/>
        </w:trPr>
        <w:tc>
          <w:tcPr>
            <w:tcW w:w="4360" w:type="dxa"/>
            <w:vAlign w:val="bottom"/>
          </w:tcPr>
          <w:p>
            <w:pPr>
              <w:spacing w:after="0"/>
              <w:rPr>
                <w:sz w:val="6"/>
                <w:szCs w:val="6"/>
                <w:color w:val="auto"/>
              </w:rPr>
            </w:pPr>
          </w:p>
        </w:tc>
        <w:tc>
          <w:tcPr>
            <w:tcW w:w="3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91"/>
        </w:trPr>
        <w:tc>
          <w:tcPr>
            <w:tcW w:w="4360" w:type="dxa"/>
            <w:vAlign w:val="bottom"/>
            <w:shd w:val="clear" w:color="auto" w:fill="CCEEFF"/>
          </w:tcPr>
          <w:p>
            <w:pPr>
              <w:spacing w:after="0"/>
              <w:rPr>
                <w:sz w:val="16"/>
                <w:szCs w:val="16"/>
                <w:color w:val="auto"/>
              </w:rPr>
            </w:pPr>
          </w:p>
        </w:tc>
        <w:tc>
          <w:tcPr>
            <w:tcW w:w="374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Other (expense), net</w:t>
            </w: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80"/>
        </w:trPr>
        <w:tc>
          <w:tcPr>
            <w:tcW w:w="43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184"/>
        </w:trPr>
        <w:tc>
          <w:tcPr>
            <w:tcW w:w="4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80"/>
        </w:trPr>
        <w:tc>
          <w:tcPr>
            <w:tcW w:w="43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84"/>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w:t>
            </w:r>
          </w:p>
        </w:tc>
        <w:tc>
          <w:tcPr>
            <w:tcW w:w="37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80"/>
        </w:trPr>
        <w:tc>
          <w:tcPr>
            <w:tcW w:w="4360" w:type="dxa"/>
            <w:vAlign w:val="bottom"/>
            <w:tcBorders>
              <w:bottom w:val="single" w:sz="8" w:color="auto"/>
            </w:tcBorders>
            <w:shd w:val="clear" w:color="auto" w:fill="CCEEFF"/>
          </w:tcPr>
          <w:p>
            <w:pPr>
              <w:spacing w:after="0"/>
              <w:rPr>
                <w:sz w:val="6"/>
                <w:szCs w:val="6"/>
                <w:color w:val="auto"/>
              </w:rPr>
            </w:pPr>
          </w:p>
        </w:tc>
        <w:tc>
          <w:tcPr>
            <w:tcW w:w="37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0"/>
        </w:trPr>
        <w:tc>
          <w:tcPr>
            <w:tcW w:w="436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80"/>
        </w:trPr>
        <w:tc>
          <w:tcPr>
            <w:tcW w:w="43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84"/>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740" w:type="dxa"/>
            <w:vAlign w:val="bottom"/>
          </w:tcPr>
          <w:p>
            <w:pPr>
              <w:ind w:left="136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80"/>
        </w:trPr>
        <w:tc>
          <w:tcPr>
            <w:tcW w:w="43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84"/>
        </w:trPr>
        <w:tc>
          <w:tcPr>
            <w:tcW w:w="43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3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80"/>
        </w:trPr>
        <w:tc>
          <w:tcPr>
            <w:tcW w:w="4360" w:type="dxa"/>
            <w:vAlign w:val="bottom"/>
          </w:tcPr>
          <w:p>
            <w:pPr>
              <w:spacing w:after="0"/>
              <w:rPr>
                <w:sz w:val="6"/>
                <w:szCs w:val="6"/>
                <w:color w:val="auto"/>
              </w:rPr>
            </w:pPr>
          </w:p>
        </w:tc>
        <w:tc>
          <w:tcPr>
            <w:tcW w:w="3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91"/>
        </w:trPr>
        <w:tc>
          <w:tcPr>
            <w:tcW w:w="4360" w:type="dxa"/>
            <w:vAlign w:val="bottom"/>
            <w:shd w:val="clear" w:color="auto" w:fill="CCEEFF"/>
          </w:tcPr>
          <w:p>
            <w:pPr>
              <w:spacing w:after="0"/>
              <w:rPr>
                <w:sz w:val="16"/>
                <w:szCs w:val="16"/>
                <w:color w:val="auto"/>
              </w:rPr>
            </w:pPr>
          </w:p>
        </w:tc>
        <w:tc>
          <w:tcPr>
            <w:tcW w:w="374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Revenue</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r>
      <w:tr>
        <w:trPr>
          <w:trHeight w:val="80"/>
        </w:trPr>
        <w:tc>
          <w:tcPr>
            <w:tcW w:w="43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191"/>
        </w:trPr>
        <w:tc>
          <w:tcPr>
            <w:tcW w:w="4360" w:type="dxa"/>
            <w:vAlign w:val="bottom"/>
          </w:tcPr>
          <w:p>
            <w:pPr>
              <w:spacing w:after="0"/>
              <w:rPr>
                <w:sz w:val="16"/>
                <w:szCs w:val="16"/>
                <w:color w:val="auto"/>
              </w:rPr>
            </w:pPr>
          </w:p>
        </w:tc>
        <w:tc>
          <w:tcPr>
            <w:tcW w:w="3740" w:type="dxa"/>
            <w:vAlign w:val="bottom"/>
          </w:tcPr>
          <w:p>
            <w:pPr>
              <w:ind w:left="1360"/>
              <w:spacing w:after="0"/>
              <w:rPr>
                <w:sz w:val="20"/>
                <w:szCs w:val="20"/>
                <w:color w:val="auto"/>
              </w:rPr>
            </w:pPr>
            <w:r>
              <w:rPr>
                <w:rFonts w:ascii="Arial" w:cs="Arial" w:eastAsia="Arial" w:hAnsi="Arial"/>
                <w:sz w:val="14"/>
                <w:szCs w:val="14"/>
                <w:color w:val="auto"/>
              </w:rPr>
              <w:t>Cost of revenue</w:t>
            </w:r>
          </w:p>
        </w:tc>
        <w:tc>
          <w:tcPr>
            <w:tcW w:w="6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80"/>
        </w:trPr>
        <w:tc>
          <w:tcPr>
            <w:tcW w:w="4360" w:type="dxa"/>
            <w:vAlign w:val="bottom"/>
            <w:tcBorders>
              <w:bottom w:val="single" w:sz="8" w:color="CCEEFF"/>
            </w:tcBorders>
          </w:tcPr>
          <w:p>
            <w:pPr>
              <w:spacing w:after="0"/>
              <w:rPr>
                <w:sz w:val="6"/>
                <w:szCs w:val="6"/>
                <w:color w:val="auto"/>
              </w:rPr>
            </w:pPr>
          </w:p>
        </w:tc>
        <w:tc>
          <w:tcPr>
            <w:tcW w:w="37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84"/>
        </w:trPr>
        <w:tc>
          <w:tcPr>
            <w:tcW w:w="4360" w:type="dxa"/>
            <w:vAlign w:val="bottom"/>
            <w:shd w:val="clear" w:color="auto" w:fill="CCEEFF"/>
          </w:tcPr>
          <w:p>
            <w:pPr>
              <w:spacing w:after="0"/>
              <w:rPr>
                <w:sz w:val="16"/>
                <w:szCs w:val="16"/>
                <w:color w:val="auto"/>
              </w:rPr>
            </w:pPr>
          </w:p>
        </w:tc>
        <w:tc>
          <w:tcPr>
            <w:tcW w:w="37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80"/>
        </w:trPr>
        <w:tc>
          <w:tcPr>
            <w:tcW w:w="43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191"/>
        </w:trPr>
        <w:tc>
          <w:tcPr>
            <w:tcW w:w="43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3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80"/>
        </w:trPr>
        <w:tc>
          <w:tcPr>
            <w:tcW w:w="4360" w:type="dxa"/>
            <w:vAlign w:val="bottom"/>
          </w:tcPr>
          <w:p>
            <w:pPr>
              <w:spacing w:after="0"/>
              <w:rPr>
                <w:sz w:val="6"/>
                <w:szCs w:val="6"/>
                <w:color w:val="auto"/>
              </w:rPr>
            </w:pPr>
          </w:p>
        </w:tc>
        <w:tc>
          <w:tcPr>
            <w:tcW w:w="3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91"/>
        </w:trPr>
        <w:tc>
          <w:tcPr>
            <w:tcW w:w="4360" w:type="dxa"/>
            <w:vAlign w:val="bottom"/>
            <w:shd w:val="clear" w:color="auto" w:fill="CCEEFF"/>
          </w:tcPr>
          <w:p>
            <w:pPr>
              <w:spacing w:after="0"/>
              <w:rPr>
                <w:sz w:val="16"/>
                <w:szCs w:val="16"/>
                <w:color w:val="auto"/>
              </w:rPr>
            </w:pPr>
          </w:p>
        </w:tc>
        <w:tc>
          <w:tcPr>
            <w:tcW w:w="374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Revenue</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r>
      <w:tr>
        <w:trPr>
          <w:trHeight w:val="80"/>
        </w:trPr>
        <w:tc>
          <w:tcPr>
            <w:tcW w:w="43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191"/>
        </w:trPr>
        <w:tc>
          <w:tcPr>
            <w:tcW w:w="4360" w:type="dxa"/>
            <w:vAlign w:val="bottom"/>
          </w:tcPr>
          <w:p>
            <w:pPr>
              <w:spacing w:after="0"/>
              <w:rPr>
                <w:sz w:val="16"/>
                <w:szCs w:val="16"/>
                <w:color w:val="auto"/>
              </w:rPr>
            </w:pPr>
          </w:p>
        </w:tc>
        <w:tc>
          <w:tcPr>
            <w:tcW w:w="3740" w:type="dxa"/>
            <w:vAlign w:val="bottom"/>
          </w:tcPr>
          <w:p>
            <w:pPr>
              <w:ind w:left="1360"/>
              <w:spacing w:after="0"/>
              <w:rPr>
                <w:sz w:val="20"/>
                <w:szCs w:val="20"/>
                <w:color w:val="auto"/>
              </w:rPr>
            </w:pPr>
            <w:r>
              <w:rPr>
                <w:rFonts w:ascii="Arial" w:cs="Arial" w:eastAsia="Arial" w:hAnsi="Arial"/>
                <w:sz w:val="14"/>
                <w:szCs w:val="14"/>
                <w:color w:val="auto"/>
              </w:rPr>
              <w:t>Other (expense), net</w:t>
            </w:r>
          </w:p>
        </w:tc>
        <w:tc>
          <w:tcPr>
            <w:tcW w:w="6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80"/>
        </w:trPr>
        <w:tc>
          <w:tcPr>
            <w:tcW w:w="4360" w:type="dxa"/>
            <w:vAlign w:val="bottom"/>
            <w:tcBorders>
              <w:bottom w:val="single" w:sz="8" w:color="CCEEFF"/>
            </w:tcBorders>
          </w:tcPr>
          <w:p>
            <w:pPr>
              <w:spacing w:after="0"/>
              <w:rPr>
                <w:sz w:val="6"/>
                <w:szCs w:val="6"/>
                <w:color w:val="auto"/>
              </w:rPr>
            </w:pPr>
          </w:p>
        </w:tc>
        <w:tc>
          <w:tcPr>
            <w:tcW w:w="37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84"/>
        </w:trPr>
        <w:tc>
          <w:tcPr>
            <w:tcW w:w="4360" w:type="dxa"/>
            <w:vAlign w:val="bottom"/>
            <w:shd w:val="clear" w:color="auto" w:fill="CCEEFF"/>
          </w:tcPr>
          <w:p>
            <w:pPr>
              <w:spacing w:after="0"/>
              <w:rPr>
                <w:sz w:val="16"/>
                <w:szCs w:val="16"/>
                <w:color w:val="auto"/>
              </w:rPr>
            </w:pPr>
          </w:p>
        </w:tc>
        <w:tc>
          <w:tcPr>
            <w:tcW w:w="37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80"/>
        </w:trPr>
        <w:tc>
          <w:tcPr>
            <w:tcW w:w="4360" w:type="dxa"/>
            <w:vAlign w:val="bottom"/>
            <w:tcBorders>
              <w:bottom w:val="single" w:sz="8" w:color="auto"/>
            </w:tcBorders>
            <w:shd w:val="clear" w:color="auto" w:fill="CCEEFF"/>
          </w:tcPr>
          <w:p>
            <w:pPr>
              <w:spacing w:after="0"/>
              <w:rPr>
                <w:sz w:val="6"/>
                <w:szCs w:val="6"/>
                <w:color w:val="auto"/>
              </w:rPr>
            </w:pPr>
          </w:p>
        </w:tc>
        <w:tc>
          <w:tcPr>
            <w:tcW w:w="37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184"/>
        </w:trPr>
        <w:tc>
          <w:tcPr>
            <w:tcW w:w="4360" w:type="dxa"/>
            <w:vAlign w:val="bottom"/>
          </w:tcPr>
          <w:p>
            <w:pPr>
              <w:ind w:left="20"/>
              <w:spacing w:after="0"/>
              <w:rPr>
                <w:sz w:val="20"/>
                <w:szCs w:val="20"/>
                <w:color w:val="auto"/>
              </w:rPr>
            </w:pPr>
            <w:r>
              <w:rPr>
                <w:rFonts w:ascii="Arial" w:cs="Arial" w:eastAsia="Arial" w:hAnsi="Arial"/>
                <w:sz w:val="14"/>
                <w:szCs w:val="14"/>
                <w:color w:val="auto"/>
              </w:rPr>
              <w:t>Total Gain</w:t>
            </w:r>
          </w:p>
        </w:tc>
        <w:tc>
          <w:tcPr>
            <w:tcW w:w="374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3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periodically provide collateral. Certain derivative contracts contain credit-risk-related contingent clauses which are triggered by credit events. These credit events may include the 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333333"/>
              </w:rPr>
              <w:t>Potential Collateral Requirements for</w:t>
            </w:r>
          </w:p>
        </w:tc>
      </w:tr>
      <w:tr>
        <w:trPr>
          <w:trHeight w:val="149"/>
        </w:trPr>
        <w:tc>
          <w:tcPr>
            <w:tcW w:w="5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333333"/>
              </w:rPr>
              <w:t>Derivative Liabilities with</w:t>
            </w:r>
          </w:p>
        </w:tc>
      </w:tr>
      <w:tr>
        <w:trPr>
          <w:trHeight w:val="192"/>
        </w:trPr>
        <w:tc>
          <w:tcPr>
            <w:tcW w:w="5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333333"/>
                <w:w w:val="93"/>
              </w:rPr>
              <w:t>Credit-Risk-Contingent Features</w:t>
            </w:r>
          </w:p>
        </w:tc>
      </w:tr>
      <w:tr>
        <w:trPr>
          <w:trHeight w:val="190"/>
        </w:trPr>
        <w:tc>
          <w:tcPr>
            <w:tcW w:w="5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0" w:type="dxa"/>
            <w:vAlign w:val="bottom"/>
          </w:tcPr>
          <w:p>
            <w:pPr>
              <w:jc w:val="right"/>
              <w:ind w:right="128"/>
              <w:spacing w:after="0"/>
              <w:rPr>
                <w:sz w:val="20"/>
                <w:szCs w:val="20"/>
                <w:color w:val="auto"/>
              </w:rPr>
            </w:pPr>
            <w:r>
              <w:rPr>
                <w:rFonts w:ascii="Arial" w:cs="Arial" w:eastAsia="Arial" w:hAnsi="Arial"/>
                <w:sz w:val="14"/>
                <w:szCs w:val="14"/>
                <w:b w:val="1"/>
                <w:bCs w:val="1"/>
                <w:color w:val="333333"/>
              </w:rPr>
              <w:t>As of September 30, 2017</w:t>
            </w:r>
          </w:p>
        </w:tc>
        <w:tc>
          <w:tcPr>
            <w:tcW w:w="480" w:type="dxa"/>
            <w:vAlign w:val="bottom"/>
          </w:tcPr>
          <w:p>
            <w:pPr>
              <w:spacing w:after="0"/>
              <w:rPr>
                <w:sz w:val="16"/>
                <w:szCs w:val="16"/>
                <w:color w:val="auto"/>
              </w:rPr>
            </w:pPr>
          </w:p>
        </w:tc>
        <w:tc>
          <w:tcPr>
            <w:tcW w:w="2140" w:type="dxa"/>
            <w:vAlign w:val="bottom"/>
          </w:tcPr>
          <w:p>
            <w:pPr>
              <w:jc w:val="right"/>
              <w:ind w:right="28"/>
              <w:spacing w:after="0"/>
              <w:rPr>
                <w:sz w:val="20"/>
                <w:szCs w:val="20"/>
                <w:color w:val="auto"/>
              </w:rPr>
            </w:pPr>
            <w:r>
              <w:rPr>
                <w:rFonts w:ascii="Arial" w:cs="Arial" w:eastAsia="Arial" w:hAnsi="Arial"/>
                <w:sz w:val="14"/>
                <w:szCs w:val="14"/>
                <w:b w:val="1"/>
                <w:bCs w:val="1"/>
                <w:color w:val="333333"/>
              </w:rPr>
              <w:t>As of December 31, 2016</w:t>
            </w:r>
          </w:p>
        </w:tc>
      </w:tr>
      <w:tr>
        <w:trPr>
          <w:trHeight w:val="80"/>
        </w:trPr>
        <w:tc>
          <w:tcPr>
            <w:tcW w:w="59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r>
      <w:tr>
        <w:trPr>
          <w:trHeight w:val="18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derivatives liability positions with credit contingent features</w:t>
            </w:r>
          </w:p>
        </w:tc>
        <w:tc>
          <w:tcPr>
            <w:tcW w:w="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r>
      <w:tr>
        <w:trPr>
          <w:trHeight w:val="80"/>
        </w:trPr>
        <w:tc>
          <w:tcPr>
            <w:tcW w:w="59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r>
      <w:tr>
        <w:trPr>
          <w:trHeight w:val="191"/>
        </w:trPr>
        <w:tc>
          <w:tcPr>
            <w:tcW w:w="5940" w:type="dxa"/>
            <w:vAlign w:val="bottom"/>
          </w:tcPr>
          <w:p>
            <w:pPr>
              <w:ind w:left="20"/>
              <w:spacing w:after="0"/>
              <w:rPr>
                <w:sz w:val="20"/>
                <w:szCs w:val="20"/>
                <w:color w:val="auto"/>
              </w:rPr>
            </w:pPr>
            <w:r>
              <w:rPr>
                <w:rFonts w:ascii="Arial" w:cs="Arial" w:eastAsia="Arial" w:hAnsi="Arial"/>
                <w:sz w:val="14"/>
                <w:szCs w:val="14"/>
                <w:color w:val="auto"/>
              </w:rPr>
              <w:t>Maximum potential collateral requirements</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8"/>
              <w:spacing w:after="0"/>
              <w:rPr>
                <w:sz w:val="20"/>
                <w:szCs w:val="20"/>
                <w:color w:val="auto"/>
              </w:rPr>
            </w:pPr>
            <w:r>
              <w:rPr>
                <w:rFonts w:ascii="Arial" w:cs="Arial" w:eastAsia="Arial" w:hAnsi="Arial"/>
                <w:sz w:val="14"/>
                <w:szCs w:val="14"/>
                <w:color w:val="auto"/>
              </w:rPr>
              <w:t>15.2</w:t>
            </w:r>
          </w:p>
        </w:tc>
      </w:tr>
      <w:tr>
        <w:trPr>
          <w:trHeight w:val="80"/>
        </w:trPr>
        <w:tc>
          <w:tcPr>
            <w:tcW w:w="59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At September 30, 2017 and December 31, 2016, there was no collateral held by our counterparties on these derivative contracts with credit-risk-contingent features.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than market rates. Based on the fair value hierarchy, our debt of $1.2 billion and $1.2 billion as of September 30, 2017 and December 31, 2016, respectively, and our notes receivable of $65.4 million and $16.9 million as of September 30, 2017 and December 31, 2016, respectively, are categorized in Level 3.</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42" w:lineRule="exact"/>
        <w:rPr>
          <w:sz w:val="20"/>
          <w:szCs w:val="20"/>
          <w:color w:val="auto"/>
        </w:rPr>
      </w:pPr>
    </w:p>
    <w:p>
      <w:pPr>
        <w:ind w:left="8180"/>
        <w:spacing w:after="0"/>
        <w:rPr>
          <w:sz w:val="20"/>
          <w:szCs w:val="20"/>
          <w:color w:val="auto"/>
        </w:rPr>
      </w:pPr>
      <w:r>
        <w:rPr>
          <w:rFonts w:ascii="Arial" w:cs="Arial" w:eastAsia="Arial" w:hAnsi="Arial"/>
          <w:sz w:val="13"/>
          <w:szCs w:val="13"/>
          <w:b w:val="1"/>
          <w:bCs w:val="1"/>
          <w:color w:val="auto"/>
        </w:rPr>
        <w:t>Fair Value measurements as of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1 Inputs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7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394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208.7</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46.7</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256.8</w:t>
            </w:r>
          </w:p>
        </w:tc>
      </w:tr>
      <w:tr>
        <w:trPr>
          <w:trHeight w:val="276"/>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64"/>
        </w:trPr>
        <w:tc>
          <w:tcPr>
            <w:tcW w:w="3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r>
      <w:tr>
        <w:trPr>
          <w:trHeight w:val="264"/>
        </w:trPr>
        <w:tc>
          <w:tcPr>
            <w:tcW w:w="3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assets at fair value</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208.7</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267.2</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7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394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187.3</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54.8</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242.4</w:t>
            </w:r>
          </w:p>
        </w:tc>
      </w:tr>
      <w:tr>
        <w:trPr>
          <w:trHeight w:val="270"/>
        </w:trPr>
        <w:tc>
          <w:tcPr>
            <w:tcW w:w="3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r>
      <w:tr>
        <w:trPr>
          <w:trHeight w:val="264"/>
        </w:trPr>
        <w:tc>
          <w:tcPr>
            <w:tcW w:w="39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liabilities at fair value</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187.3</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251.9</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4"/>
          </w:tcPr>
          <w:p>
            <w:pPr>
              <w:spacing w:after="0" w:line="20" w:lineRule="exact"/>
              <w:rPr>
                <w:sz w:val="1"/>
                <w:szCs w:val="1"/>
                <w:color w:val="auto"/>
              </w:rPr>
            </w:pPr>
          </w:p>
        </w:tc>
      </w:tr>
      <w:tr>
        <w:trPr>
          <w:trHeight w:val="548"/>
        </w:trPr>
        <w:tc>
          <w:tcPr>
            <w:tcW w:w="3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2"/>
              </w:rPr>
              <w:t>Fair Value measurements as of December 31, 2016</w:t>
            </w:r>
          </w:p>
        </w:tc>
      </w:tr>
      <w:tr>
        <w:trPr>
          <w:trHeight w:val="264"/>
        </w:trPr>
        <w:tc>
          <w:tcPr>
            <w:tcW w:w="39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1 Inputs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 Fair Value</w:t>
            </w: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Assets:</w:t>
            </w:r>
          </w:p>
        </w:tc>
        <w:tc>
          <w:tcPr>
            <w:tcW w:w="1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273.6</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331.2</w:t>
            </w:r>
          </w:p>
        </w:tc>
      </w:tr>
      <w:tr>
        <w:trPr>
          <w:trHeight w:val="264"/>
        </w:trPr>
        <w:tc>
          <w:tcPr>
            <w:tcW w:w="3940" w:type="dxa"/>
            <w:vAlign w:val="bottom"/>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tcPr>
          <w:p>
            <w:pPr>
              <w:spacing w:after="0"/>
              <w:rPr>
                <w:sz w:val="22"/>
                <w:szCs w:val="22"/>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w:t>
            </w:r>
          </w:p>
        </w:tc>
        <w:tc>
          <w:tcPr>
            <w:tcW w:w="48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70"/>
        </w:trPr>
        <w:tc>
          <w:tcPr>
            <w:tcW w:w="3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17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304"/>
        </w:trPr>
        <w:tc>
          <w:tcPr>
            <w:tcW w:w="39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 at fair value</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273.6</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351.2</w:t>
            </w:r>
          </w:p>
        </w:tc>
      </w:tr>
      <w:tr>
        <w:trPr>
          <w:trHeight w:val="284"/>
        </w:trPr>
        <w:tc>
          <w:tcPr>
            <w:tcW w:w="39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236.6</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326.1</w:t>
            </w:r>
          </w:p>
        </w:tc>
      </w:tr>
      <w:tr>
        <w:trPr>
          <w:trHeight w:val="264"/>
        </w:trPr>
        <w:tc>
          <w:tcPr>
            <w:tcW w:w="3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r>
      <w:tr>
        <w:trPr>
          <w:trHeight w:val="264"/>
        </w:trPr>
        <w:tc>
          <w:tcPr>
            <w:tcW w:w="3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at fair value</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236.6</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periods presented. The fair values of our commodity contracts measured using Level 3 inputs were not material at September 30, 2017 and December 31, 2016,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Fair Value as of September 30, 2017</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Gross Amounts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Net Amounts</w:t>
            </w:r>
          </w:p>
        </w:tc>
        <w:tc>
          <w:tcPr>
            <w:tcW w:w="52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without</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Recognized</w:t>
            </w:r>
          </w:p>
        </w:tc>
        <w:tc>
          <w:tcPr>
            <w:tcW w:w="38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Offset</w:t>
            </w:r>
          </w:p>
        </w:tc>
        <w:tc>
          <w:tcPr>
            <w:tcW w:w="380" w:type="dxa"/>
            <w:vAlign w:val="bottom"/>
          </w:tcPr>
          <w:p>
            <w:pPr>
              <w:spacing w:after="0"/>
              <w:rPr>
                <w:sz w:val="23"/>
                <w:szCs w:val="23"/>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Presented</w:t>
            </w:r>
          </w:p>
        </w:tc>
        <w:tc>
          <w:tcPr>
            <w:tcW w:w="52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Collateral</w:t>
            </w:r>
          </w:p>
        </w:tc>
        <w:tc>
          <w:tcPr>
            <w:tcW w:w="34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Right of Offset</w:t>
            </w:r>
          </w:p>
        </w:tc>
        <w:tc>
          <w:tcPr>
            <w:tcW w:w="3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80"/>
        </w:trPr>
        <w:tc>
          <w:tcPr>
            <w:tcW w:w="2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256.8</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198.9</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57.9</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22.4</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38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3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5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4"/>
        </w:trPr>
        <w:tc>
          <w:tcPr>
            <w:tcW w:w="20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261.8</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203.7</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58.1</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22.4</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14"/>
        </w:trPr>
        <w:tc>
          <w:tcPr>
            <w:tcW w:w="2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242.4</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198.9</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43.5</w:t>
            </w:r>
          </w:p>
        </w:tc>
        <w:tc>
          <w:tcPr>
            <w:tcW w:w="5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11.3</w:t>
            </w:r>
          </w:p>
        </w:tc>
        <w:tc>
          <w:tcPr>
            <w:tcW w:w="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tcPr>
          <w:p>
            <w:pPr>
              <w:spacing w:after="0"/>
              <w:rPr>
                <w:sz w:val="16"/>
                <w:szCs w:val="16"/>
                <w:color w:val="auto"/>
              </w:rPr>
            </w:pP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9.5</w:t>
            </w:r>
          </w:p>
        </w:tc>
        <w:tc>
          <w:tcPr>
            <w:tcW w:w="380" w:type="dxa"/>
            <w:vAlign w:val="bottom"/>
          </w:tcPr>
          <w:p>
            <w:pPr>
              <w:spacing w:after="0"/>
              <w:rPr>
                <w:sz w:val="16"/>
                <w:szCs w:val="16"/>
                <w:color w:val="auto"/>
              </w:rPr>
            </w:pP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4.8</w:t>
            </w:r>
          </w:p>
        </w:tc>
        <w:tc>
          <w:tcPr>
            <w:tcW w:w="380" w:type="dxa"/>
            <w:vAlign w:val="bottom"/>
          </w:tcPr>
          <w:p>
            <w:pPr>
              <w:spacing w:after="0"/>
              <w:rPr>
                <w:sz w:val="16"/>
                <w:szCs w:val="16"/>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4.7</w:t>
            </w:r>
          </w:p>
        </w:tc>
        <w:tc>
          <w:tcPr>
            <w:tcW w:w="520" w:type="dxa"/>
            <w:vAlign w:val="bottom"/>
          </w:tcPr>
          <w:p>
            <w:pPr>
              <w:spacing w:after="0"/>
              <w:rPr>
                <w:sz w:val="16"/>
                <w:szCs w:val="16"/>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4"/>
        </w:trPr>
        <w:tc>
          <w:tcPr>
            <w:tcW w:w="2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251.9</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203.7</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48.2</w:t>
            </w:r>
          </w:p>
        </w:tc>
        <w:tc>
          <w:tcPr>
            <w:tcW w:w="5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11.3</w:t>
            </w:r>
          </w:p>
        </w:tc>
        <w:tc>
          <w:tcPr>
            <w:tcW w:w="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74"/>
        </w:trPr>
        <w:tc>
          <w:tcPr>
            <w:tcW w:w="20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3"/>
              </w:rPr>
              <w:t>Fair Value as of December 31, 2016</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Gross Amounts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Net Amounts</w:t>
            </w:r>
          </w:p>
        </w:tc>
        <w:tc>
          <w:tcPr>
            <w:tcW w:w="52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without</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Offset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Presented</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Collateral</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Right of Offset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331.2</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249.7</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81.5</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27.1</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70"/>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16.0</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5.1</w:t>
            </w: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10.9</w:t>
            </w: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30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 at fair value</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347.2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254.8</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92.4</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311"/>
        </w:trPr>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326.1</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249.7</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76.5</w:t>
            </w:r>
          </w:p>
        </w:tc>
        <w:tc>
          <w:tcPr>
            <w:tcW w:w="5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332.5</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254.8</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77.7</w:t>
            </w:r>
          </w:p>
        </w:tc>
        <w:tc>
          <w:tcPr>
            <w:tcW w:w="5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2017 and December 31, 2016, we did not present any amounts gross on our consolidated balance sheet where we had the right of offset.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September 30, 2017, two counterparties each represented over 10% of our credit exposure to OTC derivative counterparties for a total credit risk of $8.1 million.</w:t>
      </w:r>
    </w:p>
    <w:p>
      <w:pPr>
        <w:spacing w:after="0" w:line="177" w:lineRule="exact"/>
        <w:rPr>
          <w:sz w:val="20"/>
          <w:szCs w:val="20"/>
          <w:color w:val="auto"/>
        </w:rPr>
      </w:pPr>
    </w:p>
    <w:p>
      <w:pPr>
        <w:ind w:left="180" w:right="6880" w:hanging="172"/>
        <w:spacing w:after="0" w:line="467" w:lineRule="auto"/>
        <w:tabs>
          <w:tab w:leader="none" w:pos="19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Interest Income, Expense and Other Finance Costs </w:t>
      </w:r>
      <w:r>
        <w:rPr>
          <w:rFonts w:ascii="Arial" w:cs="Arial" w:eastAsia="Arial" w:hAnsi="Arial"/>
          <w:sz w:val="18"/>
          <w:szCs w:val="18"/>
          <w:color w:val="auto"/>
        </w:rPr>
        <w:t>Our debt consisted of the following (in millions):</w:t>
      </w: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344"/>
        </w:trPr>
        <w:tc>
          <w:tcPr>
            <w:tcW w:w="8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8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297.0</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325.2</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840.0</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840.0</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Capital leases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4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270"/>
        </w:trPr>
        <w:tc>
          <w:tcPr>
            <w:tcW w:w="8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debt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1,151.7</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1,186.3</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maturities of long-term debt and capital leases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1,128.1</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1,170.8</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5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555"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6"/>
                <w:szCs w:val="16"/>
                <w:color w:val="auto"/>
              </w:rPr>
            </w:pPr>
          </w:p>
        </w:tc>
        <w:tc>
          <w:tcPr>
            <w:tcW w:w="24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16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r>
      <w:tr>
        <w:trPr>
          <w:trHeight w:val="250"/>
        </w:trPr>
        <w:tc>
          <w:tcPr>
            <w:tcW w:w="5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Comprehensive Income (Loss) and Accumulated Other Comprehensive Loss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other comprehensive income (loss), consisting of foreign currency translation adjustments related to our subsidiaries that have a functional currency other than the U.S. dollar and derivative instruments, was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Currency</w:t>
            </w:r>
          </w:p>
        </w:tc>
        <w:tc>
          <w:tcPr>
            <w:tcW w:w="36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Less: Net other comprehensive (loss) attributable to 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2017</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(119.2)</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Balance as of December 31, 2015</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Net other comprehensive (loss) income attributable to noncontrolling interest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September 30, 2016</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(134.8)</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foreign currency translation adjustment gains for the nine months ended September 30, 2017 were primarily due to the weakening of the U.S. dollar as compared to the British Pound. The foreign currency translation adjustment losses for the nine months ended September 30, 2016 were primarily due to the strengthening of the U.S. dollar as compared to the Brazilian Real and the British Pound.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and foreign income (loss) before income taxes consist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1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(38.6)</w:t>
            </w:r>
          </w:p>
        </w:tc>
      </w:tr>
      <w:tr>
        <w:trPr>
          <w:trHeight w:val="27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w:t>
            </w:r>
          </w:p>
        </w:tc>
        <w:tc>
          <w:tcPr>
            <w:tcW w:w="5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72.8</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61.4</w:t>
            </w:r>
          </w:p>
        </w:tc>
        <w:tc>
          <w:tcPr>
            <w:tcW w:w="6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162.2</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178.6</w:t>
            </w:r>
          </w:p>
        </w:tc>
      </w:tr>
      <w:tr>
        <w:trPr>
          <w:trHeight w:val="264"/>
        </w:trPr>
        <w:tc>
          <w:tcPr>
            <w:tcW w:w="5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44.6</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48.4</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recorded deferred tax assets for gross temporary differences where our tax basis exceeds our book basis, including net operating loss deferred tax assets primarily in the United States. We have also recorded deferred tax liabilities for gross temporary differences where our book basis exceeds our tax basis.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remaining carrying value of the Company’s deferred tax assets, after recording the valuation allowance on our U.S.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5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r>
      <w:tr>
        <w:trPr>
          <w:trHeight w:val="264"/>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82.6</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5.4</w:t>
            </w:r>
          </w:p>
        </w:tc>
        <w:tc>
          <w:tcPr>
            <w:tcW w:w="64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92.2</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0"/>
        </w:trPr>
        <w:tc>
          <w:tcPr>
            <w:tcW w:w="5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58"/>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185.0%</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6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79.8%</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provision for income taxes for the three months ended September 30, 2017 was $82.6 million and includes a valuation allowance on our U.S. deferred tax assets of $76.9 million, due to the Company's U.S. operations generating a three-year cumulative loss during the quarter. The valuation allowance is comprised of $24.0 million of deferred tax assets generated during 2017 and $52.9 million related to deferred tax assets generated in previous years. In addition, the provision also includes other net discrete items totaling $1.7 million, primarily related to changes in estimates in uncertain tax positions and an adjustment for stock based compensation. Without the $76.9 million valuation adjustment and other discrete items, the effective income tax rate would have been 12.5% for the three months ended September 30, 2017.</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for the nine months ended September 30, 2017 was $92.2 million, and includes the U.S. valuation allowance of $76.9 million and other discrete amounts of $5.6 million related to changes in estimates in uncertain tax positions and an adjustment for stock based compensation. Without the valuation allowance of $76.9 million and other discrete items, the nine months ended September 30, 2017 effective income tax rate would have been 8.3%.</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provision for income taxes for each of the nine months ended September 30, 2017 and 2016 was calculated based on the estimated annual effective income tax rate for 2017 and 2016 fiscal years. The actual effective income tax rate for the 2017 fiscal year may be materially different as a result of differences between estimated versus actual results and the geographic tax jurisdictions in which the results are earned.</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operate under a special income tax concession in Singapore which began January 1, 2008. Our current 5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$0.2 million and $0.6 million for the three months ended September 30, 2017 and 2016, respectively, and by $1.4 million and $2.3 million for the nine months ended September 30, 2017 and 2016, respectively. The impact of the income tax concession on basic earnings per common share was $0.01 for the three months ended September 30, 2016, and $0.02 and $0.03 for the nine months ended September 30, 2017 and 2016,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the income tax concession on diluted earnings per common share was $0.01 for the three months ended September 30, 2016 and $0.02 and $0.03 for the nine months ended September 30, 2017 and 2016, respectively. The income tax concession did not have an impact on basic and diluted earnings per common share for the three months ended September 30, 2017.</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South Korea branch of one of our subsidiaries has received an income tax assessment notice for the years 2011 - 2014 totaling $8.2 million (KRW 9.2 billion). We disagree with the South Korea tax authorities' assessment and are in the process of appealing.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Identifiable Intangible Assets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arises because the purchase price paid for our acquisitions reflects numerous factors, including the strategic fit and expected synergies these acquisitions bring to our existing operations. Goodwill is recorded at fair value and is reviewed at least annually for impairment.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evaluations are performed at the reporting unit level and are based on an assessment of qualitative factors to determine whether it is more likely than not that the fair value of any individual reporting unit is less than its carrying amount. Factors that could affect fair value include material adverse changes in the markets in which a unit operates, such as the prolonged weakness within the global shipping and offshore oil exploration markets, and extended periods of oversupplied global fuel markets combined with limited market volatility, which can adversely impact the demand for our products and services, among others.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Aviation</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Marine</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17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266.8</w:t>
            </w:r>
          </w:p>
        </w:tc>
        <w:tc>
          <w:tcPr>
            <w:tcW w:w="7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496.7</w:t>
            </w:r>
          </w:p>
        </w:tc>
        <w:tc>
          <w:tcPr>
            <w:tcW w:w="6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w:t>
            </w:r>
          </w:p>
        </w:tc>
        <w:tc>
          <w:tcPr>
            <w:tcW w:w="7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835.8</w:t>
            </w:r>
          </w:p>
        </w:tc>
      </w:tr>
      <w:tr>
        <w:trPr>
          <w:trHeight w:val="264"/>
        </w:trPr>
        <w:tc>
          <w:tcPr>
            <w:tcW w:w="3480" w:type="dxa"/>
            <w:vAlign w:val="bottom"/>
          </w:tcPr>
          <w:p>
            <w:pPr>
              <w:ind w:left="40"/>
              <w:spacing w:after="0"/>
              <w:rPr>
                <w:sz w:val="20"/>
                <w:szCs w:val="20"/>
                <w:color w:val="auto"/>
              </w:rPr>
            </w:pPr>
            <w:r>
              <w:rPr>
                <w:rFonts w:ascii="Arial" w:cs="Arial" w:eastAsia="Arial" w:hAnsi="Arial"/>
                <w:sz w:val="14"/>
                <w:szCs w:val="14"/>
                <w:color w:val="auto"/>
              </w:rPr>
              <w:t>Additions</w:t>
            </w:r>
          </w:p>
        </w:tc>
        <w:tc>
          <w:tcPr>
            <w:tcW w:w="17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46.4</w:t>
            </w:r>
          </w:p>
        </w:tc>
        <w:tc>
          <w:tcPr>
            <w:tcW w:w="7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46.4</w:t>
            </w:r>
          </w:p>
        </w:tc>
      </w:tr>
      <w:tr>
        <w:trPr>
          <w:trHeight w:val="270"/>
        </w:trPr>
        <w:tc>
          <w:tcPr>
            <w:tcW w:w="3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17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7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6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2017</w:t>
            </w:r>
          </w:p>
        </w:tc>
        <w:tc>
          <w:tcPr>
            <w:tcW w:w="1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322.2</w:t>
            </w:r>
          </w:p>
        </w:tc>
        <w:tc>
          <w:tcPr>
            <w:tcW w:w="7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506.6</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72.4</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901.1</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Identifiable intangible assets are reviewed for impairment at least annually during the fourth quarter, or more frequently if events or changes in circumstances indicate that the carrying amount of an asset may not be recoverable.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 September 30, 2017</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8"/>
              </w:rPr>
              <w:t>Gross Carrying</w:t>
            </w:r>
          </w:p>
        </w:tc>
        <w:tc>
          <w:tcPr>
            <w:tcW w:w="440" w:type="dxa"/>
            <w:vAlign w:val="bottom"/>
          </w:tcPr>
          <w:p>
            <w:pPr>
              <w:spacing w:after="0"/>
              <w:rPr>
                <w:sz w:val="13"/>
                <w:szCs w:val="13"/>
                <w:color w:val="auto"/>
              </w:rPr>
            </w:pPr>
          </w:p>
        </w:tc>
        <w:tc>
          <w:tcPr>
            <w:tcW w:w="11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11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400" w:type="dxa"/>
            <w:vAlign w:val="bottom"/>
          </w:tcPr>
          <w:p>
            <w:pPr>
              <w:spacing w:after="0"/>
              <w:rPr>
                <w:sz w:val="13"/>
                <w:szCs w:val="13"/>
                <w:color w:val="auto"/>
              </w:rPr>
            </w:pPr>
          </w:p>
        </w:tc>
        <w:tc>
          <w:tcPr>
            <w:tcW w:w="116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subject to amortization:</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Arial" w:cs="Arial" w:eastAsia="Arial" w:hAnsi="Arial"/>
                <w:sz w:val="14"/>
                <w:szCs w:val="14"/>
                <w:color w:val="auto"/>
              </w:rPr>
              <w:t>Customer relationships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391.7</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181.9</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209.8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353.8</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155.5</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276"/>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Supplier agreements</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5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471.4</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249.5</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429.8</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189.1</w:t>
            </w:r>
          </w:p>
        </w:tc>
        <w:tc>
          <w:tcPr>
            <w:tcW w:w="5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Arial" w:cs="Arial" w:eastAsia="Arial" w:hAnsi="Arial"/>
                <w:sz w:val="14"/>
                <w:szCs w:val="14"/>
                <w:color w:val="auto"/>
                <w:w w:val="97"/>
              </w:rPr>
              <w:t>Intangible assets not subject to amortization:</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Trademark/trade name rights</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4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511.6</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221.9</w:t>
            </w: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471.4</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189.1</w:t>
            </w:r>
          </w:p>
        </w:tc>
        <w:tc>
          <w:tcPr>
            <w:tcW w:w="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282.3</w:t>
            </w: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6"/>
                <w:szCs w:val="16"/>
                <w:color w:val="auto"/>
              </w:rPr>
            </w:pPr>
          </w:p>
        </w:tc>
        <w:tc>
          <w:tcPr>
            <w:tcW w:w="22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620" w:type="dxa"/>
            <w:vAlign w:val="bottom"/>
            <w:tcBorders>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(loss) attributable to World Fuel</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124.3</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bl>
    <w:p>
      <w:pPr>
        <w:spacing w:after="0" w:line="76"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82"/>
        </w:trPr>
        <w:tc>
          <w:tcPr>
            <w:tcW w:w="6000" w:type="dxa"/>
            <w:vAlign w:val="bottom"/>
          </w:tcPr>
          <w:p>
            <w:pPr>
              <w:ind w:left="18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1520" w:type="dxa"/>
            <w:vAlign w:val="bottom"/>
          </w:tcPr>
          <w:p>
            <w:pPr>
              <w:jc w:val="right"/>
              <w:ind w:right="568"/>
              <w:spacing w:after="0"/>
              <w:rPr>
                <w:sz w:val="20"/>
                <w:szCs w:val="20"/>
                <w:color w:val="auto"/>
              </w:rPr>
            </w:pPr>
            <w:r>
              <w:rPr>
                <w:rFonts w:ascii="Arial" w:cs="Arial" w:eastAsia="Arial" w:hAnsi="Arial"/>
                <w:sz w:val="14"/>
                <w:szCs w:val="14"/>
                <w:color w:val="auto"/>
              </w:rPr>
              <w:t>67.9</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69.1</w:t>
            </w:r>
          </w:p>
        </w:tc>
      </w:tr>
      <w:tr>
        <w:trPr>
          <w:trHeight w:val="276"/>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Effect of dilutive securities</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0.3</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68.2</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67"/>
        </w:trPr>
        <w:tc>
          <w:tcPr>
            <w:tcW w:w="6000" w:type="dxa"/>
            <w:vAlign w:val="bottom"/>
          </w:tcPr>
          <w:p>
            <w:pPr>
              <w:ind w:left="40"/>
              <w:spacing w:after="0"/>
              <w:rPr>
                <w:sz w:val="20"/>
                <w:szCs w:val="20"/>
                <w:color w:val="auto"/>
              </w:rPr>
            </w:pPr>
            <w:r>
              <w:rPr>
                <w:rFonts w:ascii="Arial" w:cs="Arial" w:eastAsia="Arial" w:hAnsi="Arial"/>
                <w:sz w:val="14"/>
                <w:szCs w:val="14"/>
                <w:color w:val="auto"/>
              </w:rPr>
              <w:t>Weighted average securities which are not included in the calculation of diluted earnings per</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9"/>
        </w:trPr>
        <w:tc>
          <w:tcPr>
            <w:tcW w:w="6000" w:type="dxa"/>
            <w:vAlign w:val="bottom"/>
          </w:tcPr>
          <w:p>
            <w:pPr>
              <w:ind w:left="40"/>
              <w:spacing w:after="0" w:line="149" w:lineRule="exact"/>
              <w:rPr>
                <w:sz w:val="20"/>
                <w:szCs w:val="20"/>
                <w:color w:val="auto"/>
              </w:rPr>
            </w:pPr>
            <w:r>
              <w:rPr>
                <w:rFonts w:ascii="Arial" w:cs="Arial" w:eastAsia="Arial" w:hAnsi="Arial"/>
                <w:sz w:val="14"/>
                <w:szCs w:val="14"/>
                <w:color w:val="auto"/>
              </w:rPr>
              <w:t>common share because their impact is anti-dilutive or their performance conditions have not</w:t>
            </w:r>
          </w:p>
        </w:tc>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been met</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1.6</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440" w:val="left"/>
        </w:tabs>
        <w:rPr>
          <w:sz w:val="20"/>
          <w:szCs w:val="20"/>
          <w:color w:val="auto"/>
        </w:rPr>
      </w:pPr>
      <w:r>
        <w:rPr>
          <w:rFonts w:ascii="Arial" w:cs="Arial" w:eastAsia="Arial" w:hAnsi="Arial"/>
          <w:sz w:val="14"/>
          <w:szCs w:val="14"/>
          <w:color w:val="auto"/>
        </w:rPr>
        <w:t>68.3</w:t>
      </w:r>
      <w:r>
        <w:rPr>
          <w:sz w:val="20"/>
          <w:szCs w:val="20"/>
          <w:color w:val="auto"/>
        </w:rPr>
        <w:tab/>
      </w:r>
      <w:r>
        <w:rPr>
          <w:rFonts w:ascii="Arial" w:cs="Arial" w:eastAsia="Arial" w:hAnsi="Arial"/>
          <w:sz w:val="13"/>
          <w:szCs w:val="13"/>
          <w:color w:val="auto"/>
        </w:rPr>
        <w:t>69.4</w:t>
      </w:r>
    </w:p>
    <w:p>
      <w:pPr>
        <w:spacing w:after="0" w:line="109"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auto"/>
        </w:rPr>
        <w:t>0.3</w:t>
      </w:r>
      <w:r>
        <w:rPr>
          <w:sz w:val="20"/>
          <w:szCs w:val="20"/>
          <w:color w:val="auto"/>
        </w:rPr>
        <w:tab/>
      </w:r>
      <w:r>
        <w:rPr>
          <w:rFonts w:ascii="Arial" w:cs="Arial" w:eastAsia="Arial" w:hAnsi="Arial"/>
          <w:sz w:val="12"/>
          <w:szCs w:val="12"/>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color w:val="auto"/>
        </w:rPr>
        <w:t>68.6</w:t>
      </w:r>
      <w:r>
        <w:rPr>
          <w:sz w:val="20"/>
          <w:szCs w:val="20"/>
          <w:color w:val="auto"/>
        </w:rPr>
        <w:tab/>
      </w:r>
      <w:r>
        <w:rPr>
          <w:rFonts w:ascii="Arial" w:cs="Arial" w:eastAsia="Arial" w:hAnsi="Arial"/>
          <w:sz w:val="13"/>
          <w:szCs w:val="13"/>
          <w:color w:val="auto"/>
        </w:rPr>
        <w:t>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880" w:space="720"/>
            <w:col w:w="1820"/>
          </w:cols>
          <w:pgMar w:left="240" w:top="125" w:right="239" w:bottom="1440" w:gutter="0" w:footer="0" w:header="0"/>
          <w:type w:val="continuous"/>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22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(0.57)</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0.33</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r>
      <w:tr>
        <w:trPr>
          <w:trHeight w:val="257"/>
        </w:trPr>
        <w:tc>
          <w:tcPr>
            <w:tcW w:w="38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22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(0.57)</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0.61</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0.33</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right="8600" w:hanging="332"/>
        <w:spacing w:after="0" w:line="503" w:lineRule="auto"/>
        <w:tabs>
          <w:tab w:leader="none" w:pos="28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Tax Matters</w:t>
      </w:r>
    </w:p>
    <w:p>
      <w:pPr>
        <w:spacing w:after="0" w:line="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From time to time, we are under review by various domestic and foreign tax authorities with regards to indirect tax matters and are involved in various challenges and litigation in a number of countries, including, in particular, Brazil and South Korea, where the amounts under controversy may be significant.</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quarter ended December 31, 2016, the Korean branch (“WFSK”) of one of our subsidiaries received assessments of approximately $10.6 million (KRW 11.9 billion) and during the quarter ended June 30, 2017, an assessment for an additional $17.9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August 31, 2016, Hanjin Shipping Co., Ltd. (“Hanjin”), one of our customers in our marine segment, filed for bankruptcy protection in South Korea and on September 1, 2016, the Korean Rehabilitation Court accepted Hanjin’s application for rehabilitation. On February 17, 2017, the Korean Rehabilitation Court formally adjudicated the liquidation of Hanjin. As of September 30, 2017, the outstanding Hanjin receivables were not material.</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have established loss provisions for these ordinary course claims as well as other matters in which losses are probable and can be</w:t>
      </w:r>
    </w:p>
    <w:p>
      <w:pPr>
        <w:sectPr>
          <w:pgSz w:w="11900" w:h="16838" w:orient="portrait"/>
          <w:cols w:equalWidth="0" w:num="1">
            <w:col w:w="11420"/>
          </w:cols>
          <w:pgMar w:left="240" w:top="125" w:right="239"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reasonably estimated. As of September 30, 2017,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3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w:t>
      </w:r>
    </w:p>
    <w:p>
      <w:pPr>
        <w:spacing w:after="0" w:line="18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22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4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September 30,</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2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3,705.8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2,969.2</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10,531.6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7,810.2</w:t>
            </w: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3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2,770.5</w:t>
            </w:r>
          </w:p>
        </w:tc>
        <w:tc>
          <w:tcPr>
            <w:tcW w:w="26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2,509.8</w:t>
            </w:r>
          </w:p>
        </w:tc>
        <w:tc>
          <w:tcPr>
            <w:tcW w:w="44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8,117.9</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6,375.9</w:t>
            </w:r>
          </w:p>
        </w:tc>
      </w:tr>
      <w:tr>
        <w:trPr>
          <w:trHeight w:val="270"/>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2,066.7</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1,920.7</w:t>
            </w: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6,173.9</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5,037.5</w:t>
            </w:r>
          </w:p>
        </w:tc>
      </w:tr>
      <w:tr>
        <w:trPr>
          <w:trHeight w:val="304"/>
        </w:trPr>
        <w:tc>
          <w:tcPr>
            <w:tcW w:w="4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8,543.0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7,399.8</w:t>
            </w:r>
          </w:p>
        </w:tc>
        <w:tc>
          <w:tcPr>
            <w:tcW w:w="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24,823.4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19,223.6</w:t>
            </w:r>
          </w:p>
        </w:tc>
      </w:tr>
      <w:tr>
        <w:trPr>
          <w:trHeight w:val="311"/>
        </w:trPr>
        <w:tc>
          <w:tcPr>
            <w:tcW w:w="41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111.7</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298.9</w:t>
            </w: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3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85.5</w:t>
            </w:r>
          </w:p>
        </w:tc>
        <w:tc>
          <w:tcPr>
            <w:tcW w:w="26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87.8</w:t>
            </w:r>
          </w:p>
        </w:tc>
        <w:tc>
          <w:tcPr>
            <w:tcW w:w="44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270.5</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261.7</w:t>
            </w:r>
          </w:p>
        </w:tc>
      </w:tr>
      <w:tr>
        <w:trPr>
          <w:trHeight w:val="270"/>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30.5</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97.0</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r>
      <w:tr>
        <w:trPr>
          <w:trHeight w:val="304"/>
        </w:trPr>
        <w:tc>
          <w:tcPr>
            <w:tcW w:w="4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239.9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236.7</w:t>
            </w:r>
          </w:p>
        </w:tc>
        <w:tc>
          <w:tcPr>
            <w:tcW w:w="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702.3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676.7</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23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61.6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52.6</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151.7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123.8</w:t>
            </w:r>
          </w:p>
        </w:tc>
      </w:tr>
      <w:tr>
        <w:trPr>
          <w:trHeight w:val="276"/>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3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r>
      <w:tr>
        <w:trPr>
          <w:trHeight w:val="264"/>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2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w:t>
            </w:r>
          </w:p>
        </w:tc>
      </w:tr>
      <w:tr>
        <w:trPr>
          <w:trHeight w:val="270"/>
        </w:trPr>
        <w:tc>
          <w:tcPr>
            <w:tcW w:w="410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79.1</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76.8</w:t>
            </w: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w:t>
            </w:r>
          </w:p>
        </w:tc>
      </w:tr>
      <w:tr>
        <w:trPr>
          <w:trHeight w:val="264"/>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2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r>
      <w:tr>
        <w:trPr>
          <w:trHeight w:val="264"/>
        </w:trPr>
        <w:tc>
          <w:tcPr>
            <w:tcW w:w="410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61.3</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58.2</w:t>
            </w:r>
          </w:p>
        </w:tc>
        <w:tc>
          <w:tcPr>
            <w:tcW w:w="4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162.8</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164.8</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w:t>
            </w:r>
          </w:p>
        </w:tc>
      </w:tr>
      <w:tr>
        <w:trPr>
          <w:trHeight w:val="258"/>
        </w:trPr>
        <w:tc>
          <w:tcPr>
            <w:tcW w:w="8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8320" w:type="dxa"/>
            <w:vAlign w:val="bottom"/>
          </w:tcPr>
          <w:p>
            <w:pPr>
              <w:ind w:left="180"/>
              <w:spacing w:after="0"/>
              <w:rPr>
                <w:sz w:val="20"/>
                <w:szCs w:val="20"/>
                <w:color w:val="auto"/>
              </w:rPr>
            </w:pPr>
            <w:r>
              <w:rPr>
                <w:rFonts w:ascii="Arial" w:cs="Arial" w:eastAsia="Arial" w:hAnsi="Arial"/>
                <w:sz w:val="14"/>
                <w:szCs w:val="14"/>
                <w:color w:val="auto"/>
              </w:rPr>
              <w:t>Aviation segment, net of allowance for bad debt of $9.4 and $6.6 as of September 30, 2017 and December 31, 2016, respectively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934.3</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776.0</w:t>
            </w:r>
          </w:p>
        </w:tc>
      </w:tr>
      <w:tr>
        <w:trPr>
          <w:trHeight w:val="276"/>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 net of allowance for bad debt of $7.8 and $8.2 as of September 30, 2017 and December 31, 2016, respectively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794.0</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737.5</w:t>
            </w:r>
          </w:p>
        </w:tc>
      </w:tr>
      <w:tr>
        <w:trPr>
          <w:trHeight w:val="264"/>
        </w:trPr>
        <w:tc>
          <w:tcPr>
            <w:tcW w:w="8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 net of allowance for bad debt of $11.1 and $10.2 as of September 30, 2017 and December 31, 2016, respectively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855.1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830.5</w:t>
            </w:r>
          </w:p>
        </w:tc>
      </w:tr>
      <w:tr>
        <w:trPr>
          <w:trHeight w:val="264"/>
        </w:trPr>
        <w:tc>
          <w:tcPr>
            <w:tcW w:w="83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2,583.4</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2,344.0</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83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2,242.3</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2,050.6</w:t>
            </w:r>
          </w:p>
        </w:tc>
      </w:tr>
      <w:tr>
        <w:trPr>
          <w:trHeight w:val="264"/>
        </w:trPr>
        <w:tc>
          <w:tcPr>
            <w:tcW w:w="832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0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2,014.7</w:t>
            </w:r>
          </w:p>
        </w:tc>
        <w:tc>
          <w:tcPr>
            <w:tcW w:w="4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1,928.5</w:t>
            </w:r>
          </w:p>
        </w:tc>
      </w:tr>
      <w:tr>
        <w:trPr>
          <w:trHeight w:val="276"/>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1,309.6</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1,287.7</w:t>
            </w:r>
          </w:p>
        </w:tc>
      </w:tr>
      <w:tr>
        <w:trPr>
          <w:trHeight w:val="264"/>
        </w:trPr>
        <w:tc>
          <w:tcPr>
            <w:tcW w:w="8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156.4</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145.8</w:t>
            </w:r>
          </w:p>
        </w:tc>
      </w:tr>
      <w:tr>
        <w:trPr>
          <w:trHeight w:val="264"/>
        </w:trPr>
        <w:tc>
          <w:tcPr>
            <w:tcW w:w="83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5,723.1</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5,412.6</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2016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2016 10-K Report.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Examples of forward-looking statements in this 10-Q Report include, but are not limited to, our expectations about the conditions in the aviation, land and marine markets in 2017, our cost reduction initiatives, our expectations regarding government-related activity and the related profit contribution, our expectations about the effect of acquisitions on our aviation and land segments, the timing, cost and benefits of our multi-year project and upgrade of our Enterprise Resource Planning (“ERP”) platform, our expectations about oversupplied market conditions in the U.S, our ability to drive greater leverage and ratability in our land operating model, our ability to divest or exit certain businesses, sharpen our portfolio and manage the related costs, our ability to improve cost competitiveness, gain structural efficiencies and rationalize our operating model, our ability to implement a single common technology platform for our land segment, as well as our expectations about our business strategy, business prospects, operating results, effectiveness of internal controls to manage risk, working capital, liquidity, capital expenditure requirements and future acquisitions. These forward-looking statements are qualified in their entirety by cautionary statements and risk factor disclosures contained in the Company’s Securities and Exchange Commission filings, including the Company’s Annual Report on Form 10-K filed with the SEC on February 21, 2017. Important assumptions relating to the forward-looking statements include, among others, assumptions regarding our ability to effectively leverage technology and operating systems and realize the anticipated benefits, our ability to successfully execute and achieve efficiencies and other benefits related to our transformation initiatives and address market conditions, our ability to effectively integrate and derive benefits from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extended periods of low oil prices and limited market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currency and other global market impacts associated with United Kingdom ("U.K.") referendum vote to exit from the European Union;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the benefit of any cost savings;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United States ("U.S.") or foreign tax laws, interpretations of such laws, or changes in the mix of taxable income among different tax jurisdictions;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generate sufficient future taxable income in jurisdictions with significant deferred tax assets and net operating loss carryforwards;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240" w:top="125" w:right="5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2016 10-K Report and those described from time to time in our other filings with the SEC.</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 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the Company following this report that modify or impact any of the forward-looking statements contained in or accompanying this 10-Q Report will be deemed to modify or supersede such forward-looking statements.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 global energy management company involved in providing energy procurement advisory services, supply fulfillment and transaction and payment management solutions to commercial and industrial customers, principally in the aviation, land and marine transportation industries. We compete by providing our customers with value-added benefits, including single-supplier convenience, competitive pricing, the availability of trade credit, price risk management, logistical support, fuel quality control and fuel procurement outsourcing.</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overall aviation market remains strong, reflecting healthy airline financial performance and strong overall demand. Our aviation segment has benefited from our increased logistics capability and expanded footprint from the acquisition of international aviation fueling operations from various ExxonMobil affiliates, which has facilitated our expansion into additional airport locations. The aviation segment has benefited from increased sales to government customers, which include the U.S. Defense Logistics Agency, the North Atlantic Treaty Organization (NATO) and other government and military customers. Sales to government customers account for a significant portion of our aviation segment's profitability. We expect our government-related activity to remain strong, although we believe the related profit contribution will decrease in 2018 as a result of compressed margins associated with contract renewals. Sales to government customers are driven by global events and military-related activities and can therefore significantly change from period to period and materially impact our results of operations.</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land segment has grown primarily through acquisitions as we seek to build out our land fuel distribution capabilities, primarily in the U.S. and U.K. Recently, our land segment has been negatively impacted by lower profitability from our supply and trading activities as a result of oversupplied market conditions in the U.S., which we do not expect will improve in the near future. In addition, our operating results in the U.S. and U.K. in recent years have been adversely impacted by unseasonably warm winter weather conditions. In contrast, our land segment has benefited from sales to government customers and we expect such activity to remain strong in the near term. We are focused on realizing the synergies associated with our acquisitions, implementing a single common technology platform and driving greater leverage and ratability in our operating model.</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marine segment continues to be adversely impacted by the weak conditions within the global shipping and offshore oil exploration markets and has experienced lower overall volumes in our core business as compared to historical levels. We have also experienced lower demand for our price risk management products as a result of low fuel prices and limited market volatility. As a result, we have conducted certain cost reduction initiatives to lower our marine segment cost structure to address current market conditions. We currently do not anticipate a meaningful improvement in the overall macroeconomic environment and continue to rationalize our operating model to gain efficiencies through various initiatives that are ongoing throughout the company.</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seek the most cost-effective means and efficient structure to serve our customers and suppliers and to respond to changes in the markets in which we operate. Accordingly, from time to time, we have, and are likely to continue to divest of certain non-core assets, exit lines of business or otherwise restructure certain of our operations in an effort to improve cost competitiveness and profitability. For example, we divested certain of our convenience store assets in 2016 and also engaged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reduction initiatives, principally in our marine segment in 2016 and throughout our organization in 2017. We are currently reviewing other non-core businesses and investments which we may divest or exit in the future as well as beginning to develop our 2018 annual operating plan and are identifying other areas for cost containment to further sharpen our portfolio, such as divesting of our remaining convenience store assets and exiting our rail business, among others. Any proceeds from divestitures are typically used to pay down debt or invested in other areas of our business. Reorganization and exit costs vary significantly depending on the scope of such activities as does their effectiveness in addressing market deterioration, and therefore may also result in financial charges for the impairment of assets, including goodwill and other intangible assets.</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continue to evaluate all of the foregoing circumstances and these, as well as other changes in the industries in which we operate, such as increased competition or changes in regulation, can impact our annual operating plan, results of operations, tangible and intangible assets and cash flows.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our aviation and land segments, we primarily purchase and resell fuel and other products.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revenue and cost of revenue are significantly impacted by fuel prices. Significant movements in fuel prices during any given financial period can have a significant impact on our gross profit, either positively or negatively depending on the direction, volatility and timing of such price movements. Additionally,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Corporate expenses are allocated to each segment based on usage, where possible, or on other factors according to the nature of the activity. We evaluate and manage our business segments using the performance measurement of income from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include the results of the fueling operations acquired in Italy, Germany, Australia and New Zealand as of their respective acquisition dates.</w:t>
      </w:r>
    </w:p>
    <w:p>
      <w:pPr>
        <w:spacing w:after="0" w:line="130"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Selected financial information with respect to our business segments is provided in Note 11 to the accompanying consolidated financial statements included in this 10</w:t>
      </w:r>
      <w:r>
        <w:rPr>
          <w:rFonts w:ascii="MS PGothic" w:cs="MS PGothic" w:eastAsia="MS PGothic" w:hAnsi="MS PGothic"/>
          <w:sz w:val="18"/>
          <w:szCs w:val="18"/>
          <w:color w:val="auto"/>
        </w:rPr>
        <w:t>‑</w:t>
      </w:r>
      <w:r>
        <w:rPr>
          <w:rFonts w:ascii="Arial" w:cs="Arial" w:eastAsia="Arial" w:hAnsi="Arial"/>
          <w:sz w:val="18"/>
          <w:szCs w:val="18"/>
          <w:color w:val="auto"/>
        </w:rPr>
        <w:t>Q Report.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2017 Compared to Three Months Ended September 30, 2016</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third quarter of 2017 was $8.5 billion, an increase of $1.1 billion, or 15.4%, as compared to the third quarter of 2016.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3,705.8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2,969.2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3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2,770.5</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2,509.8</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260.7</w:t>
            </w:r>
          </w:p>
        </w:tc>
      </w:tr>
      <w:tr>
        <w:trPr>
          <w:trHeight w:val="27"/>
        </w:trPr>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2,066.7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1,920.7</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146.0</w:t>
            </w:r>
          </w:p>
        </w:tc>
      </w:tr>
      <w:tr>
        <w:trPr>
          <w:trHeight w:val="237"/>
        </w:trPr>
        <w:tc>
          <w:tcPr>
            <w:tcW w:w="426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8,543.0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7,399.8</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1,143.2</w:t>
            </w:r>
          </w:p>
        </w:tc>
      </w:tr>
      <w:tr>
        <w:trPr>
          <w:trHeight w:val="27"/>
        </w:trPr>
        <w:tc>
          <w:tcPr>
            <w:tcW w:w="42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aviation segment were $3.7 billion for the third quarter of 2017, an increase of $0.7 billion, or 24.8% as compared to the third quarter of 2016. The increase in aviation revenues was attributable to increased volumes associated with seasonal gains in our core resale operations in North America and from our acquired international fueling operations. Total volumes for the third quarter of 2017 were 2.1 billion gallons, an increase of 8.8%, as compared to the comparable prior year period. The overall increase in revenue was also driven by higher average jet fuel prices per gallon sold in the third quarter of 2017, where the average price per gallon sold was $1.71, as compared to $1.57 in the third quarter of 2016.</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$2.8 billion for the third quarter of 2017, an increase of $0.3 billion, or 10.4%, as compared to the third quarter of 2016. The increase in land revenues primarily resulted from a 0.1 billion gallon volume increase to 1.5 billion gallons for the third quarter of 2017, an increase of 5.3%, primarily attributable to acquired businesses. The overall increase in revenue was also influenced by a higher average fuel price per gallon sold in the third quarter of 2017, as compared to the third quarter of 2016.</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marine segment were $2.1 billion for the third quarter of 2017, an increase of $146.0 million, or 7.6%, as compared to the third quarter of 2016. The increase was driven by higher average fuel prices, where we experienced a 23.9% increase in the average price per metric ton sold, to $303.2 in the third quarter of 2017 as compared to $244.8 in the third quarter of 2016. Despite the revenue increase, overall prices remain low compared to historical levels, and we do not anticipate meaningful improvements in the overall macroeconomic environment over the remainder of 2017. Volumes in our marine segment declined 13.1% to 6.8 million metric tons for the third quarter of 2017, as compared to the 2016 period, driven principally by lower volumes in our core operations, specifically in Asia.</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gross profit for the third quarter of 2017 was $239.9 million, an increase of $3.2 million, or 1.4%, as compared to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2016. In connection with the recent natural disasters, including the earthquake in Mexico and hurricanes Harvey and Irma, we experienced certain business interruptions within our aviation and land segments, including supply disruptions, which adversely impacted the timing and consequently the cost of our inventory purchases, and we also incurred limited damage to certain facilities and other assets. We continue to assess the overall impact to our ongoing business operations of these events and during the period ended September 30, 2017, the impact of these events was approximately $8.0 million.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34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346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4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4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85.5</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4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30.5</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37.2</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3460" w:type="dxa"/>
            <w:vAlign w:val="bottom"/>
            <w:tcBorders>
              <w:top w:val="single" w:sz="8" w:color="auto"/>
            </w:tcBorders>
          </w:tcPr>
          <w:p>
            <w:pPr>
              <w:spacing w:after="0"/>
              <w:rPr>
                <w:sz w:val="20"/>
                <w:szCs w:val="20"/>
                <w:color w:val="auto"/>
              </w:rPr>
            </w:pPr>
          </w:p>
        </w:tc>
        <w:tc>
          <w:tcPr>
            <w:tcW w:w="4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239.9</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236.7</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3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4240" w:type="dxa"/>
            <w:vAlign w:val="bottom"/>
          </w:tcPr>
          <w:p>
            <w:pPr>
              <w:jc w:val="right"/>
              <w:ind w:right="1810"/>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aviation segment gross profit for the third quarter of 2017 was $123.9 million, an increase of $12.3 million, or 11.0%, as compared to the third quarter of 2016. The increase in aviation gross profit was primarily due to increased activity from our government-related business, including certain spot government supply opportunities. These increases were partially offset by hurricane-related market volatility, which negatively impacted fuel prices.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land segment gross profit for the third quarter of 2017 was $85.5 million, a decrease of $2.3 million, or 2.6%, as compared to the third quarter of 2016. The decrease in land segment gross profit is principally attributable to lower profitability related to our supply and trading activities in the U.S. and the aforementioned hurricane-related disruptions during the third quarter of 2017, as compared to the comparable prior year quarter.</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third quarter of 2017 was $30.5 million, a decrease of $6.8 million, or 18.2%, as compared to the third quarter of 2016. Our marine segment continues to be adversely impacted by further deterioration of market conditions in the overall maritime industry. The gross profit decline was principally driven by reduced volumes in our core resale business, primarily in Asia, and a further decline in profits from the sale of price risk management products to our global marine customers.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third quarter of 2017 were $178.6 million, an increase of $0.2 million, or 0.1%,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2016. The total increase in operating expenses was associated with acquisition related costs that were directly attributable to our acquired businesses.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9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7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68.6</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70.3</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49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178.6</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178.4</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3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8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8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8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8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8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48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79.1</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76.8</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48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8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37"/>
        </w:trPr>
        <w:tc>
          <w:tcPr>
            <w:tcW w:w="48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61.3</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58.2</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48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income from operations for the third quarter of 2017 was $61.3 million, an increase of $3.1 million, or 5.3%, as compared to the third quarter of 2016. The increase was attributable to our aviation segment, which benefited from increased activity from our government-related business. The increase in aviation was partially offset by the marine segment and, to a lesser extent our land segment. Within our marine segment, we experienced lower volumes in our core business, primarily in Asia, and a further decline in profits from our price risk management product activities globally. Within our land segment, we experienced lower profitability related to our supply and trading activities in the U.S. as compared to the comparable prior year period. In addition, the aviation and land segments were both negatively impacted by hurricane-related disruptions, which adversely impacted fuel costs.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third quarter of 2017 were $17.8 million, a decrease of $0.8 million, or 4.2%, as compared to the third quarter of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third quarter of 2017, we had non-operating expenses, net of $16.7 million, an increase of $6.8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third quarter of 2016, driven principally by higher finance costs associated with outstanding borrowings.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For the third quarter of 2017, our effective income tax rate was 185.0% and our income tax provision was $82.6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effective income tax rate of 11.1% and an income tax provision of $5.4 million for the third quarter of 2016. The higher effective income tax rate for the third quarter of 2017 was attributable to our recording of a valuation allowance against the net U.S. deferred tax assets in the amount of $76.9 million, due to the Company's U.S. operations generating a three-year cumulative loss during the quarter. The valuation allowance is comprised of $24.0 million of deferred tax assets generated during 2017 and $52.9 million related to deferred tax assets generated in previous years. In addition, the provision also includes other net discrete items totaling $1.7 million, primarily related to changes in estimates in uncertain tax positions and an adjustment for stock based compensation. Without the $76.9 million valuation adjustment and other discrete items, the effective income tax rate for the third quarter of 2017 would have been 12.5%.</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third quarter of 2017, net income attributable to noncontrolling interest was $0.6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$0.3 million as compared to the third quarter of 2016.</w:t>
      </w:r>
    </w:p>
    <w:p>
      <w:pPr>
        <w:spacing w:after="0" w:line="14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Net Income and Diluted Earnings per Common Share</w:t>
      </w:r>
      <w:r>
        <w:rPr>
          <w:rFonts w:ascii="Arial" w:cs="Arial" w:eastAsia="Arial" w:hAnsi="Arial"/>
          <w:sz w:val="16"/>
          <w:szCs w:val="16"/>
          <w:color w:val="auto"/>
        </w:rPr>
        <w:t>. For the third quarter of 2017, we had a net loss of $38.5 million and a diluted loss per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$0.57 as compared to net income of $42.7 million and diluted earnings per common share of $0.61 per common share for the third quarter of 2016.</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2017 Compared to Nine Months Ended September 30, 2016</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nine months of 2017 was $24.8 billion, an increase of $5.6 billion, or 29.1%, as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10,531.6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7,810.2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2,721.4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3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8,117.9</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6,375.9</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1,742.0</w:t>
            </w:r>
          </w:p>
        </w:tc>
      </w:tr>
      <w:tr>
        <w:trPr>
          <w:trHeight w:val="27"/>
        </w:trPr>
        <w:tc>
          <w:tcPr>
            <w:tcW w:w="4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6,173.9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5,037.5</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1,136.4</w:t>
            </w:r>
          </w:p>
        </w:tc>
      </w:tr>
      <w:tr>
        <w:trPr>
          <w:trHeight w:val="237"/>
        </w:trPr>
        <w:tc>
          <w:tcPr>
            <w:tcW w:w="426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24,823.4</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19,223.6</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5,599.8</w:t>
            </w:r>
          </w:p>
        </w:tc>
      </w:tr>
      <w:tr>
        <w:trPr>
          <w:trHeight w:val="27"/>
        </w:trPr>
        <w:tc>
          <w:tcPr>
            <w:tcW w:w="42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aviation segment were $10.5 billion for the first nine months of 2017, an increase of $2.7 billion, or 34.8%, as compared to the first nine months of 2016. The increase in aviation revenues was driven by higher average jet fuel prices per gallon sold in the first nine months of 2017, where the average price per gallon sold was $1.67, as compared to $1.49 in 2016. The overall increase was also attributable to increased volumes which for the first nine months of 2017 were 5.9 billion gallons, an increase of 13.0%, as compared to the comparable prior year period, driven principally by higher activity within U.S. and foreign military-related activity and from our international fueling operations.</w:t>
      </w:r>
    </w:p>
    <w:p>
      <w:pPr>
        <w:spacing w:after="0" w:line="17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Revenues in our land segment were $8.1 billion for the first nine months of 2017, an increase of $1.7 billion, or 27.3%, as compared to the first nine months of 2016. The increase in land revenues primarily resulted from a higher average fuel price per gallon sold during the first nine months of 2017, as compared to the first nine months of 2016. The overall increase was also attributable to an increase in volumes from acquired businesses, where volumes for the first nine months of 2017 were 4.5 billion gallons, an increase of 15.2%, as compared to the first nine months of 2016.</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$6.2 billion for the first nine months of 2017, an increase of $1.1 billion, or 22.6%, as compared to the first nine months of 2016. The increase was driven primarily by a 42.4% increase in the average price per metric ton sold, to $302.5 in the first nine months of 2017 as compared to $212.3 in the first nine months of 2016. Volumes in our marine segment for the first nine months of 2017 were 20.4 million metric tons, a decrease of 14.0%, as compared to the first nine months of 2016, driven principally by lower volumes in Asia and further deterioration in the overall maritime industry.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nine months of 2017 was $702.3 million, an increase of $25.6 million, or 3.8%,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2016. Our gross profit during these periods was attributable to the following segments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4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298.9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4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270.5</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261.7</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4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116.0</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7"/>
        </w:trPr>
        <w:tc>
          <w:tcPr>
            <w:tcW w:w="4260" w:type="dxa"/>
            <w:vAlign w:val="bottom"/>
            <w:tcBorders>
              <w:top w:val="single" w:sz="8" w:color="auto"/>
            </w:tcBorders>
          </w:tcPr>
          <w:p>
            <w:pPr>
              <w:spacing w:after="0"/>
              <w:rPr>
                <w:sz w:val="20"/>
                <w:szCs w:val="20"/>
                <w:color w:val="auto"/>
              </w:rPr>
            </w:pPr>
          </w:p>
        </w:tc>
        <w:tc>
          <w:tcPr>
            <w:tcW w:w="34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702.3</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676.7</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25.6</w:t>
            </w:r>
          </w:p>
        </w:tc>
      </w:tr>
      <w:tr>
        <w:trPr>
          <w:trHeight w:val="27"/>
        </w:trPr>
        <w:tc>
          <w:tcPr>
            <w:tcW w:w="42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first nine months of 2017 was $334.8 million, an increase of $35.8 million, or 12.0%, as compared to the first nine months of 2016. The increase in aviation gross profit was due to increased activity from our government-related business, including certain spot government supply opportunities and increased volumes from our international fueling operations. These increases were partially offset by disruptions associated with hurricanes Harvey and Irma, which negatively impacted fuel prices.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land segment gross profit for the first nine months of 2017 was $270.5 million, an increase of $8.8 million, or 3.4%, as compared to the first nine months of 2016. The increase in land segment gross profit was primarily driven by recently acquired businesses and and were partially offset by continued lower profits from our supply and trading activities in the U.S., and hurricane-related disruptions.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first nine months of 2017 was $97.0 million, a decrease of $19.0 million, or 16.4%, as compared to the first nine months of 2016. The marine segment continues to be adversely impacted by the prolonged weakness in the overall maritime industry, leading to lower volumes and profitability in our core business, primarily in Asia, combined with a further decline in profits from the sale of price risk management products globally.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nine months of 2017 were $539.5 million, an increase of $27.6 million, or 5.4%,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2016. The total increase in operating expenses was primarily associated with acquired businesses.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9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306.2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7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218.7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200.2</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r>
      <w:tr>
        <w:trPr>
          <w:trHeight w:val="237"/>
        </w:trPr>
        <w:tc>
          <w:tcPr>
            <w:tcW w:w="49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539.5</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511.9</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27.6</w:t>
            </w:r>
          </w:p>
        </w:tc>
      </w:tr>
      <w:tr>
        <w:trPr>
          <w:trHeight w:val="27"/>
        </w:trPr>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excluding unallocated corporate overhead, for the first nine months of 2017 was $218.4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$2.2 million, or 1.0%, as compared to the first nine months of 2016. Income from operations during these periods was attributable to the following segments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r>
      <w:tr>
        <w:trPr>
          <w:trHeight w:val="264"/>
        </w:trPr>
        <w:tc>
          <w:tcPr>
            <w:tcW w:w="48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28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151.7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123.8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28.0</w:t>
            </w:r>
          </w:p>
        </w:tc>
      </w:tr>
      <w:tr>
        <w:trPr>
          <w:trHeight w:val="27"/>
        </w:trPr>
        <w:tc>
          <w:tcPr>
            <w:tcW w:w="48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8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46.7</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8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32.8</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8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218.4</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220.5</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Corporate overhead - unallocated</w:t>
            </w:r>
          </w:p>
        </w:tc>
        <w:tc>
          <w:tcPr>
            <w:tcW w:w="28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48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162.8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income from operations, including unallocated corporate overhead, for the first nine months of 2017 was $162.8 million, a decrease of $2.0 million, or 1.2%, as compared to the first nine months of 2016. The decrease was attributable to our land and marine segments. In our land segment, income from operations for the first nine months of 2017 was $46.7 million a decrease of $17.3 million or 27.0%, as compared to the first nine months of 2016. Within our land segment we experienced continued lower profits from our supply and trading activities in the U.S., hurricane-related disruptions, as well as increased acquisition-related costs that were directly attributable to our acquired businesses. In our marine segment, income from operations for the first nine months of 2017 was $19.9 million, a decrease of $12.9 million, or 39.3%, as compared to the first nine months of 2016. Our marine segment was adversely impacted by the prolonged weakness in the overall maritime industry. The declines in our land and marine segments were partially offset by increases in our aviation segment, where we experienced increased volumes from our international fueling operations, and increased activity in our government-related business.</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Corporate overhead costs not charged to the business segments for the first nine months of 2017 were $55.5 million, a decrease of $0.2 million, or 0.3%, as compared to the first nine months of 2016, principally driven by additional costs related to overall corporate enterprise activities that are not charged to the business segments and are designed to support our growing global business.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We had non-operating expenses, net of $47.3 million, for the first nine months of 2017, an increase of $22.5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nine months of 2016 driven principally by higher finance costs.</w:t>
      </w:r>
    </w:p>
    <w:p>
      <w:pPr>
        <w:spacing w:after="0" w:line="17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For the first nine months of 2017, our effective income tax rate was 79.8% and our income tax provision was $92.2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an effective income tax rate of 11.2% and an income tax provision of $15.7 million for the first nine months of 2016. Our higher provision for income taxes for the first nine months of 2017 was attributable to the Company recording a valuation allowance against the net U.S. deferred tax assets in the amount of $76.9 million, which is comprised of $24.0 million of deferred tax assets generated during 2017 and $52.9 million related to deferred tax assets generated in previous years. In addition, the provision also includes other net discrete items totaling $5.6 million, primarily related to changes in estimates in uncertain tax positions and an adjustment for stock based compensation. Without the valuation allowance of $76.9 million and other discrete items, the effective income tax rate for the first nine months of 2017 would have been 8.3%.</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nine months of 2017, net income attributable to noncontrolling interest was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$0.5 million as compared to the first nine months of 2016.</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first nine months of 2017 was $22.8 million, a decrease of $101.5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first nine months of 2016. Diluted earnings per common share for the first nine months of 2017 was $0.33 per common share, a decrease of $1.45 per common share, as compared to the first nine months of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2017 and 2016 (in millions). For additional details, please see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85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8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7"/>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(72.7)</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325.7</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first nine months of 2017, net cash provided by operating activities was $45.2 million as compared to $220.3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2016. The $175.1 million decrease in operating cash flows was primarily due to year-over-year changes in assets and liabilities, net of acquisitions. Cash flows from short-term derivative assets, net and the associated cash collateral we are required to post with our financial counterparties declined, as a result of reduced hedging activities. In addition, cash flows from accounts receivable, net declined as a result of increased volumes and higher average fuel prices per gallon sold. Offsetting these declines were increased cash flows from accounts payable primarily as a result of increased average fuel prices.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first nine months of 2017, net cash used in investing activities was $133.0 million as compared to $259.2 million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2016. The $126.2 million decrease in cash used in investing activities was primarily due to decreased cash used for the acquisition of businesses of $171.8 million partially offset by an $8.9 million increase in capital expenditures and $29.3 million related to the proceeds from the sale of a business in 2016.</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first nine months of 2017, net cash used in financing activities was $72.7 million as compared to $325.7 million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for the first nine months of 2016. The $398.4 million change was principally due to a $351.9 million decrease in net borrowings under our credit facility in the first nine months of 2017 as compared to the first nine months of 2016 and a $43.5 million increase in cash used for common stock repurchases in the first nine months of 2017 as compared to the first nine months of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September 30, 2017 and December 31, 2016, we had cash and cash equivalents of $546.0 million and $698.6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primary use of cash and cash equivalents are to fund working capital and strategic investments. We are usually extended unsecured trade credit from our suppliers for our fuel purchases. Increases in oil prices can negatively affect liquidity by increasing the amount of cash needed to fund fuel purchases as well as reducing the amount of fuel which we can purchase on an unsecured basis from our suppliers.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We had $840.0 million in Term Loans outstanding as of September 30, 2017 and December 31, 2016. We also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which permits borrowing up to $1.26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$297.0 million and $325.2 million as of September 30, 2017 and December 31, 2016, respectively. Our issued letters of credit under the Credit Facility totaled $6.5 million and $8.3 million as of September 30, 2017 and December 31, 2016, respectively. As of September 30, 2017 and December 31, 2016, the unused portion of our Credit Facility was $956.5 million and $926.5 million, respectively.</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also limited by, among other things our financial leverage ratio, which limits the total amount of indebtedness we may incur, and may therefore fluctuate from period to period.</w:t>
      </w:r>
    </w:p>
    <w:p>
      <w:pPr>
        <w:spacing w:after="0" w:line="18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September 30, 2017, we were in compliance with all financial covenants contained in our Credit Facility and our Term Loans.</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September 30, 2017 and December 31, 2016, our outstanding letters of credit and bank guarantees under these credit lines totaled $169.4 million and $176.5 million, respectively. We also have Receivables Purchase Agreements (“RPAs”) that allow for the sale of up to an aggregate of $600.0 million of our accounts receivable. As of September 30, 2017, we had sold accounts receivable of $381.0 million under the RPAs.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September 30, 2017, our short-term debt of $23.6 million primarily represents the current maturities (within the next twelve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Term Loan borrowings, certain promissory notes related to acquisitions and capital lease obligations.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planning phase and the cost incurred during the first nine months of 2017 was not material. We expect the total cost of the project over the next three years to range between $30.0 million and $40.0 million.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cash and cash equivalents as of September 30, 2017 (of which approximately $27.6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general, our foreign cash balances of approximately $518.4 million are not available to fund our U.S. operations unless the funds are repatriated or used to repay certain foreign intercompany loans, which could expose us to tax obligations we currently have not made a tax provision for in our results of operations. As of September 30, 2017, we intend to retain our foreign cash balances outside of the U.S., as we believe that our U.S. liquidity is sufficient to meet the anticipated cash requirements of our U.S. operations.</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2016 to September 30, 2017. For a discussion of these matters, refer to “Contractual Obligations and Off-Balance Sheet Arrangements” in Item 7 of our 2016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September 30, 2017, our net derivative obligations were $41.9 million, principally due within one year.</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September 30, 2017, fixed purchase commitments under our derivative programs amounted to $278.4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September 30, 2017, we had issued letters of credit and bank guarantees totaling $175.9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 Significant Accounting Policies in the “Notes to the Consolidated Financial Statements” in this 10-Q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September 30, 2017, see Notes to the Consolidated Financial Statements – </w:t>
      </w:r>
      <w:r>
        <w:rPr>
          <w:rFonts w:ascii="Arial" w:cs="Arial" w:eastAsia="Arial" w:hAnsi="Arial"/>
          <w:sz w:val="18"/>
          <w:szCs w:val="18"/>
          <w:i w:val="1"/>
          <w:iCs w:val="1"/>
          <w:color w:val="auto"/>
        </w:rPr>
        <w:t>Note 3.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2016. Please refer to our 2016 10-K Report for a complete discussion of our exposure to these risks.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September 30, 2017.</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2017.</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20, 2016, the Company was informed that the U.S. Department of Justice (the "DOJ") is conducting an investigation into the aviation fuel supply industry, including certain activities of the Company and other industry participants at an airport in Central America. In connection therewith, the Company was served with formal requests by the DOJ about its activities at that airport and its aviation fuel supply business more broadly. The Company continues to cooperate with the investigation.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are under review by the Internal Revenue Service and various other domestic and foreign tax authorities with regards to income tax and indirect tax matters and are involved in various challenges and litigation in a number of countries, including, in particular, the U.S., Brazil and South Korea, where the amounts under controversy may be significant. See notes 7 and 10 of the accompanying consolidated financial statements for additional details regarding certain tax matters.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September 30, 2017 (in thousands, except average price per share):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Number</w:t>
            </w:r>
          </w:p>
        </w:tc>
        <w:tc>
          <w:tcPr>
            <w:tcW w:w="420" w:type="dxa"/>
            <w:vAlign w:val="bottom"/>
          </w:tcPr>
          <w:p>
            <w:pPr>
              <w:spacing w:after="0"/>
              <w:rPr>
                <w:sz w:val="14"/>
                <w:szCs w:val="14"/>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Number</w:t>
            </w: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Shares Purchased</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as Part of Publicly</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Announced Plans</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7"/>
                <w:szCs w:val="7"/>
                <w:b w:val="1"/>
                <w:bCs w:val="1"/>
                <w:color w:val="auto"/>
              </w:rPr>
              <w:t>(1)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7"/>
                <w:szCs w:val="7"/>
                <w:b w:val="1"/>
                <w:bCs w:val="1"/>
                <w:color w:val="auto"/>
              </w:rPr>
              <w:t>(2) (3)</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7/1/2017 - 7/31/2017</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45,321</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8/1/2017 - 8/31/2017</w:t>
            </w:r>
          </w:p>
        </w:tc>
        <w:tc>
          <w:tcPr>
            <w:tcW w:w="12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33.99</w:t>
            </w:r>
          </w:p>
        </w:tc>
        <w:tc>
          <w:tcPr>
            <w:tcW w:w="100" w:type="dxa"/>
            <w:vAlign w:val="bottom"/>
          </w:tcPr>
          <w:p>
            <w:pPr>
              <w:spacing w:after="0"/>
              <w:rPr>
                <w:sz w:val="22"/>
                <w:szCs w:val="22"/>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15,330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9/1/2017 - 9/30/2017</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15,330</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886</w:t>
            </w: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33.99</w:t>
            </w:r>
          </w:p>
        </w:tc>
        <w:tc>
          <w:tcPr>
            <w:tcW w:w="1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882</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15,330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64" w:lineRule="auto"/>
        <w:tabs>
          <w:tab w:leader="none" w:pos="2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40" w:lineRule="exact"/>
        <w:rPr>
          <w:rFonts w:ascii="Arial" w:cs="Arial" w:eastAsia="Arial" w:hAnsi="Arial"/>
          <w:sz w:val="18"/>
          <w:szCs w:val="18"/>
          <w:color w:val="auto"/>
        </w:rPr>
      </w:pPr>
    </w:p>
    <w:p>
      <w:pPr>
        <w:jc w:val="both"/>
        <w:ind w:left="340" w:hanging="332"/>
        <w:spacing w:after="0" w:line="255" w:lineRule="auto"/>
        <w:tabs>
          <w:tab w:leader="none" w:pos="28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September 2016, our Board of Directors approved a common stock repurchase program which replaced the remainder of the prior authorization and authorized the purchase of up to $100.0 million in common stock (the “2016-2017 Repurchase Program”). The 2016-2017 Repurchase Program does not require a minimum number of shares of common stock to be purchased, has no expiration date and may be suspended or discontinued at any time. As of September 30, 2017, $15.3 million remains available for purchase under the 2016-2017 Repurchase Program. The timing and amount of shares of common stock to be repurchased under the 2016-2017 Repurchase Program will depend on market conditions, share price, securities law and other legal requirements and factors.</w:t>
      </w:r>
    </w:p>
    <w:p>
      <w:pPr>
        <w:spacing w:after="0" w:line="152" w:lineRule="exact"/>
        <w:rPr>
          <w:rFonts w:ascii="Arial" w:cs="Arial" w:eastAsia="Arial" w:hAnsi="Arial"/>
          <w:sz w:val="18"/>
          <w:szCs w:val="18"/>
          <w:color w:val="auto"/>
        </w:rPr>
      </w:pPr>
    </w:p>
    <w:p>
      <w:pPr>
        <w:ind w:left="340" w:hanging="332"/>
        <w:spacing w:after="0" w:line="257" w:lineRule="auto"/>
        <w:tabs>
          <w:tab w:leader="none" w:pos="27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October 2017, our Board of Directors approved a new common stock repurchase program which replaced the remainder of the 2016-2017 Repurchase Program and authorized the purchase of up to $100.0 million in common stock (the “2017-2018 Repurchase Program”). The 2017-2018 Repurchase Program does not require a minimum number of shares of common stock to be purchased, has no expiration date and may be suspended or discontinued at any time. The timing and amount of shares of common stock to be repurchased under the 2017-2018 Repurchase Program will depend on market conditions, share price, securities law and other legal requirements and factors.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196" w:lineRule="exact"/>
              <w:rPr>
                <w:rFonts w:ascii="Arial" w:cs="Arial" w:eastAsia="Arial" w:hAnsi="Arial"/>
                <w:sz w:val="18"/>
                <w:szCs w:val="18"/>
                <w:color w:val="0000FF"/>
                <w:w w:val="85"/>
              </w:rPr>
            </w:pPr>
            <w:hyperlink w:anchor="page4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37" w:lineRule="exact"/>
        <w:rPr>
          <w:sz w:val="20"/>
          <w:szCs w:val="20"/>
          <w:color w:val="auto"/>
        </w:rPr>
      </w:pPr>
    </w:p>
    <w:p>
      <w:pPr>
        <w:jc w:val="both"/>
        <w:ind w:left="1980" w:right="40" w:hanging="1357"/>
        <w:spacing w:after="0" w:line="259"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September 30, 2017,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September 30, 2017;</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2017</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September 30, 2017;</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31,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2017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5"/>
    </w:lvl>
  </w:abstractNum>
  <w:abstractNum w:abstractNumId="3">
    <w:nsid w:val="515F007C"/>
    <w:multiLevelType w:val="hybridMultilevel"/>
    <w:lvl w:ilvl="0">
      <w:lvlJc w:val="left"/>
      <w:lvlText w:val="%1."/>
      <w:numFmt w:val="decimal"/>
      <w:start w:val="10"/>
    </w:lvl>
  </w:abstractNum>
  <w:abstractNum w:abstractNumId="4">
    <w:nsid w:val="5BD062C2"/>
    <w:multiLevelType w:val="hybridMultilevel"/>
    <w:lvl w:ilvl="0">
      <w:lvlJc w:val="left"/>
      <w:lvlText w:val="\emdash "/>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2019-12-29T04:08:09Z</dcterms:created>
  <dcterms:modified xsi:type="dcterms:W3CDTF">2019-12-29T04:08:09Z</dcterms:modified>
</cp:coreProperties>
</file>