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23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2813685</wp:posOffset>
            </wp:positionH>
            <wp:positionV relativeFrom="paragraph">
              <wp:posOffset>290195</wp:posOffset>
            </wp:positionV>
            <wp:extent cx="162877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8775"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Report (Date of earliest event reported): October 14, 2015</w:t>
      </w:r>
    </w:p>
    <w:p>
      <w:pPr>
        <w:spacing w:after="0" w:line="23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WORLD FUEL SERVICES CORPORATION</w:t>
      </w:r>
    </w:p>
    <w:p>
      <w:pPr>
        <w:spacing w:after="0" w:line="19"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840" w:type="dxa"/>
        <w:tblCellMar>
          <w:top w:w="0" w:type="dxa"/>
          <w:left w:w="0" w:type="dxa"/>
          <w:bottom w:w="0" w:type="dxa"/>
          <w:right w:w="0" w:type="dxa"/>
        </w:tblCellMar>
      </w:tblPr>
      <w:tr>
        <w:trPr>
          <w:trHeight w:val="234"/>
        </w:trPr>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6"/>
              </w:rPr>
              <w:t>Florida</w:t>
            </w:r>
          </w:p>
        </w:tc>
        <w:tc>
          <w:tcPr>
            <w:tcW w:w="46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1-9533</w:t>
            </w:r>
          </w:p>
        </w:tc>
        <w:tc>
          <w:tcPr>
            <w:tcW w:w="2580" w:type="dxa"/>
            <w:vAlign w:val="bottom"/>
          </w:tcPr>
          <w:p>
            <w:pPr>
              <w:jc w:val="right"/>
              <w:ind w:right="130"/>
              <w:spacing w:after="0"/>
              <w:rPr>
                <w:sz w:val="20"/>
                <w:szCs w:val="20"/>
                <w:color w:val="auto"/>
              </w:rPr>
            </w:pPr>
            <w:r>
              <w:rPr>
                <w:rFonts w:ascii="Arial" w:cs="Arial" w:eastAsia="Arial" w:hAnsi="Arial"/>
                <w:sz w:val="18"/>
                <w:szCs w:val="18"/>
                <w:b w:val="1"/>
                <w:bCs w:val="1"/>
                <w:color w:val="auto"/>
              </w:rPr>
              <w:t>59-2459427</w:t>
            </w:r>
          </w:p>
        </w:tc>
      </w:tr>
      <w:tr>
        <w:trPr>
          <w:trHeight w:val="229"/>
        </w:trPr>
        <w:tc>
          <w:tcPr>
            <w:tcW w:w="2140" w:type="dxa"/>
            <w:vAlign w:val="bottom"/>
          </w:tcPr>
          <w:p>
            <w:pPr>
              <w:jc w:val="center"/>
              <w:spacing w:after="0"/>
              <w:rPr>
                <w:sz w:val="20"/>
                <w:szCs w:val="20"/>
                <w:color w:val="auto"/>
              </w:rPr>
            </w:pPr>
            <w:r>
              <w:rPr>
                <w:rFonts w:ascii="Arial" w:cs="Arial" w:eastAsia="Arial" w:hAnsi="Arial"/>
                <w:sz w:val="18"/>
                <w:szCs w:val="18"/>
                <w:color w:val="auto"/>
                <w:w w:val="93"/>
              </w:rPr>
              <w:t>(State or other jurisdiction of</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3"/>
              </w:rPr>
              <w:t>(Commission File</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30"/>
        </w:trPr>
        <w:tc>
          <w:tcPr>
            <w:tcW w:w="2140" w:type="dxa"/>
            <w:vAlign w:val="bottom"/>
          </w:tcPr>
          <w:p>
            <w:pPr>
              <w:jc w:val="center"/>
              <w:spacing w:after="0"/>
              <w:rPr>
                <w:sz w:val="20"/>
                <w:szCs w:val="20"/>
                <w:color w:val="auto"/>
              </w:rPr>
            </w:pPr>
            <w:r>
              <w:rPr>
                <w:rFonts w:ascii="Arial" w:cs="Arial" w:eastAsia="Arial" w:hAnsi="Arial"/>
                <w:sz w:val="18"/>
                <w:szCs w:val="18"/>
                <w:color w:val="auto"/>
                <w:w w:val="92"/>
              </w:rPr>
              <w:t>incorporation)</w:t>
            </w:r>
          </w:p>
        </w:tc>
        <w:tc>
          <w:tcPr>
            <w:tcW w:w="4640" w:type="dxa"/>
            <w:vAlign w:val="bottom"/>
          </w:tcPr>
          <w:p>
            <w:pPr>
              <w:jc w:val="center"/>
              <w:ind w:left="730"/>
              <w:spacing w:after="0"/>
              <w:rPr>
                <w:sz w:val="20"/>
                <w:szCs w:val="20"/>
                <w:color w:val="auto"/>
              </w:rPr>
            </w:pPr>
            <w:r>
              <w:rPr>
                <w:rFonts w:ascii="Arial" w:cs="Arial" w:eastAsia="Arial" w:hAnsi="Arial"/>
                <w:sz w:val="18"/>
                <w:szCs w:val="18"/>
                <w:color w:val="auto"/>
                <w:w w:val="94"/>
              </w:rPr>
              <w:t>Number)</w:t>
            </w:r>
          </w:p>
        </w:tc>
        <w:tc>
          <w:tcPr>
            <w:tcW w:w="2580" w:type="dxa"/>
            <w:vAlign w:val="bottom"/>
          </w:tcPr>
          <w:p>
            <w:pPr>
              <w:jc w:val="center"/>
              <w:ind w:left="1150"/>
              <w:spacing w:after="0"/>
              <w:rPr>
                <w:sz w:val="20"/>
                <w:szCs w:val="20"/>
                <w:color w:val="auto"/>
              </w:rPr>
            </w:pPr>
            <w:r>
              <w:rPr>
                <w:rFonts w:ascii="Arial" w:cs="Arial" w:eastAsia="Arial" w:hAnsi="Arial"/>
                <w:sz w:val="18"/>
                <w:szCs w:val="18"/>
                <w:color w:val="auto"/>
                <w:w w:val="95"/>
              </w:rPr>
              <w:t>Identification No.)</w:t>
            </w:r>
          </w:p>
        </w:tc>
      </w:tr>
      <w:tr>
        <w:trPr>
          <w:trHeight w:val="941"/>
        </w:trPr>
        <w:tc>
          <w:tcPr>
            <w:tcW w:w="2140" w:type="dxa"/>
            <w:vAlign w:val="bottom"/>
          </w:tcPr>
          <w:p>
            <w:pPr>
              <w:spacing w:after="0"/>
              <w:rPr>
                <w:sz w:val="24"/>
                <w:szCs w:val="24"/>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88"/>
              </w:rPr>
              <w:t>9800 N.W. 41</w:t>
            </w:r>
            <w:r>
              <w:rPr>
                <w:rFonts w:ascii="Arial" w:cs="Arial" w:eastAsia="Arial" w:hAnsi="Arial"/>
                <w:sz w:val="30"/>
                <w:szCs w:val="30"/>
                <w:b w:val="1"/>
                <w:bCs w:val="1"/>
                <w:color w:val="auto"/>
                <w:w w:val="88"/>
                <w:vertAlign w:val="superscript"/>
              </w:rPr>
              <w:t>st</w:t>
            </w:r>
            <w:r>
              <w:rPr>
                <w:rFonts w:ascii="Arial" w:cs="Arial" w:eastAsia="Arial" w:hAnsi="Arial"/>
                <w:sz w:val="18"/>
                <w:szCs w:val="18"/>
                <w:b w:val="1"/>
                <w:bCs w:val="1"/>
                <w:color w:val="auto"/>
                <w:w w:val="88"/>
              </w:rPr>
              <w:t xml:space="preserve"> Street</w:t>
            </w:r>
          </w:p>
        </w:tc>
        <w:tc>
          <w:tcPr>
            <w:tcW w:w="258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4640" w:type="dxa"/>
            <w:vAlign w:val="bottom"/>
          </w:tcPr>
          <w:p>
            <w:pPr>
              <w:jc w:val="center"/>
              <w:ind w:right="2850"/>
              <w:spacing w:after="0"/>
              <w:rPr>
                <w:sz w:val="20"/>
                <w:szCs w:val="20"/>
                <w:color w:val="auto"/>
              </w:rPr>
            </w:pPr>
            <w:r>
              <w:rPr>
                <w:rFonts w:ascii="Arial" w:cs="Arial" w:eastAsia="Arial" w:hAnsi="Arial"/>
                <w:sz w:val="18"/>
                <w:szCs w:val="18"/>
                <w:b w:val="1"/>
                <w:bCs w:val="1"/>
                <w:color w:val="auto"/>
                <w:w w:val="98"/>
              </w:rPr>
              <w:t>Miami, FL</w:t>
            </w:r>
          </w:p>
        </w:tc>
        <w:tc>
          <w:tcPr>
            <w:tcW w:w="2580" w:type="dxa"/>
            <w:vAlign w:val="bottom"/>
          </w:tcPr>
          <w:p>
            <w:pPr>
              <w:jc w:val="right"/>
              <w:ind w:right="350"/>
              <w:spacing w:after="0"/>
              <w:rPr>
                <w:sz w:val="20"/>
                <w:szCs w:val="20"/>
                <w:color w:val="auto"/>
              </w:rPr>
            </w:pPr>
            <w:r>
              <w:rPr>
                <w:rFonts w:ascii="Arial" w:cs="Arial" w:eastAsia="Arial" w:hAnsi="Arial"/>
                <w:sz w:val="18"/>
                <w:szCs w:val="18"/>
                <w:b w:val="1"/>
                <w:bCs w:val="1"/>
                <w:color w:val="auto"/>
              </w:rPr>
              <w:t>33178</w:t>
            </w:r>
          </w:p>
        </w:tc>
      </w:tr>
      <w:tr>
        <w:trPr>
          <w:trHeight w:val="243"/>
        </w:trPr>
        <w:tc>
          <w:tcPr>
            <w:tcW w:w="6780" w:type="dxa"/>
            <w:vAlign w:val="bottom"/>
            <w:gridSpan w:val="2"/>
          </w:tcPr>
          <w:p>
            <w:pPr>
              <w:jc w:val="center"/>
              <w:ind w:right="710"/>
              <w:spacing w:after="0"/>
              <w:rPr>
                <w:sz w:val="20"/>
                <w:szCs w:val="20"/>
                <w:color w:val="auto"/>
              </w:rPr>
            </w:pPr>
            <w:r>
              <w:rPr>
                <w:rFonts w:ascii="Arial" w:cs="Arial" w:eastAsia="Arial" w:hAnsi="Arial"/>
                <w:sz w:val="18"/>
                <w:szCs w:val="18"/>
                <w:color w:val="auto"/>
                <w:w w:val="92"/>
              </w:rPr>
              <w:t>(Address of principal executive offices)</w:t>
            </w:r>
          </w:p>
        </w:tc>
        <w:tc>
          <w:tcPr>
            <w:tcW w:w="2580" w:type="dxa"/>
            <w:vAlign w:val="bottom"/>
          </w:tcPr>
          <w:p>
            <w:pPr>
              <w:jc w:val="center"/>
              <w:ind w:left="1170"/>
              <w:spacing w:after="0"/>
              <w:rPr>
                <w:sz w:val="20"/>
                <w:szCs w:val="20"/>
                <w:color w:val="auto"/>
              </w:rPr>
            </w:pPr>
            <w:r>
              <w:rPr>
                <w:rFonts w:ascii="Arial" w:cs="Arial" w:eastAsia="Arial" w:hAnsi="Arial"/>
                <w:sz w:val="18"/>
                <w:szCs w:val="18"/>
                <w:color w:val="auto"/>
                <w:w w:val="94"/>
              </w:rPr>
              <w:t>(Zip Code)</w:t>
            </w:r>
          </w:p>
        </w:tc>
      </w:tr>
    </w:tbl>
    <w:p>
      <w:pPr>
        <w:spacing w:after="0" w:line="200" w:lineRule="exact"/>
        <w:rPr>
          <w:sz w:val="24"/>
          <w:szCs w:val="24"/>
          <w:color w:val="auto"/>
        </w:rPr>
      </w:pP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(305) 428-8000</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sz w:val="24"/>
          <w:szCs w:val="24"/>
          <w:color w:val="auto"/>
        </w:rPr>
      </w:pPr>
    </w:p>
    <w:p>
      <w:pPr>
        <w:ind w:left="1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3" w:right="35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22"/>
          <w:szCs w:val="22"/>
          <w:b w:val="1"/>
          <w:bCs w:val="1"/>
          <w:color w:val="auto"/>
        </w:rPr>
        <w:t>Item 7.01.</w:t>
      </w:r>
      <w:r>
        <w:rPr>
          <w:sz w:val="20"/>
          <w:szCs w:val="20"/>
          <w:color w:val="auto"/>
        </w:rPr>
        <w:tab/>
      </w:r>
      <w:r>
        <w:rPr>
          <w:rFonts w:ascii="Arial" w:cs="Arial" w:eastAsia="Arial" w:hAnsi="Arial"/>
          <w:sz w:val="19"/>
          <w:szCs w:val="19"/>
          <w:b w:val="1"/>
          <w:bCs w:val="1"/>
          <w:color w:val="auto"/>
        </w:rPr>
        <w:t>Regulation FD Disclosure</w:t>
      </w:r>
    </w:p>
    <w:p>
      <w:pPr>
        <w:spacing w:after="0" w:line="213" w:lineRule="exact"/>
        <w:rPr>
          <w:sz w:val="20"/>
          <w:szCs w:val="20"/>
          <w:color w:val="auto"/>
        </w:rPr>
      </w:pPr>
    </w:p>
    <w:p>
      <w:pPr>
        <w:jc w:val="both"/>
        <w:ind w:firstLine="405"/>
        <w:spacing w:after="0"/>
        <w:rPr>
          <w:sz w:val="20"/>
          <w:szCs w:val="20"/>
          <w:color w:val="auto"/>
        </w:rPr>
      </w:pPr>
      <w:r>
        <w:rPr>
          <w:rFonts w:ascii="Arial" w:cs="Arial" w:eastAsia="Arial" w:hAnsi="Arial"/>
          <w:sz w:val="22"/>
          <w:szCs w:val="22"/>
          <w:color w:val="auto"/>
        </w:rPr>
        <w:t>On October 14, 2015, World Fuel Services Corporation (the “Company”) issued a press release announcing that a conference call has been scheduled on Wednesday, October 28, 2015 at 5:00PM Eastern Time to discuss the Company’s third quarter results. A copy of the press release is attached hereto as Exhibit 99.1.</w:t>
      </w:r>
    </w:p>
    <w:p>
      <w:pPr>
        <w:spacing w:after="0" w:line="186" w:lineRule="exact"/>
        <w:rPr>
          <w:sz w:val="20"/>
          <w:szCs w:val="20"/>
          <w:color w:val="auto"/>
        </w:rPr>
      </w:pPr>
    </w:p>
    <w:p>
      <w:pPr>
        <w:jc w:val="both"/>
        <w:ind w:firstLine="405"/>
        <w:spacing w:after="0" w:line="297" w:lineRule="auto"/>
        <w:rPr>
          <w:sz w:val="20"/>
          <w:szCs w:val="20"/>
          <w:color w:val="auto"/>
        </w:rPr>
      </w:pPr>
      <w:r>
        <w:rPr>
          <w:rFonts w:ascii="Arial" w:cs="Arial" w:eastAsia="Arial" w:hAnsi="Arial"/>
          <w:sz w:val="19"/>
          <w:szCs w:val="19"/>
          <w:color w:val="auto"/>
        </w:rPr>
        <w:t>This information and the information contained in Exhibit 99.1 shall not be deemed “filed” for purposes of Section 18 of the Securities Exchange Act of 1934, as amended (the “Exchange Act”), or incorporated by reference in any filing under the Securities Act of 1933, as amended, or the Exchange Act, except as may be expressly set forth by specific reference in any such filing.</w:t>
      </w:r>
    </w:p>
    <w:p>
      <w:pPr>
        <w:spacing w:after="0" w:line="128" w:lineRule="exact"/>
        <w:rPr>
          <w:sz w:val="20"/>
          <w:szCs w:val="20"/>
          <w:color w:val="auto"/>
        </w:rPr>
      </w:pPr>
    </w:p>
    <w:p>
      <w:pPr>
        <w:spacing w:after="0"/>
        <w:tabs>
          <w:tab w:leader="none" w:pos="1120" w:val="left"/>
        </w:tabs>
        <w:rPr>
          <w:sz w:val="20"/>
          <w:szCs w:val="20"/>
          <w:color w:val="auto"/>
        </w:rPr>
      </w:pPr>
      <w:r>
        <w:rPr>
          <w:rFonts w:ascii="Arial" w:cs="Arial" w:eastAsia="Arial" w:hAnsi="Arial"/>
          <w:sz w:val="22"/>
          <w:szCs w:val="22"/>
          <w:b w:val="1"/>
          <w:bCs w:val="1"/>
          <w:color w:val="auto"/>
        </w:rPr>
        <w:t>Item 9.01.</w:t>
      </w:r>
      <w:r>
        <w:rPr>
          <w:sz w:val="20"/>
          <w:szCs w:val="20"/>
          <w:color w:val="auto"/>
        </w:rPr>
        <w:tab/>
      </w:r>
      <w:r>
        <w:rPr>
          <w:rFonts w:ascii="Arial" w:cs="Arial" w:eastAsia="Arial" w:hAnsi="Arial"/>
          <w:sz w:val="19"/>
          <w:szCs w:val="19"/>
          <w:b w:val="1"/>
          <w:bCs w:val="1"/>
          <w:color w:val="auto"/>
        </w:rPr>
        <w:t>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20" w:type="dxa"/>
            <w:vAlign w:val="bottom"/>
          </w:tcPr>
          <w:p>
            <w:pPr>
              <w:ind w:left="420"/>
              <w:spacing w:after="0"/>
              <w:rPr>
                <w:sz w:val="20"/>
                <w:szCs w:val="20"/>
                <w:color w:val="auto"/>
              </w:rPr>
            </w:pPr>
            <w:r>
              <w:rPr>
                <w:rFonts w:ascii="Arial" w:cs="Arial" w:eastAsia="Arial" w:hAnsi="Arial"/>
                <w:sz w:val="22"/>
                <w:szCs w:val="22"/>
                <w:color w:val="auto"/>
              </w:rPr>
              <w:t>(d)</w:t>
            </w:r>
          </w:p>
        </w:tc>
        <w:tc>
          <w:tcPr>
            <w:tcW w:w="1500" w:type="dxa"/>
            <w:vAlign w:val="bottom"/>
            <w:gridSpan w:val="2"/>
          </w:tcPr>
          <w:p>
            <w:pPr>
              <w:ind w:left="280"/>
              <w:spacing w:after="0"/>
              <w:rPr>
                <w:sz w:val="20"/>
                <w:szCs w:val="20"/>
                <w:color w:val="auto"/>
              </w:rPr>
            </w:pPr>
            <w:r>
              <w:rPr>
                <w:rFonts w:ascii="Arial" w:cs="Arial" w:eastAsia="Arial" w:hAnsi="Arial"/>
                <w:sz w:val="22"/>
                <w:szCs w:val="22"/>
                <w:color w:val="auto"/>
              </w:rPr>
              <w:t>Exhibits</w:t>
            </w:r>
          </w:p>
        </w:tc>
        <w:tc>
          <w:tcPr>
            <w:tcW w:w="1100" w:type="dxa"/>
            <w:vAlign w:val="bottom"/>
          </w:tcPr>
          <w:p>
            <w:pPr>
              <w:spacing w:after="0"/>
              <w:rPr>
                <w:sz w:val="23"/>
                <w:szCs w:val="23"/>
                <w:color w:val="auto"/>
              </w:rPr>
            </w:pPr>
          </w:p>
        </w:tc>
        <w:tc>
          <w:tcPr>
            <w:tcW w:w="8000" w:type="dxa"/>
            <w:vAlign w:val="bottom"/>
          </w:tcPr>
          <w:p>
            <w:pPr>
              <w:spacing w:after="0"/>
              <w:rPr>
                <w:sz w:val="23"/>
                <w:szCs w:val="23"/>
                <w:color w:val="auto"/>
              </w:rPr>
            </w:pPr>
          </w:p>
        </w:tc>
      </w:tr>
      <w:tr>
        <w:trPr>
          <w:trHeight w:val="409"/>
        </w:trPr>
        <w:tc>
          <w:tcPr>
            <w:tcW w:w="820" w:type="dxa"/>
            <w:vAlign w:val="bottom"/>
          </w:tcPr>
          <w:p>
            <w:pPr>
              <w:spacing w:after="0"/>
              <w:rPr>
                <w:sz w:val="24"/>
                <w:szCs w:val="24"/>
                <w:color w:val="auto"/>
              </w:rPr>
            </w:pPr>
          </w:p>
        </w:tc>
        <w:tc>
          <w:tcPr>
            <w:tcW w:w="1500" w:type="dxa"/>
            <w:vAlign w:val="bottom"/>
            <w:gridSpan w:val="2"/>
          </w:tcPr>
          <w:p>
            <w:pPr>
              <w:jc w:val="center"/>
              <w:ind w:right="500"/>
              <w:spacing w:after="0"/>
              <w:rPr>
                <w:sz w:val="20"/>
                <w:szCs w:val="20"/>
                <w:color w:val="auto"/>
              </w:rPr>
            </w:pPr>
            <w:r>
              <w:rPr>
                <w:rFonts w:ascii="Arial" w:cs="Arial" w:eastAsia="Arial" w:hAnsi="Arial"/>
                <w:sz w:val="22"/>
                <w:szCs w:val="22"/>
                <w:color w:val="auto"/>
                <w:w w:val="93"/>
              </w:rPr>
              <w:t>Exhibit No.</w:t>
            </w:r>
          </w:p>
        </w:tc>
        <w:tc>
          <w:tcPr>
            <w:tcW w:w="9100" w:type="dxa"/>
            <w:vAlign w:val="bottom"/>
            <w:gridSpan w:val="2"/>
          </w:tcPr>
          <w:p>
            <w:pPr>
              <w:spacing w:after="0"/>
              <w:rPr>
                <w:sz w:val="20"/>
                <w:szCs w:val="20"/>
                <w:color w:val="auto"/>
              </w:rPr>
            </w:pPr>
            <w:r>
              <w:rPr>
                <w:rFonts w:ascii="Arial" w:cs="Arial" w:eastAsia="Arial" w:hAnsi="Arial"/>
                <w:sz w:val="22"/>
                <w:szCs w:val="22"/>
                <w:color w:val="auto"/>
              </w:rPr>
              <w:t>Description</w:t>
            </w:r>
          </w:p>
        </w:tc>
      </w:tr>
      <w:tr>
        <w:trPr>
          <w:trHeight w:val="20"/>
        </w:trPr>
        <w:tc>
          <w:tcPr>
            <w:tcW w:w="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r>
        <w:trPr>
          <w:trHeight w:val="490"/>
        </w:trPr>
        <w:tc>
          <w:tcPr>
            <w:tcW w:w="820" w:type="dxa"/>
            <w:vAlign w:val="bottom"/>
          </w:tcPr>
          <w:p>
            <w:pPr>
              <w:spacing w:after="0"/>
              <w:rPr>
                <w:sz w:val="24"/>
                <w:szCs w:val="24"/>
                <w:color w:val="auto"/>
              </w:rPr>
            </w:pPr>
          </w:p>
        </w:tc>
        <w:tc>
          <w:tcPr>
            <w:tcW w:w="1000" w:type="dxa"/>
            <w:vAlign w:val="bottom"/>
          </w:tcPr>
          <w:p>
            <w:pPr>
              <w:jc w:val="right"/>
              <w:ind w:right="192"/>
              <w:spacing w:after="0"/>
              <w:rPr>
                <w:sz w:val="20"/>
                <w:szCs w:val="20"/>
                <w:color w:val="auto"/>
              </w:rPr>
            </w:pPr>
            <w:r>
              <w:rPr>
                <w:rFonts w:ascii="Arial" w:cs="Arial" w:eastAsia="Arial" w:hAnsi="Arial"/>
                <w:sz w:val="22"/>
                <w:szCs w:val="22"/>
                <w:color w:val="auto"/>
              </w:rPr>
              <w:t>99.1</w:t>
            </w:r>
          </w:p>
        </w:tc>
        <w:tc>
          <w:tcPr>
            <w:tcW w:w="500" w:type="dxa"/>
            <w:vAlign w:val="bottom"/>
          </w:tcPr>
          <w:p>
            <w:pPr>
              <w:spacing w:after="0"/>
              <w:rPr>
                <w:sz w:val="24"/>
                <w:szCs w:val="24"/>
                <w:color w:val="auto"/>
              </w:rPr>
            </w:pPr>
          </w:p>
        </w:tc>
        <w:tc>
          <w:tcPr>
            <w:tcW w:w="9100" w:type="dxa"/>
            <w:vAlign w:val="bottom"/>
            <w:gridSpan w:val="2"/>
          </w:tcPr>
          <w:p>
            <w:pPr>
              <w:ind w:left="60"/>
              <w:spacing w:after="0"/>
              <w:rPr>
                <w:sz w:val="20"/>
                <w:szCs w:val="20"/>
                <w:color w:val="auto"/>
              </w:rPr>
            </w:pPr>
            <w:r>
              <w:rPr>
                <w:rFonts w:ascii="Arial" w:cs="Arial" w:eastAsia="Arial" w:hAnsi="Arial"/>
                <w:sz w:val="22"/>
                <w:szCs w:val="22"/>
                <w:color w:val="auto"/>
              </w:rPr>
              <w:t>Press Release, dated October 14, 2015.</w:t>
            </w:r>
          </w:p>
        </w:tc>
      </w:tr>
      <w:tr>
        <w:trPr>
          <w:trHeight w:val="206"/>
        </w:trPr>
        <w:tc>
          <w:tcPr>
            <w:tcW w:w="820" w:type="dxa"/>
            <w:vAlign w:val="bottom"/>
            <w:tcBorders>
              <w:bottom w:val="single" w:sz="8" w:color="9A9A9A"/>
            </w:tcBorders>
          </w:tcPr>
          <w:p>
            <w:pPr>
              <w:spacing w:after="0"/>
              <w:rPr>
                <w:sz w:val="17"/>
                <w:szCs w:val="17"/>
                <w:color w:val="auto"/>
              </w:rPr>
            </w:pPr>
          </w:p>
        </w:tc>
        <w:tc>
          <w:tcPr>
            <w:tcW w:w="1000" w:type="dxa"/>
            <w:vAlign w:val="bottom"/>
            <w:tcBorders>
              <w:bottom w:val="single" w:sz="8" w:color="9A9A9A"/>
            </w:tcBorders>
          </w:tcPr>
          <w:p>
            <w:pPr>
              <w:spacing w:after="0"/>
              <w:rPr>
                <w:sz w:val="17"/>
                <w:szCs w:val="17"/>
                <w:color w:val="auto"/>
              </w:rPr>
            </w:pPr>
          </w:p>
        </w:tc>
        <w:tc>
          <w:tcPr>
            <w:tcW w:w="500" w:type="dxa"/>
            <w:vAlign w:val="bottom"/>
            <w:tcBorders>
              <w:bottom w:val="single" w:sz="8" w:color="9A9A9A"/>
            </w:tcBorders>
          </w:tcPr>
          <w:p>
            <w:pPr>
              <w:spacing w:after="0"/>
              <w:rPr>
                <w:sz w:val="17"/>
                <w:szCs w:val="17"/>
                <w:color w:val="auto"/>
              </w:rPr>
            </w:pPr>
          </w:p>
        </w:tc>
        <w:tc>
          <w:tcPr>
            <w:tcW w:w="1100" w:type="dxa"/>
            <w:vAlign w:val="bottom"/>
            <w:tcBorders>
              <w:bottom w:val="single" w:sz="8" w:color="9A9A9A"/>
            </w:tcBorders>
          </w:tcPr>
          <w:p>
            <w:pPr>
              <w:spacing w:after="0"/>
              <w:rPr>
                <w:sz w:val="17"/>
                <w:szCs w:val="17"/>
                <w:color w:val="auto"/>
              </w:rPr>
            </w:pPr>
          </w:p>
        </w:tc>
        <w:tc>
          <w:tcPr>
            <w:tcW w:w="8000" w:type="dxa"/>
            <w:vAlign w:val="bottom"/>
            <w:tcBorders>
              <w:bottom w:val="single" w:sz="8" w:color="9A9A9A"/>
            </w:tcBorders>
          </w:tcPr>
          <w:p>
            <w:pPr>
              <w:spacing w:after="0"/>
              <w:rPr>
                <w:sz w:val="17"/>
                <w:szCs w:val="17"/>
                <w:color w:val="auto"/>
              </w:rPr>
            </w:pPr>
          </w:p>
        </w:tc>
      </w:tr>
      <w:tr>
        <w:trPr>
          <w:trHeight w:val="21"/>
        </w:trPr>
        <w:tc>
          <w:tcPr>
            <w:tcW w:w="82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80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-46355</wp:posOffset>
            </wp:positionV>
            <wp:extent cx="34290"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-46355</wp:posOffset>
            </wp:positionV>
            <wp:extent cx="34290" cy="596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spacing w:after="0"/>
        <w:tabs>
          <w:tab w:leader="none" w:pos="560" w:val="left"/>
          <w:tab w:leader="none" w:pos="5700" w:val="left"/>
        </w:tabs>
        <w:rPr>
          <w:sz w:val="20"/>
          <w:szCs w:val="20"/>
          <w:color w:val="auto"/>
        </w:rPr>
      </w:pPr>
      <w:r>
        <w:rPr>
          <w:rFonts w:ascii="Arial" w:cs="Arial" w:eastAsia="Arial" w:hAnsi="Arial"/>
          <w:sz w:val="18"/>
          <w:szCs w:val="18"/>
          <w:color w:val="auto"/>
        </w:rPr>
        <w:t>Date:</w:t>
        <w:tab/>
        <w:t>October 14, 2015</w:t>
      </w:r>
      <w:r>
        <w:rPr>
          <w:sz w:val="20"/>
          <w:szCs w:val="20"/>
          <w:color w:val="auto"/>
        </w:rPr>
        <w:tab/>
      </w:r>
      <w:r>
        <w:rPr>
          <w:rFonts w:ascii="Arial" w:cs="Arial" w:eastAsia="Arial" w:hAnsi="Arial"/>
          <w:sz w:val="16"/>
          <w:szCs w:val="16"/>
          <w:b w:val="1"/>
          <w:bCs w:val="1"/>
          <w:color w:val="auto"/>
        </w:rPr>
        <w:t>World Fuel Services Corporation</w:t>
      </w:r>
    </w:p>
    <w:p>
      <w:pPr>
        <w:spacing w:after="0" w:line="200" w:lineRule="exact"/>
        <w:rPr>
          <w:sz w:val="20"/>
          <w:szCs w:val="20"/>
          <w:color w:val="auto"/>
        </w:rPr>
      </w:pPr>
    </w:p>
    <w:p>
      <w:pPr>
        <w:spacing w:after="0" w:line="32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 Alexander Lake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23495</wp:posOffset>
            </wp:positionV>
            <wp:extent cx="27527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 Alexander Lake</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General Counsel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00"/>
          </w:cols>
          <w:pgMar w:left="240" w:top="111" w:right="259" w:bottom="1440" w:gutter="0" w:footer="0" w:header="0"/>
        </w:sectPr>
      </w:pPr>
    </w:p>
    <w:bookmarkStart w:id="3" w:name="page4"/>
    <w:bookmarkEnd w:id="3"/>
    <w:p>
      <w:pPr>
        <w:jc w:val="right"/>
        <w:ind w:right="3719"/>
        <w:spacing w:after="0"/>
        <w:rPr>
          <w:sz w:val="20"/>
          <w:szCs w:val="20"/>
          <w:color w:val="auto"/>
        </w:rPr>
      </w:pPr>
      <w:r>
        <w:rPr>
          <w:rFonts w:ascii="Arial" w:cs="Arial" w:eastAsia="Arial" w:hAnsi="Arial"/>
          <w:sz w:val="22"/>
          <w:szCs w:val="22"/>
          <w:color w:val="auto"/>
        </w:rPr>
        <w:t>EXHIBIT INDEX</w:t>
      </w:r>
    </w:p>
    <w:p>
      <w:pPr>
        <w:spacing w:after="0" w:line="200" w:lineRule="exact"/>
        <w:rPr>
          <w:sz w:val="20"/>
          <w:szCs w:val="20"/>
          <w:color w:val="auto"/>
        </w:rPr>
      </w:pPr>
    </w:p>
    <w:p>
      <w:pPr>
        <w:spacing w:after="0" w:line="27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October 14, 2015.</w:t>
      </w:r>
    </w:p>
    <w:p>
      <w:pPr>
        <w:sectPr>
          <w:pgSz w:w="11900" w:h="16838" w:orient="portrait"/>
          <w:cols w:equalWidth="0" w:num="1">
            <w:col w:w="10219"/>
          </w:cols>
          <w:pgMar w:left="240" w:top="118"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Fuel Services Corporation to Host Third Quarter 2015 Earnings Conference Call</w:t>
      </w:r>
    </w:p>
    <w:p>
      <w:pPr>
        <w:spacing w:after="0" w:line="212" w:lineRule="exact"/>
        <w:rPr>
          <w:sz w:val="20"/>
          <w:szCs w:val="20"/>
          <w:color w:val="auto"/>
        </w:rPr>
      </w:pPr>
    </w:p>
    <w:p>
      <w:pPr>
        <w:jc w:val="both"/>
        <w:ind w:right="420"/>
        <w:spacing w:after="0" w:line="258" w:lineRule="auto"/>
        <w:rPr>
          <w:sz w:val="20"/>
          <w:szCs w:val="20"/>
          <w:color w:val="auto"/>
        </w:rPr>
      </w:pPr>
      <w:r>
        <w:rPr>
          <w:rFonts w:ascii="Arial" w:cs="Arial" w:eastAsia="Arial" w:hAnsi="Arial"/>
          <w:sz w:val="21"/>
          <w:szCs w:val="21"/>
          <w:color w:val="auto"/>
        </w:rPr>
        <w:t>MIAMI--(BUSINESS WIRE)--October 14, 2015--World Fuel Services Corporation (NYSE:INT) invites you to participate in a conference call with its management team on Wednesday, October 28, 2015 at 5:00PM Eastern Time to discuss the Company’s third quarter results, which it plans to release after the close of the market on the same date.</w:t>
      </w:r>
    </w:p>
    <w:p>
      <w:pPr>
        <w:spacing w:after="0" w:line="167" w:lineRule="exact"/>
        <w:rPr>
          <w:sz w:val="20"/>
          <w:szCs w:val="20"/>
          <w:color w:val="auto"/>
        </w:rPr>
      </w:pPr>
    </w:p>
    <w:p>
      <w:pPr>
        <w:jc w:val="both"/>
        <w:ind w:right="360"/>
        <w:spacing w:after="0" w:line="297" w:lineRule="auto"/>
        <w:rPr>
          <w:sz w:val="20"/>
          <w:szCs w:val="20"/>
          <w:color w:val="auto"/>
        </w:rPr>
      </w:pPr>
      <w:r>
        <w:rPr>
          <w:rFonts w:ascii="Arial" w:cs="Arial" w:eastAsia="Arial" w:hAnsi="Arial"/>
          <w:sz w:val="19"/>
          <w:szCs w:val="19"/>
          <w:color w:val="auto"/>
        </w:rPr>
        <w:t>The live conference call will be accessible by telephone at (800) 706-9233 (within the United States and Canada) or (303) 223-4391 (International). Audio replay of the call will be available through November 11, 2015. The replay numbers are: (800) 633-8284 (within the United States and Canada) and (402) 977-9140 (International). The call ID is 21779993.</w:t>
      </w:r>
    </w:p>
    <w:p>
      <w:pPr>
        <w:spacing w:after="0" w:line="134" w:lineRule="exact"/>
        <w:rPr>
          <w:sz w:val="20"/>
          <w:szCs w:val="20"/>
          <w:color w:val="auto"/>
        </w:rPr>
      </w:pPr>
    </w:p>
    <w:p>
      <w:pPr>
        <w:ind w:right="60"/>
        <w:spacing w:after="0" w:line="258" w:lineRule="auto"/>
        <w:rPr>
          <w:sz w:val="20"/>
          <w:szCs w:val="20"/>
          <w:color w:val="auto"/>
        </w:rPr>
      </w:pPr>
      <w:r>
        <w:rPr>
          <w:rFonts w:ascii="Arial" w:cs="Arial" w:eastAsia="Arial" w:hAnsi="Arial"/>
          <w:sz w:val="21"/>
          <w:szCs w:val="21"/>
          <w:color w:val="auto"/>
        </w:rPr>
        <w:t xml:space="preserve">The conference call will also be available via live webcast. The live webcast may be accessed by visiting the Company’s website at </w:t>
      </w:r>
      <w:r>
        <w:rPr>
          <w:rFonts w:ascii="Arial" w:cs="Arial" w:eastAsia="Arial" w:hAnsi="Arial"/>
          <w:sz w:val="21"/>
          <w:szCs w:val="21"/>
          <w:u w:val="single" w:color="auto"/>
          <w:color w:val="auto"/>
        </w:rPr>
        <w:t>www.wfscorp.com</w:t>
      </w:r>
      <w:r>
        <w:rPr>
          <w:rFonts w:ascii="Arial" w:cs="Arial" w:eastAsia="Arial" w:hAnsi="Arial"/>
          <w:sz w:val="21"/>
          <w:szCs w:val="21"/>
          <w:color w:val="auto"/>
        </w:rPr>
        <w:t xml:space="preserve"> and clicking on the webcast icon. An archive of the webcast will be available on the Company’s website two hours after the completion of the live call and will remain available until November 11, 2015.</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About World Fuel Services Corporation</w:t>
      </w:r>
    </w:p>
    <w:p>
      <w:pPr>
        <w:spacing w:after="0" w:line="206" w:lineRule="exact"/>
        <w:rPr>
          <w:sz w:val="20"/>
          <w:szCs w:val="20"/>
          <w:color w:val="auto"/>
        </w:rPr>
      </w:pPr>
    </w:p>
    <w:p>
      <w:pPr>
        <w:ind w:right="40"/>
        <w:spacing w:after="0" w:line="238" w:lineRule="auto"/>
        <w:rPr>
          <w:sz w:val="20"/>
          <w:szCs w:val="20"/>
          <w:color w:val="auto"/>
        </w:rPr>
      </w:pPr>
      <w:r>
        <w:rPr>
          <w:rFonts w:ascii="Arial" w:cs="Arial" w:eastAsia="Arial" w:hAnsi="Arial"/>
          <w:sz w:val="22"/>
          <w:szCs w:val="22"/>
          <w:color w:val="auto"/>
        </w:rPr>
        <w:t>Headquartered in Miami, Florida, World Fuel Services is a global fuel logistics, transaction and payment processing company, principally engaged in the distribution of fuel and related products and services in the aviation, marine and land transportation industries. World Fuel Services sells fuel and delivers services to its clients at more than 8,000 locations in more than 200 countries and territories worldwide.</w:t>
      </w:r>
    </w:p>
    <w:p>
      <w:pPr>
        <w:spacing w:after="0" w:line="185" w:lineRule="exact"/>
        <w:rPr>
          <w:sz w:val="20"/>
          <w:szCs w:val="20"/>
          <w:color w:val="auto"/>
        </w:rPr>
      </w:pPr>
    </w:p>
    <w:p>
      <w:pPr>
        <w:ind w:right="60"/>
        <w:spacing w:after="0" w:line="277" w:lineRule="auto"/>
        <w:rPr>
          <w:sz w:val="20"/>
          <w:szCs w:val="20"/>
          <w:color w:val="auto"/>
        </w:rPr>
      </w:pPr>
      <w:r>
        <w:rPr>
          <w:rFonts w:ascii="Arial" w:cs="Arial" w:eastAsia="Arial" w:hAnsi="Arial"/>
          <w:sz w:val="19"/>
          <w:szCs w:val="19"/>
          <w:color w:val="auto"/>
        </w:rPr>
        <w:t xml:space="preserve">The company's global team of market makers provides deep domain expertise in all aspects of aviation, marine and land fuel management. Aviation customers include commercial airlines, cargo carriers, private aircraft and fixed base operators (FBOs), as well as the United States and foreign governments. World Fuel Services' marine customers include international container and tanker fleets, cruise lines and time-charter operators, as well as the United States and foreign governments. Land customers include petroleum distributors, retail petroleum operators, and industrial, commercial, and government accounts. The company also offers transaction management services which consist of card payment solutions and merchant processing services to customers in the aviation, marine and land transportation industries. For more information, call 305-428-8000 or visit </w:t>
      </w:r>
      <w:r>
        <w:rPr>
          <w:rFonts w:ascii="Arial" w:cs="Arial" w:eastAsia="Arial" w:hAnsi="Arial"/>
          <w:sz w:val="19"/>
          <w:szCs w:val="19"/>
          <w:u w:val="single" w:color="auto"/>
          <w:color w:val="auto"/>
        </w:rPr>
        <w:t>www.wfscorp.com</w:t>
      </w:r>
      <w:r>
        <w:rPr>
          <w:rFonts w:ascii="Arial" w:cs="Arial" w:eastAsia="Arial" w:hAnsi="Arial"/>
          <w:sz w:val="19"/>
          <w:szCs w:val="19"/>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World Fuel Services Corporation</w:t>
      </w:r>
    </w:p>
    <w:p>
      <w:pPr>
        <w:spacing w:after="0" w:line="230" w:lineRule="auto"/>
        <w:rPr>
          <w:sz w:val="20"/>
          <w:szCs w:val="20"/>
          <w:color w:val="auto"/>
        </w:rPr>
      </w:pPr>
      <w:r>
        <w:rPr>
          <w:rFonts w:ascii="Arial" w:cs="Arial" w:eastAsia="Arial" w:hAnsi="Arial"/>
          <w:sz w:val="22"/>
          <w:szCs w:val="22"/>
          <w:color w:val="auto"/>
        </w:rPr>
        <w:t>Ira M. Birns, Executive Vice President &amp; Chief Financial Officer</w:t>
      </w:r>
    </w:p>
    <w:p>
      <w:pPr>
        <w:spacing w:after="0" w:line="231"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Glenn Klevitz, Vice President &amp; Assistant Treasurer</w:t>
      </w:r>
    </w:p>
    <w:p>
      <w:pPr>
        <w:spacing w:after="0"/>
        <w:rPr>
          <w:sz w:val="20"/>
          <w:szCs w:val="20"/>
          <w:color w:val="auto"/>
        </w:rPr>
      </w:pPr>
      <w:r>
        <w:rPr>
          <w:rFonts w:ascii="Arial" w:cs="Arial" w:eastAsia="Arial" w:hAnsi="Arial"/>
          <w:sz w:val="22"/>
          <w:szCs w:val="22"/>
          <w:color w:val="auto"/>
        </w:rPr>
        <w:t>305-428-8000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2019-12-05T23:38:39Z</dcterms:created>
  <dcterms:modified xsi:type="dcterms:W3CDTF">2019-12-05T23:38:39Z</dcterms:modified>
</cp:coreProperties>
</file>