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October 25, 2018</w:t>
      </w: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WORLD FUEL SERVICES CORPORATION</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679"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74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59-2459427</w:t>
      </w:r>
    </w:p>
    <w:p>
      <w:pPr>
        <w:spacing w:after="0" w:line="50" w:lineRule="exact"/>
        <w:rPr>
          <w:sz w:val="24"/>
          <w:szCs w:val="24"/>
          <w:color w:val="auto"/>
        </w:rPr>
      </w:pPr>
    </w:p>
    <w:p>
      <w:pPr>
        <w:sectPr>
          <w:pgSz w:w="11900" w:h="16838" w:orient="portrait"/>
          <w:cols w:equalWidth="0" w:num="3">
            <w:col w:w="4920" w:space="720"/>
            <w:col w:w="3260" w:space="720"/>
            <w:col w:w="1760"/>
          </w:cols>
          <w:pgMar w:left="240" w:top="679" w:right="279" w:bottom="1440" w:gutter="0" w:footer="0" w:header="0"/>
          <w:type w:val="continuous"/>
        </w:sectPr>
      </w:pPr>
    </w:p>
    <w:p>
      <w:pPr>
        <w:ind w:left="18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3180" w:space="720"/>
            <w:col w:w="2420"/>
          </w:cols>
          <w:pgMar w:left="240" w:top="679"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760" w:type="dxa"/>
            <w:vAlign w:val="bottom"/>
          </w:tcPr>
          <w:p>
            <w:pPr>
              <w:jc w:val="center"/>
              <w:ind w:right="5294"/>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33178</w:t>
            </w:r>
          </w:p>
        </w:tc>
        <w:tc>
          <w:tcPr>
            <w:tcW w:w="0" w:type="dxa"/>
            <w:vAlign w:val="bottom"/>
          </w:tcPr>
          <w:p>
            <w:pPr>
              <w:spacing w:after="0"/>
              <w:rPr>
                <w:sz w:val="1"/>
                <w:szCs w:val="1"/>
                <w:color w:val="auto"/>
              </w:rPr>
            </w:pPr>
          </w:p>
        </w:tc>
      </w:tr>
      <w:tr>
        <w:trPr>
          <w:trHeight w:val="180"/>
        </w:trPr>
        <w:tc>
          <w:tcPr>
            <w:tcW w:w="7760" w:type="dxa"/>
            <w:vAlign w:val="bottom"/>
          </w:tcPr>
          <w:p>
            <w:pPr>
              <w:jc w:val="center"/>
              <w:ind w:right="5314"/>
              <w:spacing w:after="0" w:line="181" w:lineRule="exact"/>
              <w:rPr>
                <w:sz w:val="20"/>
                <w:szCs w:val="20"/>
                <w:color w:val="auto"/>
              </w:rPr>
            </w:pPr>
            <w:r>
              <w:rPr>
                <w:rFonts w:ascii="Arial" w:cs="Arial" w:eastAsia="Arial" w:hAnsi="Arial"/>
                <w:sz w:val="18"/>
                <w:szCs w:val="18"/>
                <w:b w:val="1"/>
                <w:bCs w:val="1"/>
                <w:color w:val="auto"/>
                <w:w w:val="95"/>
              </w:rPr>
              <w:t>Miami, Florida</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760" w:type="dxa"/>
            <w:vAlign w:val="bottom"/>
          </w:tcPr>
          <w:p>
            <w:pPr>
              <w:jc w:val="center"/>
              <w:ind w:right="52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374"/>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444"/>
        </w:trPr>
        <w:tc>
          <w:tcPr>
            <w:tcW w:w="7760" w:type="dxa"/>
            <w:vAlign w:val="bottom"/>
          </w:tcPr>
          <w:p>
            <w:pPr>
              <w:ind w:left="2120"/>
              <w:spacing w:after="0"/>
              <w:rPr>
                <w:sz w:val="20"/>
                <w:szCs w:val="20"/>
                <w:color w:val="auto"/>
              </w:rPr>
            </w:pPr>
            <w:r>
              <w:rPr>
                <w:rFonts w:ascii="Arial" w:cs="Arial" w:eastAsia="Arial" w:hAnsi="Arial"/>
                <w:sz w:val="18"/>
                <w:szCs w:val="18"/>
                <w:b w:val="1"/>
                <w:bCs w:val="1"/>
                <w:color w:val="auto"/>
                <w:w w:val="97"/>
              </w:rPr>
              <w:t>Registrant’s telephone number, including area code: (305) 428-8000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679"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25, 2018, World Fuel Services Corporation (the “Company”) issued a press release reporting its financial results for the third quarter ended September 30, 2018.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210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86"/>
              </w:rPr>
              <w:t>Press Release, dated October 25, 2018</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October 25, 2018</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9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80" w:type="dxa"/>
            <w:vAlign w:val="bottom"/>
          </w:tcPr>
          <w:p>
            <w:pPr>
              <w:ind w:left="1580"/>
              <w:spacing w:after="0"/>
              <w:rPr>
                <w:sz w:val="20"/>
                <w:szCs w:val="20"/>
                <w:color w:val="auto"/>
              </w:rPr>
            </w:pPr>
            <w:r>
              <w:rPr>
                <w:rFonts w:ascii="Arial" w:cs="Arial" w:eastAsia="Arial" w:hAnsi="Arial"/>
                <w:sz w:val="22"/>
                <w:szCs w:val="22"/>
                <w:color w:val="auto"/>
              </w:rPr>
              <w:t>EXHIBIT INDEX</w:t>
            </w:r>
          </w:p>
        </w:tc>
      </w:tr>
      <w:tr>
        <w:trPr>
          <w:trHeight w:val="625"/>
        </w:trPr>
        <w:tc>
          <w:tcPr>
            <w:tcW w:w="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80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196"/>
        </w:trPr>
        <w:tc>
          <w:tcPr>
            <w:tcW w:w="360" w:type="dxa"/>
            <w:vAlign w:val="bottom"/>
            <w:gridSpan w:val="2"/>
          </w:tcPr>
          <w:p>
            <w:pPr>
              <w:ind w:left="40"/>
              <w:spacing w:after="0" w:line="182"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80" w:type="dxa"/>
            <w:vAlign w:val="bottom"/>
          </w:tcPr>
          <w:p>
            <w:pPr>
              <w:ind w:left="20"/>
              <w:spacing w:after="0" w:line="182" w:lineRule="exact"/>
              <w:rPr>
                <w:sz w:val="20"/>
                <w:szCs w:val="20"/>
                <w:color w:val="auto"/>
              </w:rPr>
            </w:pPr>
            <w:r>
              <w:rPr>
                <w:rFonts w:ascii="Arial" w:cs="Arial" w:eastAsia="Arial" w:hAnsi="Arial"/>
                <w:sz w:val="18"/>
                <w:szCs w:val="18"/>
                <w:color w:val="auto"/>
              </w:rPr>
              <w:t>Press Release, dated October 25, 2018</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ectPr>
          <w:pgSz w:w="11900" w:h="16838" w:orient="portrait"/>
          <w:cols w:equalWidth="0" w:num="1">
            <w:col w:w="11420"/>
          </w:cols>
          <w:pgMar w:left="240" w:top="591" w:right="239" w:bottom="1440" w:gutter="0" w:footer="0" w:header="0"/>
        </w:sectPr>
      </w:pPr>
    </w:p>
    <w:bookmarkStart w:id="4" w:name="page5"/>
    <w:bookmarkEnd w:id="4"/>
    <w:p>
      <w:pPr>
        <w:ind w:left="10400"/>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55" w:lineRule="exact"/>
        <w:rPr>
          <w:sz w:val="20"/>
          <w:szCs w:val="20"/>
          <w:color w:val="auto"/>
        </w:rPr>
      </w:pPr>
    </w:p>
    <w:p>
      <w:pPr>
        <w:ind w:left="766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20"/>
          <w:szCs w:val="20"/>
          <w:color w:val="auto"/>
        </w:rPr>
        <w:t>Ira M. Birns, Executive Vice President &amp;</w:t>
      </w:r>
    </w:p>
    <w:p>
      <w:pPr>
        <w:ind w:left="76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Glenn Klevitz</w:t>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Vice President, Treasury &amp; Investor Relations</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Third Quarter 2018 Results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MIAMI—October 25, 2018-- World Fuel Services Corporation (NYSE: INT)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Third-Quarter 2018 Highlights</w:t>
      </w:r>
    </w:p>
    <w:p>
      <w:pPr>
        <w:spacing w:after="0" w:line="11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$38.2 million or $0.56 per diluted share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net income of $42.5 million, or $0.63 per diluted share</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of 5.0 billion gallons of fuel sold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gross profit of $266.7 million, up 11% year-over-year</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EBITDA of $104.3 million, up 23% year-over-year</w:t>
      </w:r>
    </w:p>
    <w:p>
      <w:pPr>
        <w:spacing w:after="0" w:line="242" w:lineRule="exact"/>
        <w:rPr>
          <w:sz w:val="20"/>
          <w:szCs w:val="20"/>
          <w:color w:val="auto"/>
        </w:rPr>
      </w:pPr>
    </w:p>
    <w:p>
      <w:pPr>
        <w:ind w:right="680"/>
        <w:spacing w:after="0" w:line="302" w:lineRule="auto"/>
        <w:rPr>
          <w:sz w:val="20"/>
          <w:szCs w:val="20"/>
          <w:color w:val="auto"/>
        </w:rPr>
      </w:pPr>
      <w:r>
        <w:rPr>
          <w:rFonts w:ascii="Arial" w:cs="Arial" w:eastAsia="Arial" w:hAnsi="Arial"/>
          <w:sz w:val="19"/>
          <w:szCs w:val="19"/>
          <w:color w:val="auto"/>
        </w:rPr>
        <w:t>“Our third quarter results were highlighted by record profitability in our aviation segment as well as better than expected performance in our marine segment,” stated Michael J. Kasbar, chairman and chief executive officer of World Fuel Services Corporation. “We continue to focus on operating efficiencies, portfolio refinement and organic growth initiatives, which has contributed to improved operating performance in 2018 and should position us well for growth in 2019 and beyond.”</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For the quarter, our aviation segment generated gross profit of $140.7 million, an increase of 14% year-over-year, primarily driven by strong growth in international fuel sales and continued strength in government-related activity. Our marine segment generated gross profit of $43.0 million, an increase of 41% year-over-year, primarily due to improved economics in our core operations as well as seasonal activities. Our land segment generated gross profit of $83.0 million, down 3% year-over-year, driven by weakness in the United Kingdom and Brazil, which was partially offset by growth in our Kinect global energy management and Multi Service payment solutions businesses.</w:t>
      </w:r>
    </w:p>
    <w:p>
      <w:pPr>
        <w:spacing w:after="0" w:line="234"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“Commitment to our continued cost management initiatives contributed to record adjusted EBITDA generation during the third quarter, resulting in a 23% increase compared to last year,” said Ira M. Birns, executive vice president and chief financial officer. “Year-to-date our improvement in operating leverage is already tracking ahead of our expectations for a 250 basis point improvement for the full year.”</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w:t>
      </w:r>
    </w:p>
    <w:p>
      <w:pPr>
        <w:spacing w:after="0" w:line="266" w:lineRule="exact"/>
        <w:rPr>
          <w:sz w:val="20"/>
          <w:szCs w:val="20"/>
          <w:color w:val="auto"/>
        </w:rPr>
      </w:pPr>
    </w:p>
    <w:p>
      <w:pPr>
        <w:ind w:right="540"/>
        <w:spacing w:after="0" w:line="250" w:lineRule="auto"/>
        <w:rPr>
          <w:sz w:val="20"/>
          <w:szCs w:val="20"/>
          <w:color w:val="auto"/>
        </w:rPr>
      </w:pPr>
      <w:r>
        <w:rPr>
          <w:rFonts w:ascii="Arial" w:cs="Arial" w:eastAsia="Arial" w:hAnsi="Arial"/>
          <w:sz w:val="22"/>
          <w:szCs w:val="22"/>
          <w:color w:val="auto"/>
        </w:rPr>
        <w:t>Cash flow used in operating activities was $87.5 million for the third quarter of 2018. This reflects the impact of a change in classification of $115.6 million of cash proceeds received from the beneficial interest of receivables sold from cash flow from operating activities to cash flow from investing activities due to an accounting standard adopted in the beginning of 2018. A continued focus on working capital</w:t>
      </w:r>
    </w:p>
    <w:p>
      <w:pPr>
        <w:sectPr>
          <w:pgSz w:w="11900" w:h="16838" w:orient="portrait"/>
          <w:cols w:equalWidth="0" w:num="1">
            <w:col w:w="11420"/>
          </w:cols>
          <w:pgMar w:left="240" w:top="576" w:right="239" w:bottom="1440" w:gutter="0" w:footer="0" w:header="0"/>
        </w:sectPr>
      </w:pPr>
    </w:p>
    <w:bookmarkStart w:id="5" w:name="page6"/>
    <w:bookmarkEnd w:id="5"/>
    <w:p>
      <w:pPr>
        <w:spacing w:after="0" w:line="263" w:lineRule="auto"/>
        <w:rPr>
          <w:sz w:val="20"/>
          <w:szCs w:val="20"/>
          <w:color w:val="auto"/>
        </w:rPr>
      </w:pPr>
      <w:r>
        <w:rPr>
          <w:rFonts w:ascii="Arial" w:cs="Arial" w:eastAsia="Arial" w:hAnsi="Arial"/>
          <w:sz w:val="22"/>
          <w:szCs w:val="22"/>
          <w:color w:val="auto"/>
        </w:rPr>
        <w:t>management contributed to a reduction of our net debt to adjusted EBITDA ratio to 1.8x at September 30, 2018 from 1.9x at June 30, 2018.</w:t>
      </w:r>
    </w:p>
    <w:p>
      <w:pPr>
        <w:sectPr>
          <w:pgSz w:w="11900" w:h="16838" w:orient="portrait"/>
          <w:cols w:equalWidth="0" w:num="1">
            <w:col w:w="11220"/>
          </w:cols>
          <w:pgMar w:left="240" w:top="591" w:right="4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auto"/>
        </w:rPr>
        <w:t>Non-GAAP Financial Measures</w:t>
      </w:r>
    </w:p>
    <w:p>
      <w:pPr>
        <w:spacing w:after="0" w:line="21"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This press release contains non-GAAP financial measures, including adjusted net income, adjusted diluted earnings per share, adjusted earnings before interest, taxes, depreciation and amortization (“EBITDA”), and net debt (collectively, the “Non-GAAP Measures”). The Non-GAAP measures exclude acquisition-related charges and severance and restructuring charges primarily because we do not believe they are reflective of the Company’s core operating results. We believe that the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85"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Non-GAAP financial measures should not be considered in isolation from, or as a substitute for, financial information prepared in accordance with GAAP. In addition, our presentation of the Non-GAAP Measures may not be comparable to the presentation of such metrics by other companies. Non-GAAP diluted earnings per common share is computed by dividing non-GAAP net income attributable to World Fuel Services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 in this press release and on our website.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Information Relating to Forward-Looking Statements</w:t>
      </w:r>
    </w:p>
    <w:p>
      <w:pPr>
        <w:spacing w:after="0" w:line="13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This release includes forward-looking statements within the meaning of the Private Securities Litigation Reform Act of 1995, including statements regarding our beliefs and expectations with respect to our focus on operating efficiencies, portfolio refinement and organic growth initiatives and its impact on operating performance in 2018 and 2019, as well as our expectations about improvements to our operating leverage.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leverage technology and operating systems and realize the anticipated benefits, our ability to successfully execute and achieve efficiencies and other benefits related to our transformation initiatives, our ability to achieve the expected level of benefit from our restructuring activities and cost reduction initiatives, unanticipated tax liabilities or adverse results of tax audits, assessments, or disputes, our ability to successfully implement our growth strategy, our ability to effectively integrate acquired businesses and recognize the anticipated benefits, risks related to the complexity of U.S. Tax Reform and our ability to accurately predict its impact on our returns and future earnings, our ability to capitalize on new market opportunities and changes in supply and other market dynamics in the regions where we operate, potential liabilities and the extent of any insurance coverage,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our ability to retain and attract senior management and other key employees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About World Fuel Services Corporation</w:t>
      </w:r>
    </w:p>
    <w:p>
      <w:pPr>
        <w:spacing w:after="0" w:line="132" w:lineRule="exact"/>
        <w:rPr>
          <w:sz w:val="20"/>
          <w:szCs w:val="20"/>
          <w:color w:val="auto"/>
        </w:rPr>
      </w:pPr>
    </w:p>
    <w:p>
      <w:pPr>
        <w:ind w:right="200"/>
        <w:spacing w:after="0" w:line="286"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420"/>
          </w:cols>
          <w:pgMar w:left="240" w:top="580" w:right="239" w:bottom="1440" w:gutter="0" w:footer="0" w:header="0"/>
        </w:sectPr>
      </w:pPr>
    </w:p>
    <w:bookmarkStart w:id="7" w:name="page8"/>
    <w:bookmarkEnd w:id="7"/>
    <w:p>
      <w:pPr>
        <w:ind w:left="39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58"/>
        </w:trPr>
        <w:tc>
          <w:tcPr>
            <w:tcW w:w="7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142.1</w:t>
            </w:r>
          </w:p>
        </w:tc>
        <w:tc>
          <w:tcPr>
            <w:tcW w:w="50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372.3</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2,705.6</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505.0</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Short-term derivative assets, net</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51.1</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241.9</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4,334.7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3,940.4</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329.8</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855.6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845.5</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472.1</w:t>
            </w:r>
          </w:p>
        </w:tc>
      </w:tr>
      <w:tr>
        <w:trPr>
          <w:trHeight w:val="277"/>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6,014.8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5,587.8</w:t>
            </w:r>
          </w:p>
        </w:tc>
      </w:tr>
      <w:tr>
        <w:trPr>
          <w:trHeight w:val="27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 and capital leases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2,785.9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2,239.7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r>
      <w:tr>
        <w:trPr>
          <w:trHeight w:val="264"/>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344.9</w:t>
            </w:r>
          </w:p>
        </w:tc>
      </w:tr>
      <w:tr>
        <w:trPr>
          <w:trHeight w:val="256"/>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2,718.6</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706.6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884.6</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net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202.4</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w:t>
            </w:r>
          </w:p>
        </w:tc>
      </w:tr>
      <w:tr>
        <w:trPr>
          <w:trHeight w:val="250"/>
        </w:trPr>
        <w:tc>
          <w:tcPr>
            <w:tcW w:w="7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4,233.6</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3,849.8</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Commitments and contingencies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World Fuel shareholders' equity:</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766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4"/>
              </w:rPr>
              <w:t>Common stock, $0.01 par value; 100.0 shares authorized, 67.0 and 67.7 issued and outstanding as of September 30, 2018 and</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December 31, 2017, respectively</w:t>
            </w:r>
          </w:p>
        </w:tc>
        <w:tc>
          <w:tcPr>
            <w:tcW w:w="3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354.9</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1,580.4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1,492.8</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World Fuel shareholders' equity</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1,765.2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1,721.9</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r>
      <w:tr>
        <w:trPr>
          <w:trHeight w:val="250"/>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1,781.2</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1,738.0</w:t>
            </w:r>
          </w:p>
        </w:tc>
      </w:tr>
      <w:tr>
        <w:trPr>
          <w:trHeight w:val="237"/>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6,014.8</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5,587.8</w:t>
            </w:r>
          </w:p>
        </w:tc>
      </w:tr>
      <w:tr>
        <w:trPr>
          <w:trHeight w:val="20"/>
        </w:trPr>
        <w:tc>
          <w:tcPr>
            <w:tcW w:w="7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CONSOLIDATED STATEMENTS OF INCOME AND COMPREHENSIVE INCOME </w:t>
      </w:r>
      <w:r>
        <w:rPr>
          <w:rFonts w:ascii="Arial" w:cs="Arial" w:eastAsia="Arial" w:hAnsi="Arial"/>
          <w:sz w:val="18"/>
          <w:szCs w:val="18"/>
          <w:color w:val="auto"/>
        </w:rPr>
        <w:t>(Unaudited – In millions,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6"/>
                <w:szCs w:val="16"/>
                <w:color w:val="auto"/>
              </w:rPr>
            </w:pPr>
          </w:p>
        </w:tc>
        <w:tc>
          <w:tcPr>
            <w:tcW w:w="23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r>
      <w:tr>
        <w:trPr>
          <w:trHeight w:val="264"/>
        </w:trPr>
        <w:tc>
          <w:tcPr>
            <w:tcW w:w="5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10,429.5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8,543.0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29,761.7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24,823.4</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10,162.8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8,303.1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29,005.4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24,121.1</w:t>
            </w:r>
          </w:p>
        </w:tc>
      </w:tr>
      <w:tr>
        <w:trPr>
          <w:trHeight w:val="250"/>
        </w:trPr>
        <w:tc>
          <w:tcPr>
            <w:tcW w:w="59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266.7</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756.3</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702.3</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314.5</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217.8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225.0</w:t>
            </w:r>
          </w:p>
        </w:tc>
      </w:tr>
      <w:tr>
        <w:trPr>
          <w:trHeight w:val="250"/>
        </w:trPr>
        <w:tc>
          <w:tcPr>
            <w:tcW w:w="59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188.5</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178.6</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559.8</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539.5</w:t>
            </w:r>
          </w:p>
        </w:tc>
      </w:tr>
      <w:tr>
        <w:trPr>
          <w:trHeight w:val="250"/>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from operations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78.2</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162.8</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Non-operating expenses,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(42.2)</w:t>
            </w:r>
          </w:p>
        </w:tc>
      </w:tr>
      <w:tr>
        <w:trPr>
          <w:trHeight w:val="27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expense, net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50"/>
        </w:trPr>
        <w:tc>
          <w:tcPr>
            <w:tcW w:w="59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115.6</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92.2</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0.33</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0.33</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weighted average common shares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84"/>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99.2</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23.4</w:t>
            </w:r>
          </w:p>
        </w:tc>
      </w:tr>
      <w:tr>
        <w:trPr>
          <w:trHeight w:val="29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29.8</w:t>
            </w:r>
          </w:p>
        </w:tc>
      </w:tr>
      <w:tr>
        <w:trPr>
          <w:trHeight w:val="16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4"/>
              </w:rPr>
              <w:t>Cash flow hedges, net of income tax benefit of $3.5 and $5.5 for the three months ended September</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49"/>
        </w:trPr>
        <w:tc>
          <w:tcPr>
            <w:tcW w:w="6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7"/>
              </w:rPr>
              <w:t>30, 2018 and 2017, respectively, and net of income tax benefit of $5.2 and income tax expense of</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88"/>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$1.1 for the nine months ended September 30, 2018 and 2017, respectively</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 including noncontrolling interest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6"/>
                <w:szCs w:val="16"/>
                <w:color w:val="auto"/>
              </w:rPr>
            </w:pPr>
          </w:p>
        </w:tc>
        <w:tc>
          <w:tcPr>
            <w:tcW w:w="23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r>
      <w:tr>
        <w:trPr>
          <w:trHeight w:val="264"/>
        </w:trPr>
        <w:tc>
          <w:tcPr>
            <w:tcW w:w="5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2017</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income (loss) including noncontrolling interest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w:t>
            </w:r>
          </w:p>
        </w:tc>
      </w:tr>
      <w:tr>
        <w:trPr>
          <w:trHeight w:val="143"/>
        </w:trPr>
        <w:tc>
          <w:tcPr>
            <w:tcW w:w="608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Adjustments to reconcile net income including noncontrolling interest to net cash provided by</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9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64.1</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Valuation allowance against the net U.S. deferred tax assets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76.9</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Deferred income tax benefit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Foreign currency losses,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90"/>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Changes in assets and liabilities, net of acquisitions: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157"/>
        </w:trPr>
        <w:tc>
          <w:tcPr>
            <w:tcW w:w="6080" w:type="dxa"/>
            <w:vAlign w:val="bottom"/>
            <w:gridSpan w:val="2"/>
          </w:tcPr>
          <w:p>
            <w:pPr>
              <w:ind w:left="380"/>
              <w:spacing w:after="0" w:line="157" w:lineRule="exact"/>
              <w:rPr>
                <w:sz w:val="20"/>
                <w:szCs w:val="20"/>
                <w:color w:val="auto"/>
              </w:rPr>
            </w:pPr>
            <w:r>
              <w:rPr>
                <w:rFonts w:ascii="Arial" w:cs="Arial" w:eastAsia="Arial" w:hAnsi="Arial"/>
                <w:sz w:val="14"/>
                <w:szCs w:val="14"/>
                <w:color w:val="auto"/>
              </w:rPr>
              <w:t>Accounts receivable, net (reduced by beneficial interests received in exchange for accounts</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608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97"/>
              </w:rPr>
              <w:t>receivables sold of $109.3 million and $82.1 million for the three months ended September 30,</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08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97"/>
              </w:rPr>
              <w:t>2018 and 2017, respectively, and $353.0 million and $239.2 million for the nine months ended</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8"/>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September 30, 2018 and 2017, respectively.)</w:t>
            </w:r>
          </w:p>
        </w:tc>
        <w:tc>
          <w:tcPr>
            <w:tcW w:w="2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(275.8)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(775.5)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(492.6)</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Prepaid expenses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Short-term derivative assets,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(49.7)</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253.7</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Customer deposits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9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r>
      <w:tr>
        <w:trPr>
          <w:trHeight w:val="250"/>
        </w:trPr>
        <w:tc>
          <w:tcPr>
            <w:tcW w:w="59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adjustments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(126.2)</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(415.2)</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(214.5)</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operating activities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(191.1)</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Cash receipts of retained beneficial interests in receivable sales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357.5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236.3</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27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investing activities, net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provided by investing activities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99.5</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103.4</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Borrowings of debt</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1,788.5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1,508.3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4,663.5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3,500.1</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Repayments of debt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(1,821.6)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(4,841.2)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(3,492.6)</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Dividends paid on common stock</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6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4"/>
              </w:rPr>
              <w:t>Purchases of common stock tendered by employees to satisfy the required withholding taxes related</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 share-based payment awards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Purchases of common stock</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7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financing activities, net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w:t>
            </w:r>
          </w:p>
        </w:tc>
      </w:tr>
      <w:tr>
        <w:trPr>
          <w:trHeight w:val="25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decrease in cash and cash equivalents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(152.6)</w:t>
            </w:r>
          </w:p>
        </w:tc>
      </w:tr>
      <w:tr>
        <w:trPr>
          <w:trHeight w:val="27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575.6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698.6</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20"/>
                <w:szCs w:val="20"/>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546.0</w:t>
            </w:r>
          </w:p>
        </w:tc>
        <w:tc>
          <w:tcPr>
            <w:tcW w:w="10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20"/>
                <w:szCs w:val="20"/>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546.0</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80" w:firstLine="8"/>
        <w:spacing w:after="0" w:line="273"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adoption of ASU 2016-15 resulted in operating cash flow decreases and investing cash flow increases of $115.6 million and $80.0 million for the three months ended September 30, 2018 and 2017, respectively, and $357.5 million and $236.3 million for the nine months ended September 30, 2018 and 2017, respectively.</w:t>
      </w:r>
    </w:p>
    <w:p>
      <w:pPr>
        <w:sectPr>
          <w:pgSz w:w="11900" w:h="16838" w:orient="portrait"/>
          <w:cols w:equalWidth="0" w:num="1">
            <w:col w:w="11420"/>
          </w:cols>
          <w:pgMar w:left="240" w:top="918" w:right="239" w:bottom="1160" w:gutter="0" w:footer="0" w:header="0"/>
        </w:sectPr>
      </w:pPr>
    </w:p>
    <w:bookmarkStart w:id="10" w:name="page11"/>
    <w:bookmarkEnd w:id="10"/>
    <w:p>
      <w:pPr>
        <w:jc w:val="center"/>
        <w:ind w:left="2760" w:right="2760"/>
        <w:spacing w:after="0" w:line="266" w:lineRule="auto"/>
        <w:rPr>
          <w:sz w:val="20"/>
          <w:szCs w:val="20"/>
          <w:color w:val="auto"/>
        </w:rPr>
      </w:pPr>
      <w:r>
        <w:rPr>
          <w:rFonts w:ascii="Arial" w:cs="Arial" w:eastAsia="Arial" w:hAnsi="Arial"/>
          <w:sz w:val="18"/>
          <w:szCs w:val="18"/>
          <w:b w:val="1"/>
          <w:bCs w:val="1"/>
          <w:color w:val="auto"/>
        </w:rPr>
        <w:t xml:space="preserve">WORLD FUEL SERVICES CORPORATION RECONCILIATION OF GAAP TO NON-GAAP FINANCIAL MEASURES </w:t>
      </w:r>
      <w:r>
        <w:rPr>
          <w:rFonts w:ascii="Arial" w:cs="Arial" w:eastAsia="Arial" w:hAnsi="Arial"/>
          <w:sz w:val="18"/>
          <w:szCs w:val="18"/>
          <w:color w:val="auto"/>
        </w:rPr>
        <w:t>(Unaudited - In millions, except per share data)</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Non-GAAP financial measures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World Fuel</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 related charges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Severance and other restructuring-related costs</w:t>
      </w:r>
    </w:p>
    <w:p>
      <w:pPr>
        <w:spacing w:after="0" w:line="109" w:lineRule="exact"/>
        <w:rPr>
          <w:sz w:val="20"/>
          <w:szCs w:val="20"/>
          <w:color w:val="auto"/>
        </w:rPr>
      </w:pPr>
    </w:p>
    <w:p>
      <w:pPr>
        <w:ind w:left="280" w:right="1660"/>
        <w:spacing w:after="0" w:line="432" w:lineRule="auto"/>
        <w:rPr>
          <w:sz w:val="20"/>
          <w:szCs w:val="20"/>
          <w:color w:val="auto"/>
        </w:rPr>
      </w:pPr>
      <w:r>
        <w:rPr>
          <w:rFonts w:ascii="Arial" w:cs="Arial" w:eastAsia="Arial" w:hAnsi="Arial"/>
          <w:sz w:val="14"/>
          <w:szCs w:val="14"/>
          <w:color w:val="auto"/>
        </w:rPr>
        <w:t>Valuation allowance against the net U.S. deferred tax assets Income tax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Adjusted net income attributable to World Fuel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24"/>
                <w:szCs w:val="24"/>
                <w:color w:val="auto"/>
              </w:rPr>
            </w:pPr>
          </w:p>
        </w:tc>
      </w:tr>
      <w:tr>
        <w:trPr>
          <w:trHeight w:val="264"/>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r>
      <w:tr>
        <w:trPr>
          <w:trHeight w:val="244"/>
        </w:trPr>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1"/>
                <w:szCs w:val="21"/>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2"/>
              </w:rPr>
              <w:t>(38.5)</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21"/>
                <w:szCs w:val="21"/>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22.8</w:t>
            </w:r>
          </w:p>
        </w:tc>
      </w:tr>
      <w:tr>
        <w:trPr>
          <w:trHeight w:val="270"/>
        </w:trPr>
        <w:tc>
          <w:tcPr>
            <w:tcW w:w="84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6.8</w:t>
            </w:r>
          </w:p>
        </w:tc>
      </w:tr>
      <w:tr>
        <w:trPr>
          <w:trHeight w:val="270"/>
        </w:trPr>
        <w:tc>
          <w:tcPr>
            <w:tcW w:w="84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7.1</w:t>
            </w:r>
          </w:p>
        </w:tc>
      </w:tr>
      <w:tr>
        <w:trPr>
          <w:trHeight w:val="270"/>
        </w:trPr>
        <w:tc>
          <w:tcPr>
            <w:tcW w:w="840" w:type="dxa"/>
            <w:vAlign w:val="bottom"/>
          </w:tcPr>
          <w:p>
            <w:pPr>
              <w:spacing w:after="0"/>
              <w:rPr>
                <w:sz w:val="23"/>
                <w:szCs w:val="2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3"/>
                <w:szCs w:val="23"/>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76.9</w:t>
            </w:r>
          </w:p>
        </w:tc>
      </w:tr>
      <w:tr>
        <w:trPr>
          <w:trHeight w:val="276"/>
        </w:trPr>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44"/>
        </w:trPr>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1"/>
                <w:szCs w:val="21"/>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109.2</w:t>
            </w:r>
          </w:p>
        </w:tc>
        <w:tc>
          <w:tcPr>
            <w:tcW w:w="120" w:type="dxa"/>
            <w:vAlign w:val="bottom"/>
          </w:tcPr>
          <w:p>
            <w:pPr>
              <w:spacing w:after="0"/>
              <w:rPr>
                <w:sz w:val="21"/>
                <w:szCs w:val="21"/>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-1021080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-677545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-334645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7620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796" w:right="239" w:bottom="1440" w:gutter="0" w:footer="0" w:header="0"/>
          <w:type w:val="continuous"/>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Diluted earnings per common share</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0.33</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Acquisition related charges</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0.10</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Severance and other restructuring-related costs</w:t>
            </w:r>
          </w:p>
        </w:tc>
        <w:tc>
          <w:tcPr>
            <w:tcW w:w="48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0.10</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Valuation allowance against the net U.S. deferred tax assets</w:t>
            </w:r>
          </w:p>
        </w:tc>
        <w:tc>
          <w:tcPr>
            <w:tcW w:w="4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64"/>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tax impacts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diluted earnings per common share</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Non-GAAP financial measures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3773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operations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Acquisition-related charges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Severance and other restructuring-related costs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773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w w:val="98"/>
              </w:rPr>
              <w:t>September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r>
      <w:tr>
        <w:trPr>
          <w:trHeight w:val="264"/>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2017</w:t>
            </w:r>
          </w:p>
        </w:tc>
      </w:tr>
      <w:tr>
        <w:trPr>
          <w:trHeight w:val="244"/>
        </w:trPr>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21"/>
                <w:szCs w:val="21"/>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61.3</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196.4</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162.8</w:t>
            </w:r>
          </w:p>
        </w:tc>
      </w:tr>
      <w:tr>
        <w:trPr>
          <w:trHeight w:val="270"/>
        </w:trPr>
        <w:tc>
          <w:tcPr>
            <w:tcW w:w="80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20.7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64.1</w:t>
            </w:r>
          </w:p>
        </w:tc>
      </w:tr>
      <w:tr>
        <w:trPr>
          <w:trHeight w:val="270"/>
        </w:trPr>
        <w:tc>
          <w:tcPr>
            <w:tcW w:w="80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276"/>
        </w:trPr>
        <w:tc>
          <w:tcPr>
            <w:tcW w:w="8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r>
      <w:tr>
        <w:trPr>
          <w:trHeight w:val="237"/>
        </w:trPr>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104.3</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84.6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269.4</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239.5</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-874395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-530860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-187960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360" w:space="720"/>
            <w:col w:w="5340"/>
          </w:cols>
          <w:pgMar w:left="240" w:top="796" w:right="239" w:bottom="1440" w:gutter="0" w:footer="0" w:header="0"/>
          <w:type w:val="continuous"/>
        </w:sectPr>
      </w:pPr>
    </w:p>
    <w:p>
      <w:pPr>
        <w:ind w:left="660" w:right="180" w:hanging="328"/>
        <w:spacing w:after="0" w:line="27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defines adjusted EBITDA as income from operations, excluding the impact of depreciation and amortization, and items that are considered to be non-operational and are not representative of our core business, including those associated with severance, restructuring and acquisition-related costs.</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6"/>
                <w:szCs w:val="16"/>
                <w:color w:val="auto"/>
              </w:rPr>
            </w:pPr>
          </w:p>
        </w:tc>
        <w:tc>
          <w:tcPr>
            <w:tcW w:w="214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276"/>
        </w:trPr>
        <w:tc>
          <w:tcPr>
            <w:tcW w:w="640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5,025.3</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3,705.8</w:t>
            </w:r>
          </w:p>
        </w:tc>
        <w:tc>
          <w:tcPr>
            <w:tcW w:w="12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14,218.9</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10,531.6</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2,854.4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8,675.3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8,117.9</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2,549.8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2,066.7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6,867.5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6,173.9</w:t>
            </w:r>
          </w:p>
        </w:tc>
      </w:tr>
      <w:tr>
        <w:trPr>
          <w:trHeight w:val="237"/>
        </w:trPr>
        <w:tc>
          <w:tcPr>
            <w:tcW w:w="64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10,429.5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8,543.0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29,761.7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24,823.4</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334.8</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273.8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270.5</w:t>
            </w:r>
          </w:p>
        </w:tc>
      </w:tr>
      <w:tr>
        <w:trPr>
          <w:trHeight w:val="27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w:t>
            </w:r>
          </w:p>
        </w:tc>
      </w:tr>
      <w:tr>
        <w:trPr>
          <w:trHeight w:val="277"/>
        </w:trPr>
        <w:tc>
          <w:tcPr>
            <w:tcW w:w="64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266.7</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239.9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756.3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702.3</w:t>
            </w: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188.3</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151.7</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19.9</w:t>
            </w:r>
          </w:p>
        </w:tc>
      </w:tr>
      <w:tr>
        <w:trPr>
          <w:trHeight w:val="256"/>
        </w:trPr>
        <w:tc>
          <w:tcPr>
            <w:tcW w:w="64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98.6</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256.9</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218.4</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Corporate overhead - unallocated</w:t>
            </w:r>
          </w:p>
        </w:tc>
        <w:tc>
          <w:tcPr>
            <w:tcW w:w="2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(55.5)</w:t>
            </w:r>
          </w:p>
        </w:tc>
      </w:tr>
      <w:tr>
        <w:trPr>
          <w:trHeight w:val="237"/>
        </w:trPr>
        <w:tc>
          <w:tcPr>
            <w:tcW w:w="64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For the Three Months Ended</w:t>
            </w: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276"/>
        </w:trPr>
        <w:tc>
          <w:tcPr>
            <w:tcW w:w="6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Volume (Gallons):</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2017</w:t>
            </w:r>
          </w:p>
        </w:tc>
      </w:tr>
      <w:tr>
        <w:trPr>
          <w:trHeight w:val="256"/>
        </w:trPr>
        <w:tc>
          <w:tcPr>
            <w:tcW w:w="6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Aviation Segment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2,089.5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2,059.2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6,146.8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5,921.7</w:t>
            </w:r>
          </w:p>
        </w:tc>
      </w:tr>
      <w:tr>
        <w:trPr>
          <w:trHeight w:val="264"/>
        </w:trPr>
        <w:tc>
          <w:tcPr>
            <w:tcW w:w="6540" w:type="dxa"/>
            <w:vAlign w:val="bottom"/>
            <w:gridSpan w:val="2"/>
          </w:tcPr>
          <w:p>
            <w:pPr>
              <w:ind w:left="280"/>
              <w:spacing w:after="0"/>
              <w:rPr>
                <w:sz w:val="20"/>
                <w:szCs w:val="20"/>
                <w:color w:val="auto"/>
              </w:rPr>
            </w:pPr>
            <w:r>
              <w:rPr>
                <w:rFonts w:ascii="Arial" w:cs="Arial" w:eastAsia="Arial" w:hAnsi="Arial"/>
                <w:sz w:val="14"/>
                <w:szCs w:val="14"/>
                <w:color w:val="auto"/>
              </w:rPr>
              <w:t xml:space="preserve">Land Segment </w:t>
            </w:r>
            <w:r>
              <w:rPr>
                <w:rFonts w:ascii="Arial" w:cs="Arial" w:eastAsia="Arial" w:hAnsi="Arial"/>
                <w:sz w:val="8"/>
                <w:szCs w:val="8"/>
                <w:color w:val="auto"/>
              </w:rPr>
              <w:t>(1)</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1,344.6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1,497.4</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4,235.3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4,466.8</w:t>
            </w:r>
          </w:p>
        </w:tc>
      </w:tr>
      <w:tr>
        <w:trPr>
          <w:trHeight w:val="270"/>
        </w:trPr>
        <w:tc>
          <w:tcPr>
            <w:tcW w:w="6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8"/>
                <w:szCs w:val="8"/>
                <w:color w:val="auto"/>
              </w:rPr>
              <w:t>(2)</w:t>
            </w:r>
          </w:p>
        </w:tc>
        <w:tc>
          <w:tcPr>
            <w:tcW w:w="14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1,575.0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1,799.5</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4,653.9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5,388.6</w:t>
            </w:r>
          </w:p>
        </w:tc>
      </w:tr>
      <w:tr>
        <w:trPr>
          <w:trHeight w:val="237"/>
        </w:trPr>
        <w:tc>
          <w:tcPr>
            <w:tcW w:w="6540" w:type="dxa"/>
            <w:vAlign w:val="bottom"/>
            <w:gridSpan w:val="2"/>
          </w:tcPr>
          <w:p>
            <w:pPr>
              <w:ind w:left="280"/>
              <w:spacing w:after="0"/>
              <w:rPr>
                <w:sz w:val="20"/>
                <w:szCs w:val="20"/>
                <w:color w:val="auto"/>
              </w:rPr>
            </w:pPr>
            <w:r>
              <w:rPr>
                <w:rFonts w:ascii="Arial" w:cs="Arial" w:eastAsia="Arial" w:hAnsi="Arial"/>
                <w:sz w:val="14"/>
                <w:szCs w:val="14"/>
                <w:color w:val="auto"/>
              </w:rPr>
              <w:t>Consolidated Total</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5,009.1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5,356.2</w:t>
            </w:r>
          </w:p>
        </w:tc>
        <w:tc>
          <w:tcPr>
            <w:tcW w:w="100" w:type="dxa"/>
            <w:vAlign w:val="bottom"/>
          </w:tcPr>
          <w:p>
            <w:pPr>
              <w:spacing w:after="0"/>
              <w:rPr>
                <w:sz w:val="20"/>
                <w:szCs w:val="20"/>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15,036.1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15,777.1</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gallons and gallon equivalents of British Thermal Units (BTU) for our natural gas sales and Kilowatt Hours (KwH) for our Kinect power business.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Converted from metric tons to gallons at a rate of 264 gallons per metric ton. Marine segment metric tons were 6.0 and 17.6 for the three and nine months ended September 30, 2018.</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Treasury &amp; Investor Relations</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2019-12-28T18:40:48Z</dcterms:created>
  <dcterms:modified xsi:type="dcterms:W3CDTF">2019-12-28T18:40:48Z</dcterms:modified>
</cp:coreProperties>
</file>