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t>UNITED STATES</w:t>
      </w:r>
    </w:p>
    <w:p>
      <w:pPr>
        <w:jc w:val="center"/>
        <w:ind w:right="-20"/>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75565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Date of Report (Date of earliest event reported): July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65405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WORLD FUEL SERVICES CORPORATION</w:t>
      </w: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89"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3080" w:type="dxa"/>
            <w:vAlign w:val="bottom"/>
          </w:tcPr>
          <w:p>
            <w:pPr>
              <w:jc w:val="center"/>
              <w:ind w:right="1219"/>
              <w:spacing w:after="0"/>
              <w:rPr>
                <w:sz w:val="20"/>
                <w:szCs w:val="20"/>
                <w:color w:val="auto"/>
              </w:rPr>
            </w:pPr>
            <w:r>
              <w:rPr>
                <w:rFonts w:ascii="Arial" w:cs="Arial" w:eastAsia="Arial" w:hAnsi="Arial"/>
                <w:sz w:val="18"/>
                <w:szCs w:val="18"/>
                <w:b w:val="1"/>
                <w:bCs w:val="1"/>
                <w:color w:val="auto"/>
                <w:w w:val="96"/>
              </w:rPr>
              <w:t>Florida</w:t>
            </w:r>
          </w:p>
        </w:tc>
        <w:tc>
          <w:tcPr>
            <w:tcW w:w="3000" w:type="dxa"/>
            <w:vAlign w:val="bottom"/>
          </w:tcPr>
          <w:p>
            <w:pPr>
              <w:jc w:val="right"/>
              <w:ind w:right="1379"/>
              <w:spacing w:after="0"/>
              <w:rPr>
                <w:sz w:val="20"/>
                <w:szCs w:val="20"/>
                <w:color w:val="auto"/>
              </w:rPr>
            </w:pPr>
            <w:r>
              <w:rPr>
                <w:rFonts w:ascii="Arial" w:cs="Arial" w:eastAsia="Arial" w:hAnsi="Arial"/>
                <w:sz w:val="18"/>
                <w:szCs w:val="18"/>
                <w:b w:val="1"/>
                <w:bCs w:val="1"/>
                <w:color w:val="auto"/>
              </w:rPr>
              <w:t>1-9533</w:t>
            </w:r>
          </w:p>
        </w:tc>
        <w:tc>
          <w:tcPr>
            <w:tcW w:w="2200" w:type="dxa"/>
            <w:vAlign w:val="bottom"/>
          </w:tcPr>
          <w:p>
            <w:pPr>
              <w:jc w:val="center"/>
              <w:ind w:left="979"/>
              <w:spacing w:after="0"/>
              <w:rPr>
                <w:sz w:val="20"/>
                <w:szCs w:val="20"/>
                <w:color w:val="auto"/>
              </w:rPr>
            </w:pPr>
            <w:r>
              <w:rPr>
                <w:rFonts w:ascii="Arial" w:cs="Arial" w:eastAsia="Arial" w:hAnsi="Arial"/>
                <w:sz w:val="18"/>
                <w:szCs w:val="18"/>
                <w:b w:val="1"/>
                <w:bCs w:val="1"/>
                <w:color w:val="auto"/>
                <w:w w:val="89"/>
              </w:rPr>
              <w:t>59-2459427</w:t>
            </w:r>
          </w:p>
        </w:tc>
      </w:tr>
      <w:tr>
        <w:trPr>
          <w:trHeight w:val="135"/>
        </w:trPr>
        <w:tc>
          <w:tcPr>
            <w:tcW w:w="3080" w:type="dxa"/>
            <w:vAlign w:val="bottom"/>
          </w:tcPr>
          <w:p>
            <w:pPr>
              <w:jc w:val="center"/>
              <w:ind w:right="1199"/>
              <w:spacing w:after="0" w:line="135"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right="339"/>
              <w:spacing w:after="0" w:line="135" w:lineRule="exact"/>
              <w:rPr>
                <w:sz w:val="20"/>
                <w:szCs w:val="20"/>
                <w:color w:val="auto"/>
              </w:rPr>
            </w:pPr>
            <w:r>
              <w:rPr>
                <w:rFonts w:ascii="Arial" w:cs="Arial" w:eastAsia="Arial" w:hAnsi="Arial"/>
                <w:sz w:val="14"/>
                <w:szCs w:val="14"/>
                <w:b w:val="1"/>
                <w:bCs w:val="1"/>
                <w:color w:val="auto"/>
                <w:w w:val="93"/>
              </w:rPr>
              <w:t>(Commission File Number)</w:t>
            </w:r>
          </w:p>
        </w:tc>
        <w:tc>
          <w:tcPr>
            <w:tcW w:w="2200" w:type="dxa"/>
            <w:vAlign w:val="bottom"/>
          </w:tcPr>
          <w:p>
            <w:pPr>
              <w:jc w:val="center"/>
              <w:ind w:left="999"/>
              <w:spacing w:after="0" w:line="13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80" w:type="dxa"/>
            <w:vAlign w:val="bottom"/>
          </w:tcPr>
          <w:p>
            <w:pPr>
              <w:jc w:val="center"/>
              <w:ind w:right="1219"/>
              <w:spacing w:after="0"/>
              <w:rPr>
                <w:sz w:val="20"/>
                <w:szCs w:val="20"/>
                <w:color w:val="auto"/>
              </w:rPr>
            </w:pPr>
            <w:r>
              <w:rPr>
                <w:rFonts w:ascii="Arial" w:cs="Arial" w:eastAsia="Arial" w:hAnsi="Arial"/>
                <w:sz w:val="14"/>
                <w:szCs w:val="14"/>
                <w:b w:val="1"/>
                <w:bCs w:val="1"/>
                <w:color w:val="auto"/>
                <w:w w:val="94"/>
              </w:rPr>
              <w:t>incorporation)</w:t>
            </w:r>
          </w:p>
        </w:tc>
        <w:tc>
          <w:tcPr>
            <w:tcW w:w="3000" w:type="dxa"/>
            <w:vAlign w:val="bottom"/>
          </w:tcPr>
          <w:p>
            <w:pPr>
              <w:spacing w:after="0"/>
              <w:rPr>
                <w:sz w:val="16"/>
                <w:szCs w:val="16"/>
                <w:color w:val="auto"/>
              </w:rPr>
            </w:pPr>
          </w:p>
        </w:tc>
        <w:tc>
          <w:tcPr>
            <w:tcW w:w="2200" w:type="dxa"/>
            <w:vAlign w:val="bottom"/>
          </w:tcPr>
          <w:p>
            <w:pPr>
              <w:jc w:val="center"/>
              <w:ind w:left="979"/>
              <w:spacing w:after="0"/>
              <w:rPr>
                <w:sz w:val="20"/>
                <w:szCs w:val="20"/>
                <w:color w:val="auto"/>
              </w:rPr>
            </w:pPr>
            <w:r>
              <w:rPr>
                <w:rFonts w:ascii="Arial" w:cs="Arial" w:eastAsia="Arial" w:hAnsi="Arial"/>
                <w:sz w:val="14"/>
                <w:szCs w:val="14"/>
                <w:b w:val="1"/>
                <w:bCs w:val="1"/>
                <w:color w:val="auto"/>
                <w:w w:val="96"/>
              </w:rPr>
              <w:t>Identification No.)</w:t>
            </w:r>
          </w:p>
        </w:tc>
      </w:tr>
      <w:tr>
        <w:trPr>
          <w:trHeight w:val="354"/>
        </w:trPr>
        <w:tc>
          <w:tcPr>
            <w:tcW w:w="3080" w:type="dxa"/>
            <w:vAlign w:val="bottom"/>
          </w:tcPr>
          <w:p>
            <w:pPr>
              <w:jc w:val="center"/>
              <w:ind w:right="139"/>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3000" w:type="dxa"/>
            <w:vAlign w:val="bottom"/>
          </w:tcPr>
          <w:p>
            <w:pPr>
              <w:spacing w:after="0"/>
              <w:rPr>
                <w:sz w:val="24"/>
                <w:szCs w:val="24"/>
                <w:color w:val="auto"/>
              </w:rPr>
            </w:pPr>
          </w:p>
        </w:tc>
        <w:tc>
          <w:tcPr>
            <w:tcW w:w="2200" w:type="dxa"/>
            <w:vAlign w:val="bottom"/>
          </w:tcPr>
          <w:p>
            <w:pPr>
              <w:jc w:val="right"/>
              <w:ind w:right="659"/>
              <w:spacing w:after="0"/>
              <w:rPr>
                <w:sz w:val="20"/>
                <w:szCs w:val="20"/>
                <w:color w:val="auto"/>
              </w:rPr>
            </w:pPr>
            <w:r>
              <w:rPr>
                <w:rFonts w:ascii="Arial" w:cs="Arial" w:eastAsia="Arial" w:hAnsi="Arial"/>
                <w:sz w:val="18"/>
                <w:szCs w:val="18"/>
                <w:b w:val="1"/>
                <w:bCs w:val="1"/>
                <w:color w:val="auto"/>
              </w:rPr>
              <w:t>33178</w:t>
            </w:r>
          </w:p>
        </w:tc>
      </w:tr>
      <w:tr>
        <w:trPr>
          <w:trHeight w:val="176"/>
        </w:trPr>
        <w:tc>
          <w:tcPr>
            <w:tcW w:w="3080" w:type="dxa"/>
            <w:vAlign w:val="bottom"/>
          </w:tcPr>
          <w:p>
            <w:pPr>
              <w:jc w:val="center"/>
              <w:ind w:right="159"/>
              <w:spacing w:after="0" w:line="176" w:lineRule="exact"/>
              <w:rPr>
                <w:sz w:val="20"/>
                <w:szCs w:val="20"/>
                <w:color w:val="auto"/>
              </w:rPr>
            </w:pPr>
            <w:r>
              <w:rPr>
                <w:rFonts w:ascii="Arial" w:cs="Arial" w:eastAsia="Arial" w:hAnsi="Arial"/>
                <w:sz w:val="18"/>
                <w:szCs w:val="18"/>
                <w:b w:val="1"/>
                <w:bCs w:val="1"/>
                <w:color w:val="auto"/>
                <w:w w:val="95"/>
              </w:rPr>
              <w:t>Miami, Florida</w:t>
            </w:r>
          </w:p>
        </w:tc>
        <w:tc>
          <w:tcPr>
            <w:tcW w:w="3000" w:type="dxa"/>
            <w:vAlign w:val="bottom"/>
          </w:tcPr>
          <w:p>
            <w:pPr>
              <w:spacing w:after="0"/>
              <w:rPr>
                <w:sz w:val="15"/>
                <w:szCs w:val="15"/>
                <w:color w:val="auto"/>
              </w:rPr>
            </w:pPr>
          </w:p>
        </w:tc>
        <w:tc>
          <w:tcPr>
            <w:tcW w:w="2200" w:type="dxa"/>
            <w:vAlign w:val="bottom"/>
          </w:tcPr>
          <w:p>
            <w:pPr>
              <w:jc w:val="center"/>
              <w:ind w:left="199"/>
              <w:spacing w:after="0" w:line="176" w:lineRule="exact"/>
              <w:rPr>
                <w:sz w:val="20"/>
                <w:szCs w:val="20"/>
                <w:color w:val="auto"/>
              </w:rPr>
            </w:pPr>
            <w:r>
              <w:rPr>
                <w:rFonts w:ascii="Arial" w:cs="Arial" w:eastAsia="Arial" w:hAnsi="Arial"/>
                <w:sz w:val="16"/>
                <w:szCs w:val="16"/>
                <w:b w:val="1"/>
                <w:bCs w:val="1"/>
                <w:color w:val="auto"/>
                <w:w w:val="96"/>
              </w:rPr>
              <w:t>(Zip Code)</w:t>
            </w:r>
          </w:p>
        </w:tc>
      </w:tr>
      <w:tr>
        <w:trPr>
          <w:trHeight w:val="186"/>
        </w:trPr>
        <w:tc>
          <w:tcPr>
            <w:tcW w:w="308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0" w:type="dxa"/>
            <w:vAlign w:val="bottom"/>
          </w:tcPr>
          <w:p>
            <w:pPr>
              <w:spacing w:after="0"/>
              <w:rPr>
                <w:sz w:val="16"/>
                <w:szCs w:val="16"/>
                <w:color w:val="auto"/>
              </w:rPr>
            </w:pPr>
          </w:p>
        </w:tc>
        <w:tc>
          <w:tcPr>
            <w:tcW w:w="2200" w:type="dxa"/>
            <w:vAlign w:val="bottom"/>
          </w:tcPr>
          <w:p>
            <w:pPr>
              <w:spacing w:after="0"/>
              <w:rPr>
                <w:sz w:val="16"/>
                <w:szCs w:val="16"/>
                <w:color w:val="auto"/>
              </w:rPr>
            </w:pPr>
          </w:p>
        </w:tc>
      </w:tr>
    </w:tbl>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371" w:lineRule="exact"/>
        <w:rPr>
          <w:sz w:val="24"/>
          <w:szCs w:val="24"/>
          <w:color w:val="auto"/>
        </w:rPr>
      </w:pPr>
    </w:p>
    <w:p>
      <w:pPr>
        <w:ind w:right="439"/>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144"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340" w:hanging="337"/>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442" w:right="1440" w:bottom="1440" w:gutter="0" w:footer="0" w:header="0"/>
        </w:sectPr>
      </w:pPr>
    </w:p>
    <w:bookmarkStart w:id="1" w:name="page2"/>
    <w:bookmarkEnd w:id="1"/>
    <w:p>
      <w:pPr>
        <w:ind w:left="160" w:right="3599"/>
        <w:spacing w:after="0" w:line="416" w:lineRule="auto"/>
        <w:rPr>
          <w:sz w:val="20"/>
          <w:szCs w:val="20"/>
          <w:color w:val="auto"/>
        </w:rPr>
      </w:pPr>
      <w:r>
        <w:rPr>
          <w:rFonts w:ascii="Arial" w:cs="Arial" w:eastAsia="Arial" w:hAnsi="Arial"/>
          <w:sz w:val="22"/>
          <w:szCs w:val="22"/>
          <w:b w:val="1"/>
          <w:bCs w:val="1"/>
          <w:color w:val="auto"/>
        </w:rPr>
        <w:t>Item 2.02. Results of Operations and Financial Condition Item 7.01. Regulation FD Disclosure</w:t>
      </w:r>
    </w:p>
    <w:p>
      <w:pPr>
        <w:spacing w:after="0" w:line="2" w:lineRule="exact"/>
        <w:rPr>
          <w:sz w:val="20"/>
          <w:szCs w:val="20"/>
          <w:color w:val="auto"/>
        </w:rPr>
      </w:pPr>
    </w:p>
    <w:p>
      <w:pPr>
        <w:jc w:val="both"/>
        <w:ind w:left="160" w:right="159" w:firstLine="648"/>
        <w:spacing w:after="0" w:line="235"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162" w:lineRule="exact"/>
        <w:rPr>
          <w:sz w:val="20"/>
          <w:szCs w:val="20"/>
          <w:color w:val="auto"/>
        </w:rPr>
      </w:pPr>
    </w:p>
    <w:p>
      <w:pPr>
        <w:jc w:val="both"/>
        <w:ind w:left="160" w:right="159" w:firstLine="648"/>
        <w:spacing w:after="0" w:line="224" w:lineRule="auto"/>
        <w:rPr>
          <w:sz w:val="20"/>
          <w:szCs w:val="20"/>
          <w:color w:val="auto"/>
        </w:rPr>
      </w:pPr>
      <w:r>
        <w:rPr>
          <w:rFonts w:ascii="Arial" w:cs="Arial" w:eastAsia="Arial" w:hAnsi="Arial"/>
          <w:sz w:val="18"/>
          <w:szCs w:val="18"/>
          <w:color w:val="auto"/>
        </w:rPr>
        <w:t>On July 27, 2016, World Fuel Services Corporation (the “Company”) issued a press release reporting its financial results for the second quarter ended June 30, 2016. A copy of the press release is attached hereto as Exhibit 99.1.</w:t>
      </w:r>
    </w:p>
    <w:p>
      <w:pPr>
        <w:spacing w:after="0" w:line="123" w:lineRule="exact"/>
        <w:rPr>
          <w:sz w:val="20"/>
          <w:szCs w:val="20"/>
          <w:color w:val="auto"/>
        </w:rPr>
      </w:pPr>
    </w:p>
    <w:p>
      <w:pPr>
        <w:jc w:val="both"/>
        <w:ind w:left="160" w:right="139" w:firstLine="648"/>
        <w:spacing w:after="0" w:line="224" w:lineRule="auto"/>
        <w:rPr>
          <w:sz w:val="20"/>
          <w:szCs w:val="20"/>
          <w:color w:val="auto"/>
        </w:rPr>
      </w:pPr>
      <w:r>
        <w:rPr>
          <w:rFonts w:ascii="Arial" w:cs="Arial" w:eastAsia="Arial" w:hAnsi="Arial"/>
          <w:sz w:val="18"/>
          <w:szCs w:val="18"/>
          <w:color w:val="auto"/>
        </w:rPr>
        <w:t>The Company is currently preparing and intends to file additional information and details regarding the correction of previously issued financial statements described in the attached press release pursuant to Item 8.01 of Form 8-K. The periods to be included will be:</w:t>
      </w:r>
    </w:p>
    <w:p>
      <w:pPr>
        <w:spacing w:after="0" w:line="123" w:lineRule="exact"/>
        <w:rPr>
          <w:sz w:val="20"/>
          <w:szCs w:val="20"/>
          <w:color w:val="auto"/>
        </w:rPr>
      </w:pPr>
    </w:p>
    <w:p>
      <w:pPr>
        <w:ind w:left="560" w:hanging="85"/>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Balance Sheets as of December 31, 2015 and 2014;</w:t>
      </w:r>
    </w:p>
    <w:p>
      <w:pPr>
        <w:spacing w:after="0" w:line="184" w:lineRule="exact"/>
        <w:rPr>
          <w:rFonts w:ascii="Arial" w:cs="Arial" w:eastAsia="Arial" w:hAnsi="Arial"/>
          <w:sz w:val="18"/>
          <w:szCs w:val="18"/>
          <w:color w:val="auto"/>
        </w:rPr>
      </w:pPr>
    </w:p>
    <w:p>
      <w:pPr>
        <w:ind w:left="560" w:hanging="85"/>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Statements of Income and Comprehensive Income for:</w:t>
      </w:r>
    </w:p>
    <w:p>
      <w:pPr>
        <w:spacing w:after="0" w:line="185" w:lineRule="exact"/>
        <w:rPr>
          <w:sz w:val="20"/>
          <w:szCs w:val="20"/>
          <w:color w:val="auto"/>
        </w:rPr>
      </w:pPr>
    </w:p>
    <w:p>
      <w:pPr>
        <w:ind w:left="1320" w:hanging="197"/>
        <w:spacing w:after="0"/>
        <w:tabs>
          <w:tab w:leader="none" w:pos="132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the years ended December 31, 2015, 2014 and 2013;</w:t>
      </w:r>
    </w:p>
    <w:p>
      <w:pPr>
        <w:spacing w:after="0" w:line="168" w:lineRule="exact"/>
        <w:rPr>
          <w:rFonts w:ascii="Courier New" w:cs="Courier New" w:eastAsia="Courier New" w:hAnsi="Courier New"/>
          <w:sz w:val="18"/>
          <w:szCs w:val="18"/>
          <w:color w:val="auto"/>
        </w:rPr>
      </w:pPr>
    </w:p>
    <w:p>
      <w:pPr>
        <w:ind w:left="1340" w:hanging="217"/>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the three months ended March 31, 2016 and 2015;</w:t>
      </w:r>
    </w:p>
    <w:p>
      <w:pPr>
        <w:spacing w:after="0" w:line="168" w:lineRule="exact"/>
        <w:rPr>
          <w:rFonts w:ascii="Courier New" w:cs="Courier New" w:eastAsia="Courier New" w:hAnsi="Courier New"/>
          <w:sz w:val="18"/>
          <w:szCs w:val="18"/>
          <w:color w:val="auto"/>
        </w:rPr>
      </w:pPr>
    </w:p>
    <w:p>
      <w:pPr>
        <w:ind w:left="1340" w:hanging="217"/>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the three and six months ended June 30, 2015; and</w:t>
      </w:r>
    </w:p>
    <w:p>
      <w:pPr>
        <w:spacing w:after="0" w:line="168" w:lineRule="exact"/>
        <w:rPr>
          <w:rFonts w:ascii="Courier New" w:cs="Courier New" w:eastAsia="Courier New" w:hAnsi="Courier New"/>
          <w:sz w:val="18"/>
          <w:szCs w:val="18"/>
          <w:color w:val="auto"/>
        </w:rPr>
      </w:pPr>
    </w:p>
    <w:p>
      <w:pPr>
        <w:ind w:left="1320" w:hanging="197"/>
        <w:spacing w:after="0"/>
        <w:tabs>
          <w:tab w:leader="none" w:pos="132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the three and nine months ended September 30, 2015.</w:t>
      </w:r>
    </w:p>
    <w:p>
      <w:pPr>
        <w:spacing w:after="0" w:line="169" w:lineRule="exact"/>
        <w:rPr>
          <w:sz w:val="20"/>
          <w:szCs w:val="20"/>
          <w:color w:val="auto"/>
        </w:rPr>
      </w:pPr>
    </w:p>
    <w:p>
      <w:pPr>
        <w:jc w:val="both"/>
        <w:ind w:left="160" w:right="139" w:firstLine="648"/>
        <w:spacing w:after="0" w:line="219"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7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Arial" w:cs="Arial" w:eastAsia="Arial" w:hAnsi="Arial"/>
                <w:sz w:val="18"/>
                <w:szCs w:val="18"/>
                <w:color w:val="auto"/>
              </w:rPr>
              <w:t>(d)</w:t>
            </w:r>
          </w:p>
        </w:tc>
        <w:tc>
          <w:tcPr>
            <w:tcW w:w="880" w:type="dxa"/>
            <w:vAlign w:val="bottom"/>
          </w:tcPr>
          <w:p>
            <w:pPr>
              <w:ind w:left="40"/>
              <w:spacing w:after="0"/>
              <w:rPr>
                <w:sz w:val="20"/>
                <w:szCs w:val="20"/>
                <w:color w:val="auto"/>
              </w:rPr>
            </w:pPr>
            <w:r>
              <w:rPr>
                <w:rFonts w:ascii="Arial" w:cs="Arial" w:eastAsia="Arial" w:hAnsi="Arial"/>
                <w:sz w:val="18"/>
                <w:szCs w:val="18"/>
                <w:color w:val="auto"/>
              </w:rPr>
              <w:t>Exhibits</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20" w:type="dxa"/>
            <w:vAlign w:val="bottom"/>
          </w:tcPr>
          <w:p>
            <w:pPr>
              <w:spacing w:after="0"/>
              <w:rPr>
                <w:sz w:val="20"/>
                <w:szCs w:val="20"/>
                <w:color w:val="auto"/>
              </w:rPr>
            </w:pPr>
          </w:p>
        </w:tc>
      </w:tr>
      <w:tr>
        <w:trPr>
          <w:trHeight w:val="230"/>
        </w:trPr>
        <w:tc>
          <w:tcPr>
            <w:tcW w:w="130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46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00" w:type="dxa"/>
            <w:vAlign w:val="bottom"/>
          </w:tcPr>
          <w:p>
            <w:pPr>
              <w:spacing w:after="0"/>
              <w:rPr>
                <w:sz w:val="19"/>
                <w:szCs w:val="19"/>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0"/>
              </w:rPr>
              <w:t>Press Release,</w:t>
            </w:r>
          </w:p>
        </w:tc>
        <w:tc>
          <w:tcPr>
            <w:tcW w:w="5220" w:type="dxa"/>
            <w:vAlign w:val="bottom"/>
          </w:tcPr>
          <w:p>
            <w:pPr>
              <w:ind w:left="180"/>
              <w:spacing w:after="0"/>
              <w:rPr>
                <w:sz w:val="20"/>
                <w:szCs w:val="20"/>
                <w:color w:val="auto"/>
              </w:rPr>
            </w:pPr>
            <w:r>
              <w:rPr>
                <w:rFonts w:ascii="Arial" w:cs="Arial" w:eastAsia="Arial" w:hAnsi="Arial"/>
                <w:sz w:val="18"/>
                <w:szCs w:val="18"/>
                <w:color w:val="auto"/>
              </w:rPr>
              <w:t>dated July 27, 2016.</w:t>
            </w:r>
          </w:p>
        </w:tc>
      </w:tr>
      <w:tr>
        <w:trPr>
          <w:trHeight w:val="357"/>
        </w:trPr>
        <w:tc>
          <w:tcPr>
            <w:tcW w:w="1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8"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color w:val="auto"/>
        </w:rPr>
        <w:t>SIGNATURES</w:t>
      </w:r>
    </w:p>
    <w:p>
      <w:pPr>
        <w:spacing w:after="0" w:line="24" w:lineRule="exact"/>
        <w:rPr>
          <w:sz w:val="20"/>
          <w:szCs w:val="20"/>
          <w:color w:val="auto"/>
        </w:rPr>
      </w:pPr>
    </w:p>
    <w:p>
      <w:pPr>
        <w:ind w:left="160" w:right="13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July 28, 2016</w:t>
      </w:r>
      <w:r>
        <w:rPr>
          <w:sz w:val="20"/>
          <w:szCs w:val="20"/>
          <w:color w:val="auto"/>
        </w:rPr>
        <w:tab/>
      </w:r>
      <w:r>
        <w:rPr>
          <w:rFonts w:ascii="Arial" w:cs="Arial" w:eastAsia="Arial" w:hAnsi="Arial"/>
          <w:sz w:val="16"/>
          <w:szCs w:val="16"/>
          <w:b w:val="1"/>
          <w:bCs w:val="1"/>
          <w:color w:val="auto"/>
        </w:rPr>
        <w:t>World Fuel Services Corporation</w:t>
      </w:r>
    </w:p>
    <w:p>
      <w:pPr>
        <w:spacing w:after="0" w:line="14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-635</wp:posOffset>
            </wp:positionV>
            <wp:extent cx="27101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4600"/>
        <w:spacing w:after="0" w:line="203" w:lineRule="auto"/>
        <w:rPr>
          <w:sz w:val="20"/>
          <w:szCs w:val="20"/>
          <w:color w:val="auto"/>
        </w:rPr>
      </w:pPr>
      <w:r>
        <w:rPr>
          <w:rFonts w:ascii="Arial" w:cs="Arial" w:eastAsia="Arial" w:hAnsi="Arial"/>
          <w:sz w:val="18"/>
          <w:szCs w:val="18"/>
          <w:color w:val="auto"/>
        </w:rPr>
        <w:t>Ira M. Birns</w:t>
      </w:r>
    </w:p>
    <w:p>
      <w:pPr>
        <w:ind w:left="460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3" w:name="page4"/>
    <w:bookmarkEnd w:id="3"/>
    <w:tbl>
      <w:tblPr>
        <w:tblLayout w:type="fixed"/>
        <w:tblInd w:w="140" w:type="dxa"/>
        <w:tblCellMar>
          <w:top w:w="0" w:type="dxa"/>
          <w:left w:w="0" w:type="dxa"/>
          <w:bottom w:w="0" w:type="dxa"/>
          <w:right w:w="0" w:type="dxa"/>
        </w:tblCellMar>
      </w:tblPr>
      <w:tr>
        <w:trPr>
          <w:trHeight w:val="276"/>
        </w:trPr>
        <w:tc>
          <w:tcPr>
            <w:tcW w:w="2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360" w:type="dxa"/>
            <w:vAlign w:val="bottom"/>
          </w:tcPr>
          <w:p>
            <w:pPr>
              <w:ind w:left="1220"/>
              <w:spacing w:after="0"/>
              <w:rPr>
                <w:sz w:val="20"/>
                <w:szCs w:val="20"/>
                <w:color w:val="auto"/>
              </w:rPr>
            </w:pPr>
            <w:r>
              <w:rPr>
                <w:rFonts w:ascii="Arial" w:cs="Arial" w:eastAsia="Arial" w:hAnsi="Arial"/>
                <w:sz w:val="22"/>
                <w:szCs w:val="22"/>
                <w:color w:val="auto"/>
              </w:rPr>
              <w:t>EXHIBIT INDEX</w:t>
            </w:r>
          </w:p>
        </w:tc>
        <w:tc>
          <w:tcPr>
            <w:tcW w:w="20" w:type="dxa"/>
            <w:vAlign w:val="bottom"/>
          </w:tcPr>
          <w:p>
            <w:pPr>
              <w:spacing w:after="0"/>
              <w:rPr>
                <w:sz w:val="23"/>
                <w:szCs w:val="23"/>
                <w:color w:val="auto"/>
              </w:rPr>
            </w:pPr>
          </w:p>
        </w:tc>
      </w:tr>
      <w:tr>
        <w:trPr>
          <w:trHeight w:val="368"/>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6360" w:type="dxa"/>
            <w:vAlign w:val="bottom"/>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4"/>
                <w:szCs w:val="24"/>
                <w:color w:val="auto"/>
              </w:rPr>
            </w:pPr>
          </w:p>
        </w:tc>
      </w:tr>
      <w:tr>
        <w:trPr>
          <w:trHeight w:val="224"/>
        </w:trPr>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6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July 27, 2016.</w:t>
            </w:r>
          </w:p>
        </w:tc>
        <w:tc>
          <w:tcPr>
            <w:tcW w:w="20" w:type="dxa"/>
            <w:vAlign w:val="bottom"/>
          </w:tcPr>
          <w:p>
            <w:pPr>
              <w:spacing w:after="0"/>
              <w:rPr>
                <w:sz w:val="19"/>
                <w:szCs w:val="19"/>
                <w:color w:val="auto"/>
              </w:rPr>
            </w:pPr>
          </w:p>
        </w:tc>
      </w:tr>
      <w:tr>
        <w:trPr>
          <w:trHeight w:val="560"/>
        </w:trPr>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4" w:right="1440" w:bottom="1440" w:gutter="0" w:footer="0" w:header="0"/>
        </w:sectPr>
      </w:pPr>
    </w:p>
    <w:bookmarkStart w:id="4" w:name="page5"/>
    <w:bookmarkEnd w:id="4"/>
    <w:p>
      <w:pPr>
        <w:ind w:left="7880"/>
        <w:spacing w:after="0"/>
        <w:rPr>
          <w:sz w:val="20"/>
          <w:szCs w:val="20"/>
          <w:color w:val="auto"/>
        </w:rPr>
      </w:pPr>
      <w:r>
        <w:rPr>
          <w:rFonts w:ascii="Arial" w:cs="Arial" w:eastAsia="Arial" w:hAnsi="Arial"/>
          <w:sz w:val="20"/>
          <w:szCs w:val="20"/>
          <w:b w:val="1"/>
          <w:bCs w:val="1"/>
          <w:color w:val="auto"/>
        </w:rPr>
        <w:t>Exhibit 99.1</w:t>
      </w:r>
    </w:p>
    <w:p>
      <w:pPr>
        <w:spacing w:after="0" w:line="291" w:lineRule="exact"/>
        <w:rPr>
          <w:sz w:val="20"/>
          <w:szCs w:val="20"/>
          <w:color w:val="auto"/>
        </w:rPr>
      </w:pPr>
    </w:p>
    <w:p>
      <w:pPr>
        <w:ind w:left="604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-76200</wp:posOffset>
            </wp:positionV>
            <wp:extent cx="1895475" cy="892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5475" cy="892175"/>
                    </a:xfrm>
                    <a:prstGeom prst="rect">
                      <a:avLst/>
                    </a:prstGeom>
                    <a:noFill/>
                  </pic:spPr>
                </pic:pic>
              </a:graphicData>
            </a:graphic>
          </wp:anchor>
        </w:drawing>
      </w:r>
    </w:p>
    <w:p>
      <w:pPr>
        <w:ind w:left="6040"/>
        <w:spacing w:after="0" w:line="197" w:lineRule="auto"/>
        <w:rPr>
          <w:sz w:val="20"/>
          <w:szCs w:val="20"/>
          <w:color w:val="auto"/>
        </w:rPr>
      </w:pPr>
      <w:r>
        <w:rPr>
          <w:rFonts w:ascii="Arial" w:cs="Arial" w:eastAsia="Arial" w:hAnsi="Arial"/>
          <w:sz w:val="20"/>
          <w:szCs w:val="20"/>
          <w:color w:val="auto"/>
        </w:rPr>
        <w:t>Ira M. Birns, Executive Vice</w:t>
      </w:r>
    </w:p>
    <w:p>
      <w:pPr>
        <w:ind w:left="6040"/>
        <w:spacing w:after="0" w:line="197" w:lineRule="auto"/>
        <w:rPr>
          <w:sz w:val="20"/>
          <w:szCs w:val="20"/>
          <w:color w:val="auto"/>
        </w:rPr>
      </w:pPr>
      <w:r>
        <w:rPr>
          <w:rFonts w:ascii="Arial" w:cs="Arial" w:eastAsia="Arial" w:hAnsi="Arial"/>
          <w:sz w:val="20"/>
          <w:szCs w:val="20"/>
          <w:color w:val="auto"/>
        </w:rPr>
        <w:t>President &amp;</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Chief Financial Officer</w:t>
      </w:r>
    </w:p>
    <w:p>
      <w:pPr>
        <w:spacing w:after="0" w:line="107"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Glenn Klevitz</w:t>
      </w:r>
    </w:p>
    <w:p>
      <w:pPr>
        <w:ind w:left="6040"/>
        <w:spacing w:after="0" w:line="207" w:lineRule="auto"/>
        <w:rPr>
          <w:sz w:val="20"/>
          <w:szCs w:val="20"/>
          <w:color w:val="auto"/>
        </w:rPr>
      </w:pPr>
      <w:r>
        <w:rPr>
          <w:rFonts w:ascii="Arial" w:cs="Arial" w:eastAsia="Arial" w:hAnsi="Arial"/>
          <w:sz w:val="19"/>
          <w:szCs w:val="19"/>
          <w:color w:val="auto"/>
        </w:rPr>
        <w:t>Vice President, Assistant Treasurer</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305-428-8000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Second Quarter 2016 Earnings</w:t>
      </w:r>
    </w:p>
    <w:p>
      <w:pPr>
        <w:spacing w:after="0" w:line="200" w:lineRule="exact"/>
        <w:rPr>
          <w:sz w:val="20"/>
          <w:szCs w:val="20"/>
          <w:color w:val="auto"/>
        </w:rPr>
      </w:pPr>
    </w:p>
    <w:p>
      <w:pPr>
        <w:spacing w:after="0" w:line="22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MIAMI—July 27, 2016-- World Fuel Services Corporation (NYSE: INT) today reported second quarter net income of $30.0 million or $0.43 diluted earnings per share compared to $30.5 million or $0.43 diluted earnings per share in the second quarter of 2015. Excluding the impact of certain non-recurring expenses, adjusted second quarter net income was $34.8 million or $0.50 adjusted diluted earnings per share. Non-GAAP net income and diluted earnings per share for the second quarter, excluding share-based compensation and amortization of acquired intangible assets were $44.0 million and $0.63, respectively, compared to $38.5 million and $0.54 in 2015.</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quarter, our aviation segment posted strong results in their core resale operations and our land segment generated solid growth in retail and wholesale distribution,” stated Michael J. Kasbar, chairman and chief executive officer of World Fuel Services Corporation. “The recent acquisitions of PAPCO on the east coast and Associated Petroleum Products on the west coast have significantly expanded our U.S. commercial and industrial distribution platform. We are poised to execute on numerous development opportunities as our organic initiatives and strategic investments should emerge as meaningful growth drivers in 2017.”</w:t>
      </w:r>
    </w:p>
    <w:p>
      <w:pPr>
        <w:spacing w:after="0" w:line="101"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The company’s aviation segment generated gross profit of $98.6 million, an increase of $13.6 million or 16% year-over-year. The company’s land segment posted gross profit of $80.2 million, an increase of $16.6 million or 26% year-over-year. The company’s marine segment generated gross profit of $39.7 million, a decrease of $2.1 million or 5% year-over-year.</w:t>
      </w:r>
    </w:p>
    <w:p>
      <w:pPr>
        <w:spacing w:after="0" w:line="104"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“Consistent cash flow generation and prudent balance sheet management has enabled us to aggregate $1.2 billion of operating cash flow over the past four years,” said Ira M. Birns, executive vice president and chief financial officer. “The two strategic acquisitions we completed to start the third quarter and the ExxonMobil transaction expected to be fully completed by early next year, will be almost entirely funded with cash flow generated over the past twelve months, preserving our strong and liquid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563880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5" w:name="page6"/>
    <w:bookmarkEnd w:id="5"/>
    <w:p>
      <w:pPr>
        <w:ind w:left="160"/>
        <w:spacing w:after="0"/>
        <w:rPr>
          <w:sz w:val="20"/>
          <w:szCs w:val="20"/>
          <w:color w:val="auto"/>
        </w:rPr>
      </w:pPr>
      <w:r>
        <w:rPr>
          <w:rFonts w:ascii="Arial" w:cs="Arial" w:eastAsia="Arial" w:hAnsi="Arial"/>
          <w:sz w:val="14"/>
          <w:szCs w:val="14"/>
          <w:u w:val="single" w:color="auto"/>
          <w:color w:val="auto"/>
        </w:rPr>
        <w:t>Correction of Previously Issued Financial Statements</w:t>
      </w:r>
    </w:p>
    <w:p>
      <w:pPr>
        <w:jc w:val="both"/>
        <w:ind w:left="160" w:right="139"/>
        <w:spacing w:after="0" w:line="229" w:lineRule="auto"/>
        <w:rPr>
          <w:sz w:val="20"/>
          <w:szCs w:val="20"/>
          <w:color w:val="auto"/>
        </w:rPr>
      </w:pPr>
      <w:r>
        <w:rPr>
          <w:rFonts w:ascii="Arial" w:cs="Arial" w:eastAsia="Arial" w:hAnsi="Arial"/>
          <w:sz w:val="14"/>
          <w:szCs w:val="14"/>
          <w:color w:val="auto"/>
        </w:rPr>
        <w:t>During the second quarter of 2016, we identified a correction to our provision for income taxes for certain prior periods, due to the accounting for the tax effects of foreign currency translation changes on intercompany loans that are considered to be of a long-term investment nature. The Company determined that it had incorrectly recorded a deferred tax asset related to foreign currency translation losses in the provision for income taxes, resulting in the Company reporting a lower provision for income taxes in the affected periods.</w:t>
      </w:r>
    </w:p>
    <w:p>
      <w:pPr>
        <w:spacing w:after="0" w:line="116" w:lineRule="exact"/>
        <w:rPr>
          <w:sz w:val="20"/>
          <w:szCs w:val="20"/>
          <w:color w:val="auto"/>
        </w:rPr>
      </w:pPr>
    </w:p>
    <w:p>
      <w:pPr>
        <w:jc w:val="both"/>
        <w:ind w:left="160" w:right="139"/>
        <w:spacing w:after="0" w:line="228" w:lineRule="auto"/>
        <w:rPr>
          <w:sz w:val="20"/>
          <w:szCs w:val="20"/>
          <w:color w:val="auto"/>
        </w:rPr>
      </w:pPr>
      <w:r>
        <w:rPr>
          <w:rFonts w:ascii="Arial" w:cs="Arial" w:eastAsia="Arial" w:hAnsi="Arial"/>
          <w:sz w:val="14"/>
          <w:szCs w:val="14"/>
          <w:color w:val="auto"/>
        </w:rPr>
        <w:t>Management evaluated the materiality of the error from qualitative and quantitative perspectives, and concluded the error was not material to its previously issued annual and interim financial statements. The cumulative amounts of the corrections were approximately $20.0 million, of which approximately $12.5 million was attributable to the year ended December 31, 2015. The cumulative amount of the prior period adjustments would have been material to our current Statements of Income and Comprehensive Income had we made the correction in the current period and, accordingly we will revise our previously issued financial statements prospectively to correct these errors. Please refer to Item 8.01 of the Company’s Current Report on Form 8-K and the Company’s Quarterly Report on Form 10-Q for the quarter ended June 30, 2016 to be filed with the Securities and Exchange Commission for further information and details on the affected periods.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auto"/>
        </w:rPr>
        <w:t>Non-GAAP Financial Measures</w:t>
      </w:r>
    </w:p>
    <w:p>
      <w:pPr>
        <w:jc w:val="both"/>
        <w:ind w:left="160" w:right="139"/>
        <w:spacing w:after="0" w:line="223" w:lineRule="auto"/>
        <w:rPr>
          <w:sz w:val="20"/>
          <w:szCs w:val="20"/>
          <w:color w:val="auto"/>
        </w:rPr>
      </w:pPr>
      <w:r>
        <w:rPr>
          <w:rFonts w:ascii="Arial" w:cs="Arial" w:eastAsia="Arial" w:hAnsi="Arial"/>
          <w:sz w:val="14"/>
          <w:szCs w:val="14"/>
          <w:color w:val="auto"/>
        </w:rPr>
        <w:t>The non-GAAP financial measures exclude costs associated with share-based compensation, amortization of acquired intangible assets, expenses related to acquisitions and other related charges, deferred revenue purchase accounting adjustments, and termination of employment agreement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acquisitions and other related charges, and termination of employment agreement expenses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121" w:lineRule="exact"/>
        <w:rPr>
          <w:sz w:val="20"/>
          <w:szCs w:val="20"/>
          <w:color w:val="auto"/>
        </w:rPr>
      </w:pPr>
    </w:p>
    <w:p>
      <w:pPr>
        <w:jc w:val="both"/>
        <w:ind w:left="160" w:right="139"/>
        <w:spacing w:after="0" w:line="247" w:lineRule="auto"/>
        <w:rPr>
          <w:sz w:val="20"/>
          <w:szCs w:val="20"/>
          <w:color w:val="auto"/>
        </w:rPr>
      </w:pPr>
      <w:r>
        <w:rPr>
          <w:rFonts w:ascii="Arial" w:cs="Arial" w:eastAsia="Arial" w:hAnsi="Arial"/>
          <w:sz w:val="13"/>
          <w:szCs w:val="13"/>
          <w:color w:val="auto"/>
        </w:rPr>
        <w:t>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auto"/>
        </w:rPr>
        <w:t>Information Relating to Forward-Looking Statements</w:t>
      </w:r>
    </w:p>
    <w:p>
      <w:pPr>
        <w:jc w:val="both"/>
        <w:ind w:left="160" w:right="139"/>
        <w:spacing w:after="0"/>
        <w:rPr>
          <w:sz w:val="20"/>
          <w:szCs w:val="20"/>
          <w:color w:val="auto"/>
        </w:rPr>
      </w:pPr>
      <w:r>
        <w:rPr>
          <w:rFonts w:ascii="Arial" w:cs="Arial" w:eastAsia="Arial" w:hAnsi="Arial"/>
          <w:sz w:val="13"/>
          <w:szCs w:val="13"/>
          <w:color w:val="auto"/>
        </w:rPr>
        <w:t>This release includes forward-looking statements within the meaning of the Private Securities Litigation Reform Act of 1995, including statements regarding our expectations about our growth initiatives, investment opportunities, and the ability of our business model to drive growth. These forward-looking statements are qualified in their entirety by cautionary statements and risk factor disclosures contained in the company’s Securities and Exchange Commission (“SEC”) filings, including the company’s Annual Report on Form 10-K filed with the SEC on February 16, 2016.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u w:val="single" w:color="auto"/>
          <w:color w:val="auto"/>
        </w:rPr>
        <w:t>About World Fuel Services Corporation</w:t>
      </w:r>
    </w:p>
    <w:p>
      <w:pPr>
        <w:jc w:val="both"/>
        <w:ind w:left="160" w:right="139"/>
        <w:spacing w:after="0" w:line="255" w:lineRule="auto"/>
        <w:rPr>
          <w:sz w:val="20"/>
          <w:szCs w:val="20"/>
          <w:color w:val="auto"/>
        </w:rPr>
      </w:pPr>
      <w:r>
        <w:rPr>
          <w:rFonts w:ascii="Arial" w:cs="Arial" w:eastAsia="Arial" w:hAnsi="Arial"/>
          <w:sz w:val="13"/>
          <w:szCs w:val="13"/>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06" w:lineRule="exact"/>
        <w:rPr>
          <w:sz w:val="20"/>
          <w:szCs w:val="20"/>
          <w:color w:val="auto"/>
        </w:rPr>
      </w:pPr>
    </w:p>
    <w:p>
      <w:pPr>
        <w:jc w:val="both"/>
        <w:ind w:left="160" w:right="139"/>
        <w:spacing w:after="0" w:line="256" w:lineRule="auto"/>
        <w:rPr>
          <w:sz w:val="20"/>
          <w:szCs w:val="20"/>
          <w:color w:val="auto"/>
        </w:rPr>
      </w:pPr>
      <w:r>
        <w:rPr>
          <w:rFonts w:ascii="Arial" w:cs="Arial" w:eastAsia="Arial" w:hAnsi="Arial"/>
          <w:sz w:val="13"/>
          <w:szCs w:val="13"/>
          <w:color w:val="auto"/>
        </w:rPr>
        <w:t>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121285</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6" w:name="page7"/>
    <w:bookmarkEnd w:id="6"/>
    <w:p>
      <w:pPr>
        <w:jc w:val="both"/>
        <w:ind w:left="160" w:right="139"/>
        <w:spacing w:after="0" w:line="237" w:lineRule="auto"/>
        <w:rPr>
          <w:sz w:val="20"/>
          <w:szCs w:val="20"/>
          <w:color w:val="auto"/>
        </w:rPr>
      </w:pPr>
      <w:r>
        <w:rPr>
          <w:rFonts w:ascii="Arial" w:cs="Arial" w:eastAsia="Arial" w:hAnsi="Arial"/>
          <w:sz w:val="14"/>
          <w:szCs w:val="14"/>
          <w:color w:val="auto"/>
        </w:rPr>
        <w:t>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www.wfscorp.com.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128905</wp:posOffset>
            </wp:positionV>
            <wp:extent cx="554863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ind w:left="2960"/>
        <w:spacing w:after="0" w:line="203" w:lineRule="auto"/>
        <w:rPr>
          <w:sz w:val="20"/>
          <w:szCs w:val="20"/>
          <w:color w:val="auto"/>
        </w:rPr>
      </w:pPr>
      <w:r>
        <w:rPr>
          <w:rFonts w:ascii="Arial" w:cs="Arial" w:eastAsia="Arial" w:hAnsi="Arial"/>
          <w:sz w:val="18"/>
          <w:szCs w:val="18"/>
          <w:b w:val="1"/>
          <w:bCs w:val="1"/>
          <w:color w:val="auto"/>
        </w:rPr>
        <w:t>CONSOLIDATED BALANCE SHEETS</w:t>
      </w:r>
    </w:p>
    <w:p>
      <w:pPr>
        <w:ind w:left="2840"/>
        <w:spacing w:after="0"/>
        <w:rPr>
          <w:sz w:val="20"/>
          <w:szCs w:val="20"/>
          <w:color w:val="auto"/>
        </w:rPr>
      </w:pPr>
      <w:r>
        <w:rPr>
          <w:rFonts w:ascii="Arial" w:cs="Arial" w:eastAsia="Arial" w:hAnsi="Arial"/>
          <w:sz w:val="18"/>
          <w:szCs w:val="18"/>
          <w:color w:val="auto"/>
        </w:rPr>
        <w:t>(Unaudited - In millions, except per share data)</w:t>
      </w: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As of</w:t>
            </w:r>
          </w:p>
        </w:tc>
      </w:tr>
      <w:tr>
        <w:trPr>
          <w:trHeight w:val="173"/>
        </w:trPr>
        <w:tc>
          <w:tcPr>
            <w:tcW w:w="60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r>
      <w:tr>
        <w:trPr>
          <w:trHeight w:val="171"/>
        </w:trPr>
        <w:tc>
          <w:tcPr>
            <w:tcW w:w="6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r>
      <w:tr>
        <w:trPr>
          <w:trHeight w:val="196"/>
        </w:trPr>
        <w:tc>
          <w:tcPr>
            <w:tcW w:w="6060" w:type="dxa"/>
            <w:vAlign w:val="bottom"/>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737.2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582.5</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2,030.7</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1,812.6</w:t>
            </w:r>
          </w:p>
        </w:tc>
        <w:tc>
          <w:tcPr>
            <w:tcW w:w="20" w:type="dxa"/>
            <w:vAlign w:val="bottom"/>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373.5</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359.1</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46.0</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20" w:type="dxa"/>
            <w:vAlign w:val="bottom"/>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4"/>
                <w:szCs w:val="14"/>
                <w:color w:val="auto"/>
              </w:rPr>
              <w:t>Short-term derivative assets, net</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44.7</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220.4</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assets</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282.7</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20" w:type="dxa"/>
            <w:vAlign w:val="bottom"/>
          </w:tcPr>
          <w:p>
            <w:pPr>
              <w:spacing w:after="0"/>
              <w:rPr>
                <w:sz w:val="17"/>
                <w:szCs w:val="17"/>
                <w:color w:val="auto"/>
              </w:rPr>
            </w:pPr>
          </w:p>
        </w:tc>
      </w:tr>
      <w:tr>
        <w:trPr>
          <w:trHeight w:val="203"/>
        </w:trPr>
        <w:tc>
          <w:tcPr>
            <w:tcW w:w="60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Current assets held for sale</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7"/>
                <w:szCs w:val="17"/>
                <w:color w:val="auto"/>
              </w:rPr>
            </w:pPr>
          </w:p>
        </w:tc>
      </w:tr>
      <w:tr>
        <w:trPr>
          <w:trHeight w:val="196"/>
        </w:trPr>
        <w:tc>
          <w:tcPr>
            <w:tcW w:w="6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3,514.8</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3,246.0</w:t>
            </w:r>
          </w:p>
        </w:tc>
        <w:tc>
          <w:tcPr>
            <w:tcW w:w="2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220.9</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20" w:type="dxa"/>
            <w:vAlign w:val="bottom"/>
          </w:tcPr>
          <w:p>
            <w:pPr>
              <w:spacing w:after="0"/>
              <w:rPr>
                <w:sz w:val="17"/>
                <w:szCs w:val="17"/>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672.2</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675.8</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Identifiable intangible and other non-current assets</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340.8</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20" w:type="dxa"/>
            <w:vAlign w:val="bottom"/>
          </w:tcPr>
          <w:p>
            <w:pPr>
              <w:spacing w:after="0"/>
              <w:rPr>
                <w:sz w:val="17"/>
                <w:szCs w:val="17"/>
                <w:color w:val="auto"/>
              </w:rPr>
            </w:pPr>
          </w:p>
        </w:tc>
      </w:tr>
      <w:tr>
        <w:trPr>
          <w:trHeight w:val="20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Non-current assets held for sale</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20" w:type="dxa"/>
            <w:vAlign w:val="bottom"/>
          </w:tcPr>
          <w:p>
            <w:pPr>
              <w:spacing w:after="0"/>
              <w:rPr>
                <w:sz w:val="17"/>
                <w:szCs w:val="17"/>
                <w:color w:val="auto"/>
              </w:rPr>
            </w:pPr>
          </w:p>
        </w:tc>
      </w:tr>
      <w:tr>
        <w:trPr>
          <w:trHeight w:val="203"/>
        </w:trPr>
        <w:tc>
          <w:tcPr>
            <w:tcW w:w="6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4,748.7</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4,525.3</w:t>
            </w:r>
          </w:p>
        </w:tc>
        <w:tc>
          <w:tcPr>
            <w:tcW w:w="2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debt</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28.8</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0" w:type="dxa"/>
            <w:vAlign w:val="bottom"/>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1,520.1</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1,349.6</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Customer deposits</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102.3</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20" w:type="dxa"/>
            <w:vAlign w:val="bottom"/>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260.5</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255.2</w:t>
            </w:r>
          </w:p>
        </w:tc>
        <w:tc>
          <w:tcPr>
            <w:tcW w:w="20" w:type="dxa"/>
            <w:vAlign w:val="bottom"/>
          </w:tcPr>
          <w:p>
            <w:pPr>
              <w:spacing w:after="0"/>
              <w:rPr>
                <w:sz w:val="17"/>
                <w:szCs w:val="17"/>
                <w:color w:val="auto"/>
              </w:rPr>
            </w:pPr>
          </w:p>
        </w:tc>
      </w:tr>
      <w:tr>
        <w:trPr>
          <w:trHeight w:val="203"/>
        </w:trPr>
        <w:tc>
          <w:tcPr>
            <w:tcW w:w="6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Current liabilities held for sale</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7"/>
                <w:szCs w:val="17"/>
                <w:color w:val="auto"/>
              </w:rPr>
            </w:pPr>
          </w:p>
        </w:tc>
      </w:tr>
      <w:tr>
        <w:trPr>
          <w:trHeight w:val="196"/>
        </w:trPr>
        <w:tc>
          <w:tcPr>
            <w:tcW w:w="606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1,911.7</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1,754.2</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767.7</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746.7</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income tax liabilities, net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93.1</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20" w:type="dxa"/>
            <w:vAlign w:val="bottom"/>
          </w:tcPr>
          <w:p>
            <w:pPr>
              <w:spacing w:after="0"/>
              <w:rPr>
                <w:sz w:val="17"/>
                <w:szCs w:val="17"/>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22.9</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25.8</w:t>
            </w:r>
          </w:p>
        </w:tc>
        <w:tc>
          <w:tcPr>
            <w:tcW w:w="20" w:type="dxa"/>
            <w:vAlign w:val="bottom"/>
          </w:tcPr>
          <w:p>
            <w:pPr>
              <w:spacing w:after="0"/>
              <w:rPr>
                <w:sz w:val="17"/>
                <w:szCs w:val="17"/>
                <w:color w:val="auto"/>
              </w:rPr>
            </w:pPr>
          </w:p>
        </w:tc>
      </w:tr>
      <w:tr>
        <w:trPr>
          <w:trHeight w:val="203"/>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Non-current liabilities held for sale</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7"/>
                <w:szCs w:val="17"/>
                <w:color w:val="auto"/>
              </w:rPr>
            </w:pPr>
          </w:p>
        </w:tc>
      </w:tr>
      <w:tr>
        <w:trPr>
          <w:trHeight w:val="203"/>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2,795.3</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2,619.4</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Pr>
          <w:p>
            <w:pPr>
              <w:ind w:left="20"/>
              <w:spacing w:after="0"/>
              <w:rPr>
                <w:sz w:val="20"/>
                <w:szCs w:val="20"/>
                <w:color w:val="auto"/>
              </w:rPr>
            </w:pPr>
            <w:r>
              <w:rPr>
                <w:rFonts w:ascii="Arial" w:cs="Arial" w:eastAsia="Arial" w:hAnsi="Arial"/>
                <w:sz w:val="14"/>
                <w:szCs w:val="14"/>
                <w:color w:val="auto"/>
              </w:rPr>
              <w:t>Equity:</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 Fuel shareholders' equity:</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4"/>
                <w:szCs w:val="14"/>
                <w:color w:val="auto"/>
              </w:rPr>
              <w:t>Preferred stock, $1.00 par value; 0.1 shares authorized, none issued</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60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Common stock, $0.01 par value; 100 shares authorized, 70.4 and 70.8 issued and outstanding as of</w:t>
            </w:r>
          </w:p>
        </w:tc>
        <w:tc>
          <w:tcPr>
            <w:tcW w:w="3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June 30, 2016 and December 31, 2015, respectively</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4"/>
                <w:szCs w:val="14"/>
                <w:color w:val="auto"/>
              </w:rPr>
              <w:t>Capital in excess of par value</w:t>
            </w:r>
          </w:p>
        </w:tc>
        <w:tc>
          <w:tcPr>
            <w:tcW w:w="36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404.9</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435.3</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1,642.9</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1,569.4</w:t>
            </w:r>
          </w:p>
        </w:tc>
        <w:tc>
          <w:tcPr>
            <w:tcW w:w="20" w:type="dxa"/>
            <w:vAlign w:val="bottom"/>
          </w:tcPr>
          <w:p>
            <w:pPr>
              <w:spacing w:after="0"/>
              <w:rPr>
                <w:sz w:val="17"/>
                <w:szCs w:val="17"/>
                <w:color w:val="auto"/>
              </w:rPr>
            </w:pPr>
          </w:p>
        </w:tc>
      </w:tr>
      <w:tr>
        <w:trPr>
          <w:trHeight w:val="203"/>
        </w:trPr>
        <w:tc>
          <w:tcPr>
            <w:tcW w:w="606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(112.6)</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(109.5)</w:t>
            </w:r>
          </w:p>
        </w:tc>
      </w:tr>
      <w:tr>
        <w:trPr>
          <w:trHeight w:val="196"/>
        </w:trPr>
        <w:tc>
          <w:tcPr>
            <w:tcW w:w="60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World Fuel shareholders' equity</w:t>
            </w: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1,935.9</w:t>
            </w: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1,895.9</w:t>
            </w:r>
          </w:p>
        </w:tc>
        <w:tc>
          <w:tcPr>
            <w:tcW w:w="20" w:type="dxa"/>
            <w:vAlign w:val="bottom"/>
          </w:tcPr>
          <w:p>
            <w:pPr>
              <w:spacing w:after="0"/>
              <w:rPr>
                <w:sz w:val="17"/>
                <w:szCs w:val="17"/>
                <w:color w:val="auto"/>
              </w:rPr>
            </w:pPr>
          </w:p>
        </w:tc>
      </w:tr>
      <w:tr>
        <w:trPr>
          <w:trHeight w:val="20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Noncontrolling interest equity</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7"/>
                <w:szCs w:val="17"/>
                <w:color w:val="auto"/>
              </w:rPr>
            </w:pPr>
          </w:p>
        </w:tc>
      </w:tr>
      <w:tr>
        <w:trPr>
          <w:trHeight w:val="196"/>
        </w:trPr>
        <w:tc>
          <w:tcPr>
            <w:tcW w:w="6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equity</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1,953.5</w:t>
            </w: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1,905.9</w:t>
            </w:r>
          </w:p>
        </w:tc>
        <w:tc>
          <w:tcPr>
            <w:tcW w:w="20" w:type="dxa"/>
            <w:vAlign w:val="bottom"/>
          </w:tcPr>
          <w:p>
            <w:pPr>
              <w:spacing w:after="0"/>
              <w:rPr>
                <w:sz w:val="17"/>
                <w:szCs w:val="17"/>
                <w:color w:val="auto"/>
              </w:rPr>
            </w:pPr>
          </w:p>
        </w:tc>
      </w:tr>
      <w:tr>
        <w:trPr>
          <w:trHeight w:val="205"/>
        </w:trPr>
        <w:tc>
          <w:tcPr>
            <w:tcW w:w="6060" w:type="dxa"/>
            <w:vAlign w:val="bottom"/>
          </w:tcPr>
          <w:p>
            <w:pPr>
              <w:ind w:left="220"/>
              <w:spacing w:after="0"/>
              <w:rPr>
                <w:sz w:val="20"/>
                <w:szCs w:val="20"/>
                <w:color w:val="auto"/>
              </w:rPr>
            </w:pPr>
            <w:r>
              <w:rPr>
                <w:rFonts w:ascii="Arial" w:cs="Arial" w:eastAsia="Arial" w:hAnsi="Arial"/>
                <w:sz w:val="14"/>
                <w:szCs w:val="14"/>
                <w:color w:val="auto"/>
              </w:rPr>
              <w:t>Total liabilities and equity</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4,748.7</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4,525.3</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-5080</wp:posOffset>
            </wp:positionV>
            <wp:extent cx="55397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ind w:left="680" w:right="279" w:hanging="205"/>
        <w:spacing w:after="0" w:line="218" w:lineRule="auto"/>
        <w:tabs>
          <w:tab w:leader="none" w:pos="6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Certain prior period amounts have been revised to reflect the impact of adjustments made to the Company's provision for income taxes and to correct the timing of previously recorded out-of-period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259080</wp:posOffset>
            </wp:positionV>
            <wp:extent cx="554863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ind w:left="2620"/>
        <w:spacing w:after="0" w:line="203" w:lineRule="auto"/>
        <w:rPr>
          <w:sz w:val="20"/>
          <w:szCs w:val="20"/>
          <w:color w:val="auto"/>
        </w:rPr>
      </w:pPr>
      <w:r>
        <w:rPr>
          <w:rFonts w:ascii="Arial" w:cs="Arial" w:eastAsia="Arial" w:hAnsi="Arial"/>
          <w:sz w:val="18"/>
          <w:szCs w:val="18"/>
          <w:b w:val="1"/>
          <w:bCs w:val="1"/>
          <w:color w:val="auto"/>
        </w:rPr>
        <w:t>CONSOLIDATED STATEMENTS OF INCOME</w:t>
      </w:r>
    </w:p>
    <w:p>
      <w:pPr>
        <w:ind w:left="2820"/>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352"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0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For the Six Months ended</w:t>
            </w:r>
          </w:p>
        </w:tc>
      </w:tr>
      <w:tr>
        <w:trPr>
          <w:trHeight w:val="188"/>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02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r>
      <w:tr>
        <w:trPr>
          <w:trHeight w:val="196"/>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6,633.0</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11,823.9</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15,837.1</w:t>
            </w:r>
          </w:p>
        </w:tc>
        <w:tc>
          <w:tcPr>
            <w:tcW w:w="20" w:type="dxa"/>
            <w:vAlign w:val="bottom"/>
          </w:tcPr>
          <w:p>
            <w:pPr>
              <w:spacing w:after="0"/>
              <w:rPr>
                <w:sz w:val="17"/>
                <w:szCs w:val="17"/>
                <w:color w:val="auto"/>
              </w:rPr>
            </w:pPr>
          </w:p>
        </w:tc>
      </w:tr>
      <w:tr>
        <w:trPr>
          <w:trHeight w:val="20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6,414.5</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8,306.0</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11,383.9</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15,433.1</w:t>
            </w:r>
          </w:p>
        </w:tc>
        <w:tc>
          <w:tcPr>
            <w:tcW w:w="20" w:type="dxa"/>
            <w:vAlign w:val="bottom"/>
          </w:tcPr>
          <w:p>
            <w:pPr>
              <w:spacing w:after="0"/>
              <w:rPr>
                <w:sz w:val="17"/>
                <w:szCs w:val="17"/>
                <w:color w:val="auto"/>
              </w:rPr>
            </w:pPr>
          </w:p>
        </w:tc>
      </w:tr>
      <w:tr>
        <w:trPr>
          <w:trHeight w:val="196"/>
        </w:trPr>
        <w:tc>
          <w:tcPr>
            <w:tcW w:w="4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218.5</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440.0</w:t>
            </w: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404.0</w:t>
            </w:r>
          </w:p>
        </w:tc>
        <w:tc>
          <w:tcPr>
            <w:tcW w:w="20" w:type="dxa"/>
            <w:vAlign w:val="bottom"/>
          </w:tcPr>
          <w:p>
            <w:pPr>
              <w:spacing w:after="0"/>
              <w:rPr>
                <w:sz w:val="17"/>
                <w:szCs w:val="17"/>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103.7</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20" w:type="dxa"/>
            <w:vAlign w:val="bottom"/>
          </w:tcPr>
          <w:p>
            <w:pPr>
              <w:spacing w:after="0"/>
              <w:rPr>
                <w:sz w:val="17"/>
                <w:szCs w:val="17"/>
                <w:color w:val="auto"/>
              </w:rPr>
            </w:pPr>
          </w:p>
        </w:tc>
      </w:tr>
      <w:tr>
        <w:trPr>
          <w:trHeight w:val="203"/>
        </w:trPr>
        <w:tc>
          <w:tcPr>
            <w:tcW w:w="4020" w:type="dxa"/>
            <w:vAlign w:val="bottom"/>
          </w:tcPr>
          <w:p>
            <w:pPr>
              <w:ind w:left="120"/>
              <w:spacing w:after="0"/>
              <w:rPr>
                <w:sz w:val="20"/>
                <w:szCs w:val="20"/>
                <w:color w:val="auto"/>
              </w:rPr>
            </w:pPr>
            <w:r>
              <w:rPr>
                <w:rFonts w:ascii="Arial" w:cs="Arial" w:eastAsia="Arial" w:hAnsi="Arial"/>
                <w:sz w:val="14"/>
                <w:szCs w:val="14"/>
                <w:color w:val="auto"/>
              </w:rPr>
              <w:t>Provision for bad debt</w:t>
            </w:r>
          </w:p>
        </w:tc>
        <w:tc>
          <w:tcPr>
            <w:tcW w:w="2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7"/>
                <w:szCs w:val="17"/>
                <w:color w:val="auto"/>
              </w:rPr>
            </w:pPr>
          </w:p>
        </w:tc>
      </w:tr>
      <w:tr>
        <w:trPr>
          <w:trHeight w:val="203"/>
        </w:trPr>
        <w:tc>
          <w:tcPr>
            <w:tcW w:w="40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66.8</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20" w:type="dxa"/>
            <w:vAlign w:val="bottom"/>
          </w:tcPr>
          <w:p>
            <w:pPr>
              <w:spacing w:after="0"/>
              <w:rPr>
                <w:sz w:val="17"/>
                <w:szCs w:val="17"/>
                <w:color w:val="auto"/>
              </w:rPr>
            </w:pPr>
          </w:p>
        </w:tc>
      </w:tr>
      <w:tr>
        <w:trPr>
          <w:trHeight w:val="196"/>
        </w:trPr>
        <w:tc>
          <w:tcPr>
            <w:tcW w:w="4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173.0</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333.4</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294.8</w:t>
            </w:r>
          </w:p>
        </w:tc>
        <w:tc>
          <w:tcPr>
            <w:tcW w:w="20" w:type="dxa"/>
            <w:vAlign w:val="bottom"/>
          </w:tcPr>
          <w:p>
            <w:pPr>
              <w:spacing w:after="0"/>
              <w:rPr>
                <w:sz w:val="17"/>
                <w:szCs w:val="17"/>
                <w:color w:val="auto"/>
              </w:rPr>
            </w:pPr>
          </w:p>
        </w:tc>
      </w:tr>
      <w:tr>
        <w:trPr>
          <w:trHeight w:val="196"/>
        </w:trPr>
        <w:tc>
          <w:tcPr>
            <w:tcW w:w="4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45.6</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20" w:type="dxa"/>
            <w:vAlign w:val="bottom"/>
          </w:tcPr>
          <w:p>
            <w:pPr>
              <w:spacing w:after="0"/>
              <w:rPr>
                <w:sz w:val="17"/>
                <w:szCs w:val="17"/>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4"/>
                <w:szCs w:val="14"/>
                <w:color w:val="auto"/>
              </w:rPr>
              <w:t>Non-operating expenses, net: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(15.7)</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7"/>
                <w:szCs w:val="17"/>
                <w:color w:val="auto"/>
              </w:rPr>
            </w:pPr>
          </w:p>
        </w:tc>
      </w:tr>
      <w:tr>
        <w:trPr>
          <w:trHeight w:val="203"/>
        </w:trPr>
        <w:tc>
          <w:tcPr>
            <w:tcW w:w="4020" w:type="dxa"/>
            <w:vAlign w:val="bottom"/>
          </w:tcPr>
          <w:p>
            <w:pPr>
              <w:ind w:left="12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402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17"/>
                <w:szCs w:val="17"/>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36.9</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94.2</w:t>
            </w:r>
          </w:p>
        </w:tc>
        <w:tc>
          <w:tcPr>
            <w:tcW w:w="20" w:type="dxa"/>
            <w:vAlign w:val="bottom"/>
          </w:tcPr>
          <w:p>
            <w:pPr>
              <w:spacing w:after="0"/>
              <w:rPr>
                <w:sz w:val="17"/>
                <w:szCs w:val="17"/>
                <w:color w:val="auto"/>
              </w:rPr>
            </w:pPr>
          </w:p>
        </w:tc>
      </w:tr>
      <w:tr>
        <w:trPr>
          <w:trHeight w:val="20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17"/>
                <w:szCs w:val="17"/>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78.3</w:t>
            </w:r>
          </w:p>
        </w:tc>
        <w:tc>
          <w:tcPr>
            <w:tcW w:w="20" w:type="dxa"/>
            <w:vAlign w:val="bottom"/>
          </w:tcPr>
          <w:p>
            <w:pPr>
              <w:spacing w:after="0"/>
              <w:rPr>
                <w:sz w:val="17"/>
                <w:szCs w:val="17"/>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(0.3)</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7"/>
                <w:szCs w:val="17"/>
                <w:color w:val="auto"/>
              </w:rPr>
            </w:pPr>
          </w:p>
        </w:tc>
      </w:tr>
      <w:tr>
        <w:trPr>
          <w:trHeight w:val="203"/>
        </w:trPr>
        <w:tc>
          <w:tcPr>
            <w:tcW w:w="4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Net income attributable to World Fuel</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30.0</w:t>
            </w: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81.6</w:t>
            </w:r>
          </w:p>
        </w:tc>
        <w:tc>
          <w:tcPr>
            <w:tcW w:w="1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80.9</w:t>
            </w:r>
          </w:p>
        </w:tc>
        <w:tc>
          <w:tcPr>
            <w:tcW w:w="20" w:type="dxa"/>
            <w:vAlign w:val="bottom"/>
          </w:tcPr>
          <w:p>
            <w:pPr>
              <w:spacing w:after="0"/>
              <w:rPr>
                <w:sz w:val="17"/>
                <w:szCs w:val="17"/>
                <w:color w:val="auto"/>
              </w:rPr>
            </w:pPr>
          </w:p>
        </w:tc>
      </w:tr>
      <w:tr>
        <w:trPr>
          <w:trHeight w:val="203"/>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common share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0.43</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8"/>
                <w:szCs w:val="18"/>
                <w:color w:val="auto"/>
              </w:rPr>
            </w:pPr>
          </w:p>
        </w:tc>
      </w:tr>
      <w:tr>
        <w:trPr>
          <w:trHeight w:val="203"/>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weighted average common shares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69.5</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20" w:type="dxa"/>
            <w:vAlign w:val="bottom"/>
          </w:tcPr>
          <w:p>
            <w:pPr>
              <w:spacing w:after="0"/>
              <w:rPr>
                <w:sz w:val="18"/>
                <w:szCs w:val="18"/>
                <w:color w:val="auto"/>
              </w:rPr>
            </w:pPr>
          </w:p>
        </w:tc>
      </w:tr>
      <w:tr>
        <w:trPr>
          <w:trHeight w:val="203"/>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0.43</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8"/>
                <w:szCs w:val="18"/>
                <w:color w:val="auto"/>
              </w:rPr>
            </w:pPr>
          </w:p>
        </w:tc>
      </w:tr>
      <w:tr>
        <w:trPr>
          <w:trHeight w:val="203"/>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weighted average common shares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70.0</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20" w:type="dxa"/>
            <w:vAlign w:val="bottom"/>
          </w:tcPr>
          <w:p>
            <w:pPr>
              <w:spacing w:after="0"/>
              <w:rPr>
                <w:sz w:val="18"/>
                <w:szCs w:val="18"/>
                <w:color w:val="auto"/>
              </w:rPr>
            </w:pPr>
          </w:p>
        </w:tc>
      </w:tr>
      <w:tr>
        <w:trPr>
          <w:trHeight w:val="203"/>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29.8</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20" w:type="dxa"/>
            <w:vAlign w:val="bottom"/>
          </w:tcPr>
          <w:p>
            <w:pPr>
              <w:spacing w:after="0"/>
              <w:rPr>
                <w:sz w:val="17"/>
                <w:szCs w:val="17"/>
                <w:color w:val="auto"/>
              </w:rPr>
            </w:pPr>
          </w:p>
        </w:tc>
      </w:tr>
      <w:tr>
        <w:trPr>
          <w:trHeight w:val="203"/>
        </w:trPr>
        <w:tc>
          <w:tcPr>
            <w:tcW w:w="40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7"/>
                <w:szCs w:val="17"/>
                <w:color w:val="auto"/>
              </w:rPr>
            </w:pPr>
          </w:p>
        </w:tc>
      </w:tr>
      <w:tr>
        <w:trPr>
          <w:trHeight w:val="130"/>
        </w:trPr>
        <w:tc>
          <w:tcPr>
            <w:tcW w:w="4020" w:type="dxa"/>
            <w:vAlign w:val="bottom"/>
          </w:tcPr>
          <w:p>
            <w:pPr>
              <w:ind w:left="120"/>
              <w:spacing w:after="0" w:line="130" w:lineRule="exact"/>
              <w:rPr>
                <w:sz w:val="20"/>
                <w:szCs w:val="20"/>
                <w:color w:val="auto"/>
              </w:rPr>
            </w:pPr>
            <w:r>
              <w:rPr>
                <w:rFonts w:ascii="Arial" w:cs="Arial" w:eastAsia="Arial" w:hAnsi="Arial"/>
                <w:sz w:val="14"/>
                <w:szCs w:val="14"/>
                <w:color w:val="auto"/>
              </w:rPr>
              <w:t>Derivative instruments, net of income tax expense of $4.0 and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020" w:type="dxa"/>
            <w:vAlign w:val="bottom"/>
          </w:tcPr>
          <w:p>
            <w:pPr>
              <w:ind w:left="120"/>
              <w:spacing w:after="0" w:line="149" w:lineRule="exact"/>
              <w:rPr>
                <w:sz w:val="20"/>
                <w:szCs w:val="20"/>
                <w:color w:val="auto"/>
              </w:rPr>
            </w:pPr>
            <w:r>
              <w:rPr>
                <w:rFonts w:ascii="Arial" w:cs="Arial" w:eastAsia="Arial" w:hAnsi="Arial"/>
                <w:sz w:val="14"/>
                <w:szCs w:val="14"/>
                <w:color w:val="auto"/>
              </w:rPr>
              <w:t>$3.4 for the three and six months ended June 30,</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4020" w:type="dxa"/>
            <w:vAlign w:val="bottom"/>
          </w:tcPr>
          <w:p>
            <w:pPr>
              <w:ind w:left="120"/>
              <w:spacing w:after="0"/>
              <w:rPr>
                <w:sz w:val="20"/>
                <w:szCs w:val="20"/>
                <w:color w:val="auto"/>
              </w:rPr>
            </w:pPr>
            <w:r>
              <w:rPr>
                <w:rFonts w:ascii="Arial" w:cs="Arial" w:eastAsia="Arial" w:hAnsi="Arial"/>
                <w:sz w:val="14"/>
                <w:szCs w:val="14"/>
                <w:color w:val="auto"/>
              </w:rPr>
              <w:t>2016, respectively</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3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6"/>
        </w:trPr>
        <w:tc>
          <w:tcPr>
            <w:tcW w:w="40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7"/>
                <w:szCs w:val="17"/>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4"/>
                <w:szCs w:val="14"/>
                <w:color w:val="auto"/>
              </w:rPr>
              <w:t>Comprehensive income including noncontrolling interest</w:t>
            </w:r>
          </w:p>
        </w:tc>
        <w:tc>
          <w:tcPr>
            <w:tcW w:w="2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24.3</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67.7</w:t>
            </w:r>
          </w:p>
        </w:tc>
        <w:tc>
          <w:tcPr>
            <w:tcW w:w="20" w:type="dxa"/>
            <w:vAlign w:val="bottom"/>
          </w:tcPr>
          <w:p>
            <w:pPr>
              <w:spacing w:after="0"/>
              <w:rPr>
                <w:sz w:val="17"/>
                <w:szCs w:val="17"/>
                <w:color w:val="auto"/>
              </w:rPr>
            </w:pPr>
          </w:p>
        </w:tc>
      </w:tr>
      <w:tr>
        <w:trPr>
          <w:trHeight w:val="130"/>
        </w:trPr>
        <w:tc>
          <w:tcPr>
            <w:tcW w:w="40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Comprehensive income (loss) attributable to noncontrolling</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3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4"/>
                <w:szCs w:val="14"/>
                <w:color w:val="auto"/>
              </w:rPr>
            </w:pPr>
          </w:p>
        </w:tc>
      </w:tr>
      <w:tr>
        <w:trPr>
          <w:trHeight w:val="205"/>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Comprehensive income attributable to World Fuel</w:t>
            </w: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31.2</w:t>
            </w:r>
          </w:p>
        </w:tc>
        <w:tc>
          <w:tcPr>
            <w:tcW w:w="3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140" w:type="dxa"/>
            <w:vAlign w:val="bottom"/>
          </w:tcPr>
          <w:p>
            <w:pPr>
              <w:spacing w:after="0"/>
              <w:rPr>
                <w:sz w:val="17"/>
                <w:szCs w:val="17"/>
                <w:color w:val="auto"/>
              </w:rPr>
            </w:pPr>
          </w:p>
        </w:tc>
        <w:tc>
          <w:tcPr>
            <w:tcW w:w="3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67.8</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-5080</wp:posOffset>
            </wp:positionV>
            <wp:extent cx="55397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ind w:left="680" w:right="279" w:hanging="205"/>
        <w:spacing w:after="0" w:line="218" w:lineRule="auto"/>
        <w:tabs>
          <w:tab w:leader="none" w:pos="6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Certain prior period amounts have been revised to reflect the impact of adjustments made to the Company's provision for income taxes and to correct the timing of previously recorded out-of-period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259080</wp:posOffset>
            </wp:positionV>
            <wp:extent cx="55486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 w:name="page10"/>
    <w:bookmarkEnd w:id="9"/>
    <w:p>
      <w:pPr>
        <w:jc w:val="center"/>
        <w:ind w:left="1600" w:right="1700"/>
        <w:spacing w:after="0" w:line="226" w:lineRule="auto"/>
        <w:rPr>
          <w:sz w:val="20"/>
          <w:szCs w:val="20"/>
          <w:color w:val="auto"/>
        </w:rPr>
      </w:pPr>
      <w:r>
        <w:rPr>
          <w:rFonts w:ascii="Arial" w:cs="Arial" w:eastAsia="Arial" w:hAnsi="Arial"/>
          <w:sz w:val="18"/>
          <w:szCs w:val="18"/>
          <w:b w:val="1"/>
          <w:bCs w:val="1"/>
          <w:color w:val="auto"/>
        </w:rPr>
        <w:t xml:space="preserve">WORLD FUEL SERVICES CORPORATION AND SUBSIDIARIES CONSOLIDATED STATEMENTS OF CASH FLOWS </w:t>
      </w:r>
      <w:r>
        <w:rPr>
          <w:rFonts w:ascii="Arial" w:cs="Arial" w:eastAsia="Arial" w:hAnsi="Arial"/>
          <w:sz w:val="18"/>
          <w:szCs w:val="18"/>
          <w:color w:val="auto"/>
        </w:rPr>
        <w:t>(Unaudited - In millions)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For the Six Months ended</w:t>
            </w:r>
          </w:p>
        </w:tc>
      </w:tr>
      <w:tr>
        <w:trPr>
          <w:trHeight w:val="188"/>
        </w:trPr>
        <w:tc>
          <w:tcPr>
            <w:tcW w:w="5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6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r>
      <w:tr>
        <w:trPr>
          <w:trHeight w:val="196"/>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income including noncontrolling interest</w:t>
            </w:r>
          </w:p>
        </w:tc>
        <w:tc>
          <w:tcPr>
            <w:tcW w:w="7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20" w:type="dxa"/>
            <w:vAlign w:val="bottom"/>
          </w:tcPr>
          <w:p>
            <w:pPr>
              <w:spacing w:after="0"/>
              <w:rPr>
                <w:sz w:val="17"/>
                <w:szCs w:val="17"/>
                <w:color w:val="auto"/>
              </w:rPr>
            </w:pPr>
          </w:p>
        </w:tc>
      </w:tr>
      <w:tr>
        <w:trPr>
          <w:trHeight w:val="123"/>
        </w:trPr>
        <w:tc>
          <w:tcPr>
            <w:tcW w:w="5620" w:type="dxa"/>
            <w:vAlign w:val="bottom"/>
            <w:shd w:val="clear" w:color="auto" w:fill="CCEEFF"/>
          </w:tcPr>
          <w:p>
            <w:pPr>
              <w:ind w:left="120"/>
              <w:spacing w:after="0" w:line="123" w:lineRule="exact"/>
              <w:rPr>
                <w:sz w:val="20"/>
                <w:szCs w:val="20"/>
                <w:color w:val="auto"/>
              </w:rPr>
            </w:pPr>
            <w:r>
              <w:rPr>
                <w:rFonts w:ascii="Arial" w:cs="Arial" w:eastAsia="Arial" w:hAnsi="Arial"/>
                <w:sz w:val="14"/>
                <w:szCs w:val="14"/>
                <w:color w:val="auto"/>
                <w:w w:val="98"/>
              </w:rPr>
              <w:t>Adjustments to reconcile net income including noncontrolling interest to net cash provided</w:t>
            </w:r>
          </w:p>
        </w:tc>
        <w:tc>
          <w:tcPr>
            <w:tcW w:w="7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67"/>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by operating activities:</w:t>
            </w:r>
          </w:p>
        </w:tc>
        <w:tc>
          <w:tcPr>
            <w:tcW w:w="7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w:t>
            </w: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bad debt</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7"/>
                <w:szCs w:val="17"/>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4"/>
                <w:szCs w:val="14"/>
                <w:color w:val="auto"/>
              </w:rPr>
              <w:t>Gain on sale of held for sale assets and liabilities</w:t>
            </w:r>
          </w:p>
        </w:tc>
        <w:tc>
          <w:tcPr>
            <w:tcW w:w="7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payment award compensation costs</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7"/>
                <w:szCs w:val="17"/>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4"/>
                <w:szCs w:val="14"/>
                <w:color w:val="auto"/>
              </w:rPr>
              <w:t>Deferred income tax provision (benefit)</w:t>
            </w: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liabilities</w:t>
            </w:r>
          </w:p>
        </w:tc>
        <w:tc>
          <w:tcPr>
            <w:tcW w:w="7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7"/>
                <w:szCs w:val="17"/>
                <w:color w:val="auto"/>
              </w:rPr>
            </w:pPr>
          </w:p>
        </w:tc>
      </w:tr>
      <w:tr>
        <w:trPr>
          <w:trHeight w:val="203"/>
        </w:trPr>
        <w:tc>
          <w:tcPr>
            <w:tcW w:w="5620" w:type="dxa"/>
            <w:vAlign w:val="bottom"/>
          </w:tcPr>
          <w:p>
            <w:pPr>
              <w:ind w:left="220"/>
              <w:spacing w:after="0"/>
              <w:rPr>
                <w:sz w:val="20"/>
                <w:szCs w:val="20"/>
                <w:color w:val="auto"/>
              </w:rPr>
            </w:pPr>
            <w:r>
              <w:rPr>
                <w:rFonts w:ascii="Arial" w:cs="Arial" w:eastAsia="Arial" w:hAnsi="Arial"/>
                <w:sz w:val="14"/>
                <w:szCs w:val="14"/>
                <w:color w:val="auto"/>
              </w:rPr>
              <w:t>Foreign currency losses, net</w:t>
            </w:r>
          </w:p>
        </w:tc>
        <w:tc>
          <w:tcPr>
            <w:tcW w:w="7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(3.6)</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r>
      <w:tr>
        <w:trPr>
          <w:trHeight w:val="203"/>
        </w:trPr>
        <w:tc>
          <w:tcPr>
            <w:tcW w:w="562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acquisitions:</w:t>
            </w: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7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(230.1)</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20" w:type="dxa"/>
            <w:vAlign w:val="bottom"/>
          </w:tcPr>
          <w:p>
            <w:pPr>
              <w:spacing w:after="0"/>
              <w:rPr>
                <w:sz w:val="17"/>
                <w:szCs w:val="17"/>
                <w:color w:val="auto"/>
              </w:rPr>
            </w:pPr>
          </w:p>
        </w:tc>
      </w:tr>
      <w:tr>
        <w:trPr>
          <w:trHeight w:val="203"/>
        </w:trPr>
        <w:tc>
          <w:tcPr>
            <w:tcW w:w="562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7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(5.5)</w:t>
            </w: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(17.2)</w:t>
            </w:r>
          </w:p>
        </w:tc>
      </w:tr>
      <w:tr>
        <w:trPr>
          <w:trHeight w:val="203"/>
        </w:trPr>
        <w:tc>
          <w:tcPr>
            <w:tcW w:w="5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7"/>
                <w:szCs w:val="17"/>
                <w:color w:val="auto"/>
              </w:rPr>
            </w:pPr>
          </w:p>
        </w:tc>
      </w:tr>
      <w:tr>
        <w:trPr>
          <w:trHeight w:val="203"/>
        </w:trPr>
        <w:tc>
          <w:tcPr>
            <w:tcW w:w="5620" w:type="dxa"/>
            <w:vAlign w:val="bottom"/>
          </w:tcPr>
          <w:p>
            <w:pPr>
              <w:ind w:left="340"/>
              <w:spacing w:after="0"/>
              <w:rPr>
                <w:sz w:val="20"/>
                <w:szCs w:val="20"/>
                <w:color w:val="auto"/>
              </w:rPr>
            </w:pPr>
            <w:r>
              <w:rPr>
                <w:rFonts w:ascii="Arial" w:cs="Arial" w:eastAsia="Arial" w:hAnsi="Arial"/>
                <w:sz w:val="14"/>
                <w:szCs w:val="14"/>
                <w:color w:val="auto"/>
              </w:rPr>
              <w:t>Short-term derivative assets, net</w:t>
            </w: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165.5</w:t>
            </w: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7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(52.3)</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20" w:type="dxa"/>
            <w:vAlign w:val="bottom"/>
          </w:tcPr>
          <w:p>
            <w:pPr>
              <w:spacing w:after="0"/>
              <w:rPr>
                <w:sz w:val="17"/>
                <w:szCs w:val="17"/>
                <w:color w:val="auto"/>
              </w:rPr>
            </w:pPr>
          </w:p>
        </w:tc>
      </w:tr>
      <w:tr>
        <w:trPr>
          <w:trHeight w:val="203"/>
        </w:trPr>
        <w:tc>
          <w:tcPr>
            <w:tcW w:w="5620" w:type="dxa"/>
            <w:vAlign w:val="bottom"/>
          </w:tcPr>
          <w:p>
            <w:pPr>
              <w:ind w:left="340"/>
              <w:spacing w:after="0"/>
              <w:rPr>
                <w:sz w:val="20"/>
                <w:szCs w:val="20"/>
                <w:color w:val="auto"/>
              </w:rPr>
            </w:pPr>
            <w:r>
              <w:rPr>
                <w:rFonts w:ascii="Arial" w:cs="Arial" w:eastAsia="Arial" w:hAnsi="Arial"/>
                <w:sz w:val="14"/>
                <w:szCs w:val="14"/>
                <w:color w:val="auto"/>
              </w:rPr>
              <w:t>Cash collateral with financial counterparties</w:t>
            </w: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149.2</w:t>
            </w: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non-current assets</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7"/>
                <w:szCs w:val="17"/>
                <w:color w:val="auto"/>
              </w:rPr>
            </w:pPr>
          </w:p>
        </w:tc>
      </w:tr>
      <w:tr>
        <w:trPr>
          <w:trHeight w:val="203"/>
        </w:trPr>
        <w:tc>
          <w:tcPr>
            <w:tcW w:w="56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50.8</w:t>
            </w: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Customer deposits</w:t>
            </w:r>
          </w:p>
        </w:tc>
        <w:tc>
          <w:tcPr>
            <w:tcW w:w="7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20" w:type="dxa"/>
            <w:vAlign w:val="bottom"/>
          </w:tcPr>
          <w:p>
            <w:pPr>
              <w:spacing w:after="0"/>
              <w:rPr>
                <w:sz w:val="17"/>
                <w:szCs w:val="17"/>
                <w:color w:val="auto"/>
              </w:rPr>
            </w:pPr>
          </w:p>
        </w:tc>
      </w:tr>
      <w:tr>
        <w:trPr>
          <w:trHeight w:val="203"/>
        </w:trPr>
        <w:tc>
          <w:tcPr>
            <w:tcW w:w="5620" w:type="dxa"/>
            <w:vAlign w:val="bottom"/>
          </w:tcPr>
          <w:p>
            <w:pPr>
              <w:ind w:left="340"/>
              <w:spacing w:after="0"/>
              <w:rPr>
                <w:sz w:val="20"/>
                <w:szCs w:val="20"/>
                <w:color w:val="auto"/>
              </w:rPr>
            </w:pPr>
            <w:r>
              <w:rPr>
                <w:rFonts w:ascii="Arial" w:cs="Arial" w:eastAsia="Arial" w:hAnsi="Arial"/>
                <w:sz w:val="14"/>
                <w:szCs w:val="14"/>
                <w:color w:val="auto"/>
              </w:rPr>
              <w:t>Accrued expenses and other current liabilities</w:t>
            </w:r>
          </w:p>
        </w:tc>
        <w:tc>
          <w:tcPr>
            <w:tcW w:w="7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(109.6)</w:t>
            </w: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(91.0)</w:t>
            </w:r>
          </w:p>
        </w:tc>
      </w:tr>
      <w:tr>
        <w:trPr>
          <w:trHeight w:val="203"/>
        </w:trPr>
        <w:tc>
          <w:tcPr>
            <w:tcW w:w="5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Non-current income tax, net and other long-term liabilities</w:t>
            </w:r>
          </w:p>
        </w:tc>
        <w:tc>
          <w:tcPr>
            <w:tcW w:w="7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17"/>
                <w:szCs w:val="17"/>
                <w:color w:val="auto"/>
              </w:rPr>
            </w:pPr>
          </w:p>
        </w:tc>
      </w:tr>
      <w:tr>
        <w:trPr>
          <w:trHeight w:val="196"/>
        </w:trPr>
        <w:tc>
          <w:tcPr>
            <w:tcW w:w="56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adjustments</w:t>
            </w: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20" w:type="dxa"/>
            <w:vAlign w:val="bottom"/>
          </w:tcPr>
          <w:p>
            <w:pPr>
              <w:spacing w:after="0"/>
              <w:rPr>
                <w:sz w:val="17"/>
                <w:szCs w:val="17"/>
                <w:color w:val="auto"/>
              </w:rPr>
            </w:pPr>
          </w:p>
        </w:tc>
      </w:tr>
      <w:tr>
        <w:trPr>
          <w:trHeight w:val="196"/>
        </w:trPr>
        <w:tc>
          <w:tcPr>
            <w:tcW w:w="5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7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20" w:type="dxa"/>
            <w:vAlign w:val="bottom"/>
          </w:tcPr>
          <w:p>
            <w:pPr>
              <w:spacing w:after="0"/>
              <w:rPr>
                <w:sz w:val="17"/>
                <w:szCs w:val="17"/>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7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(49.7)</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7"/>
                <w:szCs w:val="17"/>
                <w:color w:val="auto"/>
              </w:rPr>
            </w:pPr>
          </w:p>
        </w:tc>
      </w:tr>
      <w:tr>
        <w:trPr>
          <w:trHeight w:val="203"/>
        </w:trPr>
        <w:tc>
          <w:tcPr>
            <w:tcW w:w="5620" w:type="dxa"/>
            <w:vAlign w:val="bottom"/>
          </w:tcPr>
          <w:p>
            <w:pPr>
              <w:ind w:left="120"/>
              <w:spacing w:after="0"/>
              <w:rPr>
                <w:sz w:val="20"/>
                <w:szCs w:val="20"/>
                <w:color w:val="auto"/>
              </w:rPr>
            </w:pPr>
            <w:r>
              <w:rPr>
                <w:rFonts w:ascii="Arial" w:cs="Arial" w:eastAsia="Arial" w:hAnsi="Arial"/>
                <w:sz w:val="14"/>
                <w:szCs w:val="14"/>
                <w:color w:val="auto"/>
              </w:rPr>
              <w:t>Proceeds from sale of business</w:t>
            </w: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3"/>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expenditures</w:t>
            </w:r>
          </w:p>
        </w:tc>
        <w:tc>
          <w:tcPr>
            <w:tcW w:w="7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(23.3)</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20" w:type="dxa"/>
            <w:vAlign w:val="bottom"/>
          </w:tcPr>
          <w:p>
            <w:pPr>
              <w:spacing w:after="0"/>
              <w:rPr>
                <w:sz w:val="17"/>
                <w:szCs w:val="17"/>
                <w:color w:val="auto"/>
              </w:rPr>
            </w:pPr>
          </w:p>
        </w:tc>
      </w:tr>
      <w:tr>
        <w:trPr>
          <w:trHeight w:val="203"/>
        </w:trPr>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investing activities, net</w:t>
            </w: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7"/>
                <w:szCs w:val="17"/>
                <w:color w:val="auto"/>
              </w:rPr>
            </w:pPr>
          </w:p>
        </w:tc>
      </w:tr>
      <w:tr>
        <w:trPr>
          <w:trHeight w:val="196"/>
        </w:trPr>
        <w:tc>
          <w:tcPr>
            <w:tcW w:w="5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cash used in investing activities</w:t>
            </w:r>
          </w:p>
        </w:tc>
        <w:tc>
          <w:tcPr>
            <w:tcW w:w="7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(36.8)</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0" w:type="dxa"/>
            <w:vAlign w:val="bottom"/>
          </w:tcPr>
          <w:p>
            <w:pPr>
              <w:spacing w:after="0"/>
              <w:rPr>
                <w:sz w:val="17"/>
                <w:szCs w:val="17"/>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of debt</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2,601.0</w:t>
            </w:r>
          </w:p>
        </w:tc>
        <w:tc>
          <w:tcPr>
            <w:tcW w:w="20" w:type="dxa"/>
            <w:vAlign w:val="bottom"/>
          </w:tcPr>
          <w:p>
            <w:pPr>
              <w:spacing w:after="0"/>
              <w:rPr>
                <w:sz w:val="17"/>
                <w:szCs w:val="17"/>
                <w:color w:val="auto"/>
              </w:rPr>
            </w:pPr>
          </w:p>
        </w:tc>
      </w:tr>
      <w:tr>
        <w:trPr>
          <w:trHeight w:val="203"/>
        </w:trPr>
        <w:tc>
          <w:tcPr>
            <w:tcW w:w="5620" w:type="dxa"/>
            <w:vAlign w:val="bottom"/>
          </w:tcPr>
          <w:p>
            <w:pPr>
              <w:ind w:left="120"/>
              <w:spacing w:after="0"/>
              <w:rPr>
                <w:sz w:val="20"/>
                <w:szCs w:val="20"/>
                <w:color w:val="auto"/>
              </w:rPr>
            </w:pPr>
            <w:r>
              <w:rPr>
                <w:rFonts w:ascii="Arial" w:cs="Arial" w:eastAsia="Arial" w:hAnsi="Arial"/>
                <w:sz w:val="14"/>
                <w:szCs w:val="14"/>
                <w:color w:val="auto"/>
              </w:rPr>
              <w:t>Repayments of debt</w:t>
            </w:r>
          </w:p>
        </w:tc>
        <w:tc>
          <w:tcPr>
            <w:tcW w:w="7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(1,557.3)</w:t>
            </w: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(2,520.5)</w:t>
            </w:r>
          </w:p>
        </w:tc>
      </w:tr>
      <w:tr>
        <w:trPr>
          <w:trHeight w:val="203"/>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senior revolving credit facility and senior term loan facility loan costs</w:t>
            </w:r>
          </w:p>
        </w:tc>
        <w:tc>
          <w:tcPr>
            <w:tcW w:w="7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7"/>
                <w:szCs w:val="17"/>
                <w:color w:val="auto"/>
              </w:rPr>
            </w:pPr>
          </w:p>
        </w:tc>
      </w:tr>
      <w:tr>
        <w:trPr>
          <w:trHeight w:val="203"/>
        </w:trPr>
        <w:tc>
          <w:tcPr>
            <w:tcW w:w="5620" w:type="dxa"/>
            <w:vAlign w:val="bottom"/>
          </w:tcPr>
          <w:p>
            <w:pPr>
              <w:ind w:left="120"/>
              <w:spacing w:after="0"/>
              <w:rPr>
                <w:sz w:val="20"/>
                <w:szCs w:val="20"/>
                <w:color w:val="auto"/>
              </w:rPr>
            </w:pPr>
            <w:r>
              <w:rPr>
                <w:rFonts w:ascii="Arial" w:cs="Arial" w:eastAsia="Arial" w:hAnsi="Arial"/>
                <w:sz w:val="14"/>
                <w:szCs w:val="14"/>
                <w:color w:val="auto"/>
              </w:rPr>
              <w:t>Dividends paid on common stock</w:t>
            </w:r>
          </w:p>
        </w:tc>
        <w:tc>
          <w:tcPr>
            <w:tcW w:w="7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(8.3)</w:t>
            </w: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(6.9)</w:t>
            </w:r>
          </w:p>
        </w:tc>
      </w:tr>
      <w:tr>
        <w:trPr>
          <w:trHeight w:val="203"/>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common stock</w:t>
            </w:r>
          </w:p>
        </w:tc>
        <w:tc>
          <w:tcPr>
            <w:tcW w:w="7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(18.4)</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 w:type="dxa"/>
            <w:vAlign w:val="bottom"/>
          </w:tcPr>
          <w:p>
            <w:pPr>
              <w:spacing w:after="0"/>
              <w:rPr>
                <w:sz w:val="17"/>
                <w:szCs w:val="17"/>
                <w:color w:val="auto"/>
              </w:rPr>
            </w:pPr>
          </w:p>
        </w:tc>
      </w:tr>
      <w:tr>
        <w:trPr>
          <w:trHeight w:val="130"/>
        </w:trPr>
        <w:tc>
          <w:tcPr>
            <w:tcW w:w="5620" w:type="dxa"/>
            <w:vAlign w:val="bottom"/>
          </w:tcPr>
          <w:p>
            <w:pPr>
              <w:ind w:left="120"/>
              <w:spacing w:after="0" w:line="130" w:lineRule="exact"/>
              <w:rPr>
                <w:sz w:val="20"/>
                <w:szCs w:val="20"/>
                <w:color w:val="auto"/>
              </w:rPr>
            </w:pPr>
            <w:r>
              <w:rPr>
                <w:rFonts w:ascii="Arial" w:cs="Arial" w:eastAsia="Arial" w:hAnsi="Arial"/>
                <w:sz w:val="14"/>
                <w:szCs w:val="14"/>
                <w:color w:val="auto"/>
                <w:w w:val="97"/>
              </w:rPr>
              <w:t>Federal and state tax benefits resulting from tax deductions in excess of the compensation</w:t>
            </w: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620" w:type="dxa"/>
            <w:vAlign w:val="bottom"/>
          </w:tcPr>
          <w:p>
            <w:pPr>
              <w:ind w:left="120"/>
              <w:spacing w:after="0"/>
              <w:rPr>
                <w:sz w:val="20"/>
                <w:szCs w:val="20"/>
                <w:color w:val="auto"/>
              </w:rPr>
            </w:pPr>
            <w:r>
              <w:rPr>
                <w:rFonts w:ascii="Arial" w:cs="Arial" w:eastAsia="Arial" w:hAnsi="Arial"/>
                <w:sz w:val="14"/>
                <w:szCs w:val="14"/>
                <w:color w:val="auto"/>
              </w:rPr>
              <w:t>cost recognized for share-based payment awards</w:t>
            </w:r>
          </w:p>
        </w:tc>
        <w:tc>
          <w:tcPr>
            <w:tcW w:w="70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r>
      <w:tr>
        <w:trPr>
          <w:trHeight w:val="130"/>
        </w:trPr>
        <w:tc>
          <w:tcPr>
            <w:tcW w:w="5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Purchases of common stock tendered by employees to satisfy the required withholding taxes</w:t>
            </w:r>
          </w:p>
        </w:tc>
        <w:tc>
          <w:tcPr>
            <w:tcW w:w="7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related to share-based payment awards</w:t>
            </w:r>
          </w:p>
        </w:tc>
        <w:tc>
          <w:tcPr>
            <w:tcW w:w="7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r>
      <w:tr>
        <w:trPr>
          <w:trHeight w:val="203"/>
        </w:trPr>
        <w:tc>
          <w:tcPr>
            <w:tcW w:w="5620" w:type="dxa"/>
            <w:vAlign w:val="bottom"/>
          </w:tcPr>
          <w:p>
            <w:pPr>
              <w:ind w:left="120"/>
              <w:spacing w:after="0"/>
              <w:rPr>
                <w:sz w:val="20"/>
                <w:szCs w:val="20"/>
                <w:color w:val="auto"/>
              </w:rPr>
            </w:pPr>
            <w:r>
              <w:rPr>
                <w:rFonts w:ascii="Arial" w:cs="Arial" w:eastAsia="Arial" w:hAnsi="Arial"/>
                <w:sz w:val="14"/>
                <w:szCs w:val="14"/>
                <w:color w:val="auto"/>
              </w:rPr>
              <w:t>Other financing activities, net</w:t>
            </w:r>
          </w:p>
        </w:tc>
        <w:tc>
          <w:tcPr>
            <w:tcW w:w="7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6"/>
        </w:trPr>
        <w:tc>
          <w:tcPr>
            <w:tcW w:w="56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cash provided by financing activities</w:t>
            </w:r>
          </w:p>
        </w:tc>
        <w:tc>
          <w:tcPr>
            <w:tcW w:w="70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20" w:type="dxa"/>
            <w:vAlign w:val="bottom"/>
          </w:tcPr>
          <w:p>
            <w:pPr>
              <w:spacing w:after="0"/>
              <w:rPr>
                <w:sz w:val="17"/>
                <w:szCs w:val="17"/>
                <w:color w:val="auto"/>
              </w:rPr>
            </w:pPr>
          </w:p>
        </w:tc>
      </w:tr>
      <w:tr>
        <w:trPr>
          <w:trHeight w:val="196"/>
        </w:trPr>
        <w:tc>
          <w:tcPr>
            <w:tcW w:w="562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7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20" w:type="dxa"/>
            <w:vAlign w:val="bottom"/>
          </w:tcPr>
          <w:p>
            <w:pPr>
              <w:spacing w:after="0"/>
              <w:rPr>
                <w:sz w:val="17"/>
                <w:szCs w:val="17"/>
                <w:color w:val="auto"/>
              </w:rPr>
            </w:pPr>
          </w:p>
        </w:tc>
      </w:tr>
      <w:tr>
        <w:trPr>
          <w:trHeight w:val="20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as of beginning of period</w:t>
            </w: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582.5</w:t>
            </w: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302.3</w:t>
            </w:r>
          </w:p>
        </w:tc>
        <w:tc>
          <w:tcPr>
            <w:tcW w:w="20" w:type="dxa"/>
            <w:vAlign w:val="bottom"/>
          </w:tcPr>
          <w:p>
            <w:pPr>
              <w:spacing w:after="0"/>
              <w:rPr>
                <w:sz w:val="17"/>
                <w:szCs w:val="17"/>
                <w:color w:val="auto"/>
              </w:rPr>
            </w:pPr>
          </w:p>
        </w:tc>
      </w:tr>
      <w:tr>
        <w:trPr>
          <w:trHeight w:val="203"/>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as of end of period</w:t>
            </w: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737.4</w:t>
            </w: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485.1</w:t>
            </w:r>
          </w:p>
        </w:tc>
        <w:tc>
          <w:tcPr>
            <w:tcW w:w="20" w:type="dxa"/>
            <w:vAlign w:val="bottom"/>
          </w:tcPr>
          <w:p>
            <w:pPr>
              <w:spacing w:after="0"/>
              <w:rPr>
                <w:sz w:val="17"/>
                <w:szCs w:val="17"/>
                <w:color w:val="auto"/>
              </w:rPr>
            </w:pPr>
          </w:p>
        </w:tc>
      </w:tr>
      <w:tr>
        <w:trPr>
          <w:trHeight w:val="1047"/>
        </w:trPr>
        <w:tc>
          <w:tcPr>
            <w:tcW w:w="5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3" w:right="1440" w:bottom="1440" w:gutter="0" w:footer="0" w:header="0"/>
        </w:sectPr>
      </w:pPr>
    </w:p>
    <w:bookmarkStart w:id="10" w:name="page11"/>
    <w:bookmarkEnd w:id="10"/>
    <w:p>
      <w:pPr>
        <w:jc w:val="center"/>
        <w:ind w:left="140" w:right="620"/>
        <w:spacing w:after="0" w:line="226" w:lineRule="auto"/>
        <w:rPr>
          <w:sz w:val="20"/>
          <w:szCs w:val="20"/>
          <w:color w:val="auto"/>
        </w:rPr>
      </w:pPr>
      <w:r>
        <w:rPr>
          <w:rFonts w:ascii="Arial" w:cs="Arial" w:eastAsia="Arial" w:hAnsi="Arial"/>
          <w:sz w:val="18"/>
          <w:szCs w:val="18"/>
          <w:b w:val="1"/>
          <w:bCs w:val="1"/>
          <w:color w:val="auto"/>
        </w:rPr>
        <w:t xml:space="preserve">WORLD FUEL SERVICES CORPORATION AND SUBSIDIARIES RECONCILIATION OF GAAP TO NON-GAAP FINANCIAL MEASURES </w:t>
      </w:r>
      <w:r>
        <w:rPr>
          <w:rFonts w:ascii="Arial" w:cs="Arial" w:eastAsia="Arial" w:hAnsi="Arial"/>
          <w:sz w:val="18"/>
          <w:szCs w:val="18"/>
          <w:color w:val="auto"/>
        </w:rPr>
        <w:t>(Unaudited - In millions, except per share data)</w:t>
      </w:r>
    </w:p>
    <w:p>
      <w:pPr>
        <w:spacing w:after="0" w:line="370"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For the Three Months ended</w:t>
            </w:r>
          </w:p>
        </w:tc>
        <w:tc>
          <w:tcPr>
            <w:tcW w:w="50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8"/>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financial measures and reconciliation:</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income attributable to World Fuel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48"/>
        </w:trPr>
        <w:tc>
          <w:tcPr>
            <w:tcW w:w="5160" w:type="dxa"/>
            <w:vAlign w:val="bottom"/>
          </w:tcPr>
          <w:p>
            <w:pPr>
              <w:ind w:left="220"/>
              <w:spacing w:after="0" w:line="148" w:lineRule="exact"/>
              <w:rPr>
                <w:sz w:val="20"/>
                <w:szCs w:val="20"/>
                <w:color w:val="auto"/>
              </w:rPr>
            </w:pPr>
            <w:r>
              <w:rPr>
                <w:rFonts w:ascii="Arial" w:cs="Arial" w:eastAsia="Arial" w:hAnsi="Arial"/>
                <w:sz w:val="14"/>
                <w:szCs w:val="14"/>
                <w:color w:val="auto"/>
                <w:w w:val="95"/>
              </w:rPr>
              <w:t>Expenses related to the acquisitions and other related charges, net of income taxes</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3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160" w:type="dxa"/>
            <w:vAlign w:val="bottom"/>
          </w:tcPr>
          <w:p>
            <w:pPr>
              <w:ind w:left="22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Deferred revenue purchase accounting adjustment, net of income taxes </w:t>
            </w:r>
            <w:r>
              <w:rPr>
                <w:rFonts w:ascii="Arial" w:cs="Arial" w:eastAsia="Arial" w:hAnsi="Arial"/>
                <w:sz w:val="12"/>
                <w:szCs w:val="12"/>
                <w:color w:val="auto"/>
              </w:rPr>
              <w:t>(2)</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 xml:space="preserve">Termination of employment agreement, net of income taxes </w:t>
            </w:r>
            <w:r>
              <w:rPr>
                <w:rFonts w:ascii="Arial" w:cs="Arial" w:eastAsia="Arial" w:hAnsi="Arial"/>
                <w:sz w:val="12"/>
                <w:szCs w:val="12"/>
                <w:color w:val="auto"/>
              </w:rPr>
              <w:t>(3)</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attributable to World Fuel</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03"/>
        </w:trPr>
        <w:tc>
          <w:tcPr>
            <w:tcW w:w="5160" w:type="dxa"/>
            <w:vAlign w:val="bottom"/>
          </w:tcPr>
          <w:p>
            <w:pPr>
              <w:ind w:left="220"/>
              <w:spacing w:after="0"/>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12"/>
                <w:szCs w:val="12"/>
                <w:color w:val="auto"/>
              </w:rPr>
              <w:t>(4)</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12"/>
                <w:szCs w:val="12"/>
                <w:color w:val="auto"/>
              </w:rPr>
              <w:t>(5)</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5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76"/>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Non-GAAP net income attributable to World Fuel</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rPr>
                <w:sz w:val="20"/>
                <w:szCs w:val="20"/>
                <w:color w:val="auto"/>
              </w:rPr>
            </w:pPr>
            <w:r>
              <w:rPr>
                <w:rFonts w:ascii="Arial" w:cs="Arial" w:eastAsia="Arial" w:hAnsi="Arial"/>
                <w:sz w:val="14"/>
                <w:szCs w:val="14"/>
                <w:color w:val="auto"/>
              </w:rPr>
              <w:t>GAAP diluted earnings per common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0.43</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0.43</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34"/>
        </w:trPr>
        <w:tc>
          <w:tcPr>
            <w:tcW w:w="51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w w:val="95"/>
              </w:rPr>
              <w:t>Expenses related to the acquisitions and other related charges, net of income taxes</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3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220"/>
              <w:spacing w:after="0"/>
              <w:rPr>
                <w:sz w:val="20"/>
                <w:szCs w:val="20"/>
                <w:color w:val="auto"/>
              </w:rPr>
            </w:pPr>
            <w:r>
              <w:rPr>
                <w:rFonts w:ascii="Arial" w:cs="Arial" w:eastAsia="Arial" w:hAnsi="Arial"/>
                <w:sz w:val="14"/>
                <w:szCs w:val="14"/>
                <w:color w:val="auto"/>
              </w:rPr>
              <w:t xml:space="preserve">Deferred revenue purchase accounting adjustment, net of income taxes </w:t>
            </w:r>
            <w:r>
              <w:rPr>
                <w:rFonts w:ascii="Arial" w:cs="Arial" w:eastAsia="Arial" w:hAnsi="Arial"/>
                <w:sz w:val="12"/>
                <w:szCs w:val="12"/>
                <w:color w:val="auto"/>
              </w:rPr>
              <w:t>(2)</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Termination of employment agreement, net of income taxes </w:t>
            </w:r>
            <w:r>
              <w:rPr>
                <w:rFonts w:ascii="Arial" w:cs="Arial" w:eastAsia="Arial" w:hAnsi="Arial"/>
                <w:sz w:val="12"/>
                <w:szCs w:val="12"/>
                <w:color w:val="auto"/>
              </w:rPr>
              <w:t>(3)</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Adjusted diluted earnings per common share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0.50</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0.43</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12"/>
                <w:szCs w:val="12"/>
                <w:color w:val="auto"/>
              </w:rPr>
              <w:t>(4)</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12"/>
                <w:szCs w:val="12"/>
                <w:color w:val="auto"/>
              </w:rPr>
              <w:t>(5)</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3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5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7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Non-GAAP diluted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(1)The pre-tax amount of expenses related to acquisitions and other related charges was $5.9 for the three months ended June 30,</w:t>
      </w:r>
    </w:p>
    <w:p>
      <w:pPr>
        <w:ind w:left="660"/>
        <w:spacing w:after="0" w:line="216" w:lineRule="auto"/>
        <w:rPr>
          <w:sz w:val="20"/>
          <w:szCs w:val="20"/>
          <w:color w:val="auto"/>
        </w:rPr>
      </w:pPr>
      <w:r>
        <w:rPr>
          <w:rFonts w:ascii="Arial" w:cs="Arial" w:eastAsia="Arial" w:hAnsi="Arial"/>
          <w:sz w:val="16"/>
          <w:szCs w:val="16"/>
          <w:color w:val="auto"/>
        </w:rPr>
        <w:t>2016, and $7.5 for the six months ended June 30, 2016, respectively.</w:t>
      </w:r>
    </w:p>
    <w:p>
      <w:pPr>
        <w:ind w:left="480"/>
        <w:spacing w:after="0" w:line="211" w:lineRule="auto"/>
        <w:rPr>
          <w:sz w:val="20"/>
          <w:szCs w:val="20"/>
          <w:color w:val="auto"/>
        </w:rPr>
      </w:pPr>
      <w:r>
        <w:rPr>
          <w:rFonts w:ascii="Arial" w:cs="Arial" w:eastAsia="Arial" w:hAnsi="Arial"/>
          <w:sz w:val="16"/>
          <w:szCs w:val="16"/>
          <w:color w:val="auto"/>
        </w:rPr>
        <w:t>(2)The pre-tax amount of deferred revenue purchase accounting adjustment was $1.5 for the six months ended June 30, 2015.</w:t>
      </w:r>
    </w:p>
    <w:p>
      <w:pPr>
        <w:ind w:left="480"/>
        <w:spacing w:after="0" w:line="211" w:lineRule="auto"/>
        <w:rPr>
          <w:sz w:val="20"/>
          <w:szCs w:val="20"/>
          <w:color w:val="auto"/>
        </w:rPr>
      </w:pPr>
      <w:r>
        <w:rPr>
          <w:rFonts w:ascii="Arial" w:cs="Arial" w:eastAsia="Arial" w:hAnsi="Arial"/>
          <w:sz w:val="16"/>
          <w:szCs w:val="16"/>
          <w:color w:val="auto"/>
        </w:rPr>
        <w:t>(3)The pre-tax amount of the termination of employment agreement was $3.8 for the six months ended June 30, 2015.</w:t>
      </w:r>
    </w:p>
    <w:p>
      <w:pPr>
        <w:ind w:left="480"/>
        <w:spacing w:after="0" w:line="226" w:lineRule="auto"/>
        <w:rPr>
          <w:sz w:val="20"/>
          <w:szCs w:val="20"/>
          <w:color w:val="auto"/>
        </w:rPr>
      </w:pPr>
      <w:r>
        <w:rPr>
          <w:rFonts w:ascii="Arial" w:cs="Arial" w:eastAsia="Arial" w:hAnsi="Arial"/>
          <w:sz w:val="15"/>
          <w:szCs w:val="15"/>
          <w:color w:val="auto"/>
        </w:rPr>
        <w:t>(4)The pre-tax amount of share-based compensation expense was $4.7 and $4.2 for the three months ended June 30, 2016 and</w:t>
      </w:r>
    </w:p>
    <w:p>
      <w:pPr>
        <w:ind w:left="660"/>
        <w:spacing w:after="0" w:line="211" w:lineRule="auto"/>
        <w:rPr>
          <w:sz w:val="20"/>
          <w:szCs w:val="20"/>
          <w:color w:val="auto"/>
        </w:rPr>
      </w:pPr>
      <w:r>
        <w:rPr>
          <w:rFonts w:ascii="Arial" w:cs="Arial" w:eastAsia="Arial" w:hAnsi="Arial"/>
          <w:sz w:val="16"/>
          <w:szCs w:val="16"/>
          <w:color w:val="auto"/>
        </w:rPr>
        <w:t>2015, respectively, and $8.8 and $7.6 million for the six months ended June 30, 2016 and 2015, respectively.</w:t>
      </w:r>
    </w:p>
    <w:p>
      <w:pPr>
        <w:ind w:left="480"/>
        <w:spacing w:after="0" w:line="212" w:lineRule="auto"/>
        <w:rPr>
          <w:sz w:val="20"/>
          <w:szCs w:val="20"/>
          <w:color w:val="auto"/>
        </w:rPr>
      </w:pPr>
      <w:r>
        <w:rPr>
          <w:rFonts w:ascii="Arial" w:cs="Arial" w:eastAsia="Arial" w:hAnsi="Arial"/>
          <w:sz w:val="16"/>
          <w:szCs w:val="16"/>
          <w:color w:val="auto"/>
        </w:rPr>
        <w:t>(5)The pre-tax amount of intangible asset amortization expense was $8.1 and $6.8 million for the three months ended June 30,</w:t>
      </w:r>
    </w:p>
    <w:p>
      <w:pPr>
        <w:ind w:left="660"/>
        <w:spacing w:after="0"/>
        <w:rPr>
          <w:sz w:val="20"/>
          <w:szCs w:val="20"/>
          <w:color w:val="auto"/>
        </w:rPr>
      </w:pPr>
      <w:r>
        <w:rPr>
          <w:rFonts w:ascii="Arial" w:cs="Arial" w:eastAsia="Arial" w:hAnsi="Arial"/>
          <w:sz w:val="16"/>
          <w:szCs w:val="16"/>
          <w:color w:val="auto"/>
        </w:rPr>
        <w:t>2016 and 2015, respectively, and $16.5 and $12.2 million for the six months ended June 30,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249555</wp:posOffset>
            </wp:positionV>
            <wp:extent cx="554863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500"/>
          </w:cols>
          <w:pgMar w:left="1440" w:top="283" w:right="9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jc w:val="center"/>
        <w:spacing w:after="0" w:line="203" w:lineRule="auto"/>
        <w:rPr>
          <w:sz w:val="20"/>
          <w:szCs w:val="20"/>
          <w:color w:val="auto"/>
        </w:rPr>
      </w:pPr>
      <w:r>
        <w:rPr>
          <w:rFonts w:ascii="Arial" w:cs="Arial" w:eastAsia="Arial" w:hAnsi="Arial"/>
          <w:sz w:val="18"/>
          <w:szCs w:val="18"/>
          <w:b w:val="1"/>
          <w:bCs w:val="1"/>
          <w:color w:val="auto"/>
        </w:rPr>
        <w:t>BUSINESS SEGMENTS INFORMATION</w:t>
      </w:r>
    </w:p>
    <w:p>
      <w:pPr>
        <w:jc w:val="center"/>
        <w:ind w:right="-60"/>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For the Three Months ended</w:t>
            </w:r>
          </w:p>
        </w:tc>
        <w:tc>
          <w:tcPr>
            <w:tcW w:w="16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88"/>
        </w:trPr>
        <w:tc>
          <w:tcPr>
            <w:tcW w:w="3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4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Revenue:</w:t>
            </w:r>
          </w:p>
        </w:tc>
        <w:tc>
          <w:tcPr>
            <w:tcW w:w="14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2015</w:t>
            </w:r>
          </w:p>
        </w:tc>
      </w:tr>
      <w:tr>
        <w:trPr>
          <w:trHeight w:val="196"/>
        </w:trPr>
        <w:tc>
          <w:tcPr>
            <w:tcW w:w="3400" w:type="dxa"/>
            <w:vAlign w:val="bottom"/>
          </w:tcPr>
          <w:p>
            <w:pPr>
              <w:ind w:left="120"/>
              <w:spacing w:after="0"/>
              <w:rPr>
                <w:sz w:val="20"/>
                <w:szCs w:val="20"/>
                <w:color w:val="auto"/>
              </w:rPr>
            </w:pPr>
            <w:r>
              <w:rPr>
                <w:rFonts w:ascii="Arial" w:cs="Arial" w:eastAsia="Arial" w:hAnsi="Arial"/>
                <w:sz w:val="14"/>
                <w:szCs w:val="14"/>
                <w:color w:val="auto"/>
              </w:rPr>
              <w:t>Aviation segment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2,621.6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3,185.3</w:t>
            </w:r>
          </w:p>
        </w:tc>
        <w:tc>
          <w:tcPr>
            <w:tcW w:w="1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4,841.0</w:t>
            </w:r>
          </w:p>
        </w:tc>
        <w:tc>
          <w:tcPr>
            <w:tcW w:w="300" w:type="dxa"/>
            <w:vAlign w:val="bottom"/>
          </w:tcPr>
          <w:p>
            <w:pPr>
              <w:jc w:val="cente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6,082.3</w:t>
            </w:r>
          </w:p>
        </w:tc>
      </w:tr>
      <w:tr>
        <w:trPr>
          <w:trHeight w:val="203"/>
        </w:trPr>
        <w:tc>
          <w:tcPr>
            <w:tcW w:w="3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Land segment</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2,171.0</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3,866.0</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4,628.7</w:t>
            </w:r>
          </w:p>
        </w:tc>
      </w:tr>
      <w:tr>
        <w:trPr>
          <w:trHeight w:val="203"/>
        </w:trPr>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Marine segment</w:t>
            </w:r>
          </w:p>
        </w:tc>
        <w:tc>
          <w:tcPr>
            <w:tcW w:w="1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1,840.4</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2,805.4</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3,116.9</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5,126.1</w:t>
            </w:r>
          </w:p>
        </w:tc>
      </w:tr>
      <w:tr>
        <w:trPr>
          <w:trHeight w:val="203"/>
        </w:trPr>
        <w:tc>
          <w:tcPr>
            <w:tcW w:w="34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6,633.0</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8,496.4</w:t>
            </w: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11,823.9</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15,837.1</w:t>
            </w:r>
          </w:p>
        </w:tc>
      </w:tr>
      <w:tr>
        <w:trPr>
          <w:trHeight w:val="203"/>
        </w:trPr>
        <w:tc>
          <w:tcPr>
            <w:tcW w:w="3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400" w:type="dxa"/>
            <w:vAlign w:val="bottom"/>
          </w:tcPr>
          <w:p>
            <w:pPr>
              <w:ind w:left="120"/>
              <w:spacing w:after="0"/>
              <w:rPr>
                <w:sz w:val="20"/>
                <w:szCs w:val="20"/>
                <w:color w:val="auto"/>
              </w:rPr>
            </w:pPr>
            <w:r>
              <w:rPr>
                <w:rFonts w:ascii="Arial" w:cs="Arial" w:eastAsia="Arial" w:hAnsi="Arial"/>
                <w:sz w:val="14"/>
                <w:szCs w:val="14"/>
                <w:color w:val="auto"/>
              </w:rPr>
              <w:t>Aviation segment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85.0</w:t>
            </w:r>
          </w:p>
        </w:tc>
        <w:tc>
          <w:tcPr>
            <w:tcW w:w="1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187.3</w:t>
            </w:r>
          </w:p>
        </w:tc>
        <w:tc>
          <w:tcPr>
            <w:tcW w:w="300" w:type="dxa"/>
            <w:vAlign w:val="bottom"/>
          </w:tcPr>
          <w:p>
            <w:pPr>
              <w:jc w:val="cente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166.1</w:t>
            </w:r>
          </w:p>
        </w:tc>
      </w:tr>
      <w:tr>
        <w:trPr>
          <w:trHeight w:val="203"/>
        </w:trPr>
        <w:tc>
          <w:tcPr>
            <w:tcW w:w="3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Land segment</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r>
      <w:tr>
        <w:trPr>
          <w:trHeight w:val="203"/>
        </w:trPr>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Marine segment</w:t>
            </w:r>
          </w:p>
        </w:tc>
        <w:tc>
          <w:tcPr>
            <w:tcW w:w="1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78.8</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w:t>
            </w:r>
          </w:p>
        </w:tc>
      </w:tr>
      <w:tr>
        <w:trPr>
          <w:trHeight w:val="203"/>
        </w:trPr>
        <w:tc>
          <w:tcPr>
            <w:tcW w:w="34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218.5</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w:t>
            </w: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440.0</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404.0</w:t>
            </w:r>
          </w:p>
        </w:tc>
      </w:tr>
      <w:tr>
        <w:trPr>
          <w:trHeight w:val="203"/>
        </w:trPr>
        <w:tc>
          <w:tcPr>
            <w:tcW w:w="3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3400" w:type="dxa"/>
            <w:vAlign w:val="bottom"/>
          </w:tcPr>
          <w:p>
            <w:pPr>
              <w:ind w:left="120"/>
              <w:spacing w:after="0"/>
              <w:rPr>
                <w:sz w:val="20"/>
                <w:szCs w:val="20"/>
                <w:color w:val="auto"/>
              </w:rPr>
            </w:pPr>
            <w:r>
              <w:rPr>
                <w:rFonts w:ascii="Arial" w:cs="Arial" w:eastAsia="Arial" w:hAnsi="Arial"/>
                <w:sz w:val="14"/>
                <w:szCs w:val="14"/>
                <w:color w:val="auto"/>
              </w:rPr>
              <w:t>Aviation segment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26.0</w:t>
            </w:r>
          </w:p>
        </w:tc>
        <w:tc>
          <w:tcPr>
            <w:tcW w:w="1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71.2</w:t>
            </w:r>
          </w:p>
        </w:tc>
        <w:tc>
          <w:tcPr>
            <w:tcW w:w="300" w:type="dxa"/>
            <w:vAlign w:val="bottom"/>
          </w:tcPr>
          <w:p>
            <w:pPr>
              <w:jc w:val="cente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52.0</w:t>
            </w:r>
          </w:p>
        </w:tc>
      </w:tr>
      <w:tr>
        <w:trPr>
          <w:trHeight w:val="203"/>
        </w:trPr>
        <w:tc>
          <w:tcPr>
            <w:tcW w:w="3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Land segment</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r>
      <w:tr>
        <w:trPr>
          <w:trHeight w:val="203"/>
        </w:trPr>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Marine segment</w:t>
            </w:r>
          </w:p>
        </w:tc>
        <w:tc>
          <w:tcPr>
            <w:tcW w:w="1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r>
      <w:tr>
        <w:trPr>
          <w:trHeight w:val="196"/>
        </w:trPr>
        <w:tc>
          <w:tcPr>
            <w:tcW w:w="3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r>
      <w:tr>
        <w:trPr>
          <w:trHeight w:val="203"/>
        </w:trPr>
        <w:tc>
          <w:tcPr>
            <w:tcW w:w="34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Corporate overhead - unallocated</w:t>
            </w:r>
          </w:p>
        </w:tc>
        <w:tc>
          <w:tcPr>
            <w:tcW w:w="1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r>
      <w:tr>
        <w:trPr>
          <w:trHeight w:val="203"/>
        </w:trPr>
        <w:tc>
          <w:tcPr>
            <w:tcW w:w="34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c>
          <w:tcPr>
            <w:tcW w:w="3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SALES VOLUME SUPPLEMENTAL INFORMATION</w:t>
      </w:r>
    </w:p>
    <w:p>
      <w:pPr>
        <w:jc w:val="center"/>
        <w:ind w:right="-60"/>
        <w:spacing w:after="0"/>
        <w:rPr>
          <w:sz w:val="20"/>
          <w:szCs w:val="20"/>
          <w:color w:val="auto"/>
        </w:rPr>
      </w:pPr>
      <w:r>
        <w:rPr>
          <w:rFonts w:ascii="Arial" w:cs="Arial" w:eastAsia="Arial" w:hAnsi="Arial"/>
          <w:sz w:val="17"/>
          <w:szCs w:val="17"/>
          <w:color w:val="auto"/>
        </w:rPr>
        <w:t>(Unaudited - In millions)</w:t>
      </w:r>
    </w:p>
    <w:p>
      <w:pPr>
        <w:spacing w:after="0" w:line="25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6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For the Three Months</w:t>
            </w:r>
          </w:p>
        </w:tc>
        <w:tc>
          <w:tcPr>
            <w:tcW w:w="1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ended</w:t>
            </w:r>
          </w:p>
        </w:tc>
        <w:tc>
          <w:tcPr>
            <w:tcW w:w="1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Volume (Gallons):</w:t>
            </w:r>
          </w:p>
        </w:tc>
        <w:tc>
          <w:tcPr>
            <w:tcW w:w="2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3240" w:type="dxa"/>
            <w:vAlign w:val="bottom"/>
          </w:tcPr>
          <w:p>
            <w:pPr>
              <w:ind w:left="220"/>
              <w:spacing w:after="0"/>
              <w:rPr>
                <w:sz w:val="20"/>
                <w:szCs w:val="20"/>
                <w:color w:val="auto"/>
              </w:rPr>
            </w:pPr>
            <w:r>
              <w:rPr>
                <w:rFonts w:ascii="Arial" w:cs="Arial" w:eastAsia="Arial" w:hAnsi="Arial"/>
                <w:sz w:val="14"/>
                <w:szCs w:val="14"/>
                <w:color w:val="auto"/>
              </w:rPr>
              <w:t>Aviation segment</w:t>
            </w:r>
          </w:p>
        </w:tc>
        <w:tc>
          <w:tcPr>
            <w:tcW w:w="2620" w:type="dxa"/>
            <w:vAlign w:val="bottom"/>
          </w:tcPr>
          <w:p>
            <w:pPr>
              <w:jc w:val="right"/>
              <w:ind w:right="188"/>
              <w:spacing w:after="0"/>
              <w:rPr>
                <w:sz w:val="20"/>
                <w:szCs w:val="20"/>
                <w:color w:val="auto"/>
              </w:rPr>
            </w:pPr>
            <w:r>
              <w:rPr>
                <w:rFonts w:ascii="Arial" w:cs="Arial" w:eastAsia="Arial" w:hAnsi="Arial"/>
                <w:sz w:val="14"/>
                <w:szCs w:val="14"/>
                <w:color w:val="auto"/>
              </w:rPr>
              <w:t>1,723.2</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1,572.3</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3,349.6</w:t>
            </w:r>
          </w:p>
        </w:tc>
        <w:tc>
          <w:tcPr>
            <w:tcW w:w="820" w:type="dxa"/>
            <w:vAlign w:val="bottom"/>
          </w:tcPr>
          <w:p>
            <w:pPr>
              <w:jc w:val="right"/>
              <w:spacing w:after="0"/>
              <w:rPr>
                <w:sz w:val="20"/>
                <w:szCs w:val="20"/>
                <w:color w:val="auto"/>
              </w:rPr>
            </w:pPr>
            <w:r>
              <w:rPr>
                <w:rFonts w:ascii="Arial" w:cs="Arial" w:eastAsia="Arial" w:hAnsi="Arial"/>
                <w:sz w:val="14"/>
                <w:szCs w:val="14"/>
                <w:color w:val="auto"/>
              </w:rPr>
              <w:t>3,022.1</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Land Segment</w:t>
            </w:r>
          </w:p>
        </w:tc>
        <w:tc>
          <w:tcPr>
            <w:tcW w:w="26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1,243.8</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1,174.0</w:t>
            </w:r>
          </w:p>
        </w:tc>
        <w:tc>
          <w:tcPr>
            <w:tcW w:w="10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2,456.9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2,291.6</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Marine Segment</w:t>
            </w:r>
          </w:p>
        </w:tc>
        <w:tc>
          <w:tcPr>
            <w:tcW w:w="2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2,168.3</w:t>
            </w: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2,216.1</w:t>
            </w: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4,190.9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4,237.7</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Consolidated Total</w:t>
            </w:r>
          </w:p>
        </w:tc>
        <w:tc>
          <w:tcPr>
            <w:tcW w:w="26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5,135.3</w:t>
            </w:r>
          </w:p>
        </w:tc>
        <w:tc>
          <w:tcPr>
            <w:tcW w:w="10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4,962.4</w:t>
            </w:r>
          </w:p>
        </w:tc>
        <w:tc>
          <w:tcPr>
            <w:tcW w:w="10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9,997.4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CONTACT:</w:t>
      </w:r>
    </w:p>
    <w:p>
      <w:pPr>
        <w:ind w:left="160"/>
        <w:spacing w:after="0" w:line="198" w:lineRule="auto"/>
        <w:rPr>
          <w:sz w:val="20"/>
          <w:szCs w:val="20"/>
          <w:color w:val="auto"/>
        </w:rPr>
      </w:pPr>
      <w:r>
        <w:rPr>
          <w:rFonts w:ascii="Arial" w:cs="Arial" w:eastAsia="Arial" w:hAnsi="Arial"/>
          <w:sz w:val="17"/>
          <w:szCs w:val="17"/>
          <w:color w:val="auto"/>
        </w:rPr>
        <w:t>World Fuel Services Corporation</w:t>
      </w:r>
    </w:p>
    <w:p>
      <w:pPr>
        <w:ind w:left="160"/>
        <w:spacing w:after="0" w:line="199" w:lineRule="auto"/>
        <w:rPr>
          <w:sz w:val="20"/>
          <w:szCs w:val="20"/>
          <w:color w:val="auto"/>
        </w:rPr>
      </w:pPr>
      <w:r>
        <w:rPr>
          <w:rFonts w:ascii="Arial" w:cs="Arial" w:eastAsia="Arial" w:hAnsi="Arial"/>
          <w:sz w:val="17"/>
          <w:szCs w:val="17"/>
          <w:color w:val="auto"/>
        </w:rPr>
        <w:t>Ira M Birns, 305-428-8000</w:t>
      </w:r>
    </w:p>
    <w:p>
      <w:pPr>
        <w:ind w:left="160"/>
        <w:spacing w:after="0" w:line="199" w:lineRule="auto"/>
        <w:rPr>
          <w:sz w:val="20"/>
          <w:szCs w:val="20"/>
          <w:color w:val="auto"/>
        </w:rPr>
      </w:pPr>
      <w:r>
        <w:rPr>
          <w:rFonts w:ascii="Arial" w:cs="Arial" w:eastAsia="Arial" w:hAnsi="Arial"/>
          <w:sz w:val="17"/>
          <w:szCs w:val="17"/>
          <w:color w:val="auto"/>
        </w:rPr>
        <w:t>Executive Vice President &amp; Chief Financial Officer</w:t>
      </w:r>
    </w:p>
    <w:p>
      <w:pPr>
        <w:ind w:left="160"/>
        <w:spacing w:after="0" w:line="199" w:lineRule="auto"/>
        <w:rPr>
          <w:sz w:val="20"/>
          <w:szCs w:val="20"/>
          <w:color w:val="auto"/>
        </w:rPr>
      </w:pPr>
      <w:r>
        <w:rPr>
          <w:rFonts w:ascii="Arial" w:cs="Arial" w:eastAsia="Arial" w:hAnsi="Arial"/>
          <w:sz w:val="17"/>
          <w:szCs w:val="17"/>
          <w:color w:val="auto"/>
        </w:rPr>
        <w:t>Or</w:t>
      </w:r>
    </w:p>
    <w:p>
      <w:pPr>
        <w:ind w:left="160"/>
        <w:spacing w:after="0" w:line="199" w:lineRule="auto"/>
        <w:rPr>
          <w:sz w:val="20"/>
          <w:szCs w:val="20"/>
          <w:color w:val="auto"/>
        </w:rPr>
      </w:pPr>
      <w:r>
        <w:rPr>
          <w:rFonts w:ascii="Arial" w:cs="Arial" w:eastAsia="Arial" w:hAnsi="Arial"/>
          <w:sz w:val="17"/>
          <w:szCs w:val="17"/>
          <w:color w:val="auto"/>
        </w:rPr>
        <w:t>Glenn Klevitz, 305-428-8000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Vice President,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229870</wp:posOffset>
            </wp:positionV>
            <wp:extent cx="55486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sectPr>
      <w:pgSz w:w="11900" w:h="16838" w:orient="portrait"/>
      <w:cols w:equalWidth="0" w:num="1">
        <w:col w:w="9019"/>
      </w:cols>
      <w:pgMar w:left="1440" w:top="2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2019-12-05T18:40:46Z</dcterms:created>
  <dcterms:modified xsi:type="dcterms:W3CDTF">2019-12-05T18:40:46Z</dcterms:modified>
</cp:coreProperties>
</file>