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#2</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World Fuel Services Corp.</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981475106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Schedule is filed pursuant to Rule 13d-1(b)</w:t>
      </w:r>
    </w:p>
    <w:p>
      <w:pPr>
        <w:spacing w:after="0" w:line="17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6560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6560185"/>
                    </a:xfrm>
                    <a:prstGeom prst="rect">
                      <a:avLst/>
                    </a:prstGeom>
                    <a:noFill/>
                  </pic:spPr>
                </pic:pic>
              </a:graphicData>
            </a:graphic>
          </wp:anchor>
        </w:drawing>
      </w:r>
    </w:p>
    <w:p>
      <w:pPr>
        <w:spacing w:after="0" w:line="84" w:lineRule="exact"/>
        <w:rPr>
          <w:sz w:val="20"/>
          <w:szCs w:val="20"/>
          <w:color w:val="auto"/>
        </w:rPr>
      </w:pPr>
    </w:p>
    <w:p>
      <w:pPr>
        <w:ind w:left="740" w:hanging="523"/>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3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Ameriprise Financial, Inc.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No. 13-3180631</w:t>
      </w:r>
    </w:p>
    <w:p>
      <w:pPr>
        <w:spacing w:after="0" w:line="30" w:lineRule="exact"/>
        <w:rPr>
          <w:sz w:val="20"/>
          <w:szCs w:val="20"/>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41"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1"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740" w:hanging="523"/>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40" w:right="8140" w:hanging="523"/>
        <w:spacing w:after="0" w:line="4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760" w:hanging="320"/>
        <w:spacing w:after="0"/>
        <w:tabs>
          <w:tab w:leader="none" w:pos="17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ind w:right="12"/>
              <w:spacing w:after="0" w:line="162" w:lineRule="exact"/>
              <w:rPr>
                <w:sz w:val="20"/>
                <w:szCs w:val="20"/>
                <w:color w:val="auto"/>
              </w:rPr>
            </w:pPr>
            <w:r>
              <w:rPr>
                <w:rFonts w:ascii="Arial" w:cs="Arial" w:eastAsia="Arial" w:hAnsi="Arial"/>
                <w:sz w:val="18"/>
                <w:szCs w:val="18"/>
                <w:color w:val="auto"/>
                <w:w w:val="99"/>
              </w:rPr>
              <w:t>6)</w:t>
            </w:r>
          </w:p>
        </w:tc>
        <w:tc>
          <w:tcPr>
            <w:tcW w:w="9760" w:type="dxa"/>
            <w:vAlign w:val="bottom"/>
          </w:tcPr>
          <w:p>
            <w:pPr>
              <w:ind w:left="8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244,547</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28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9"/>
              </w:rPr>
              <w:t>7)</w:t>
            </w:r>
          </w:p>
        </w:tc>
        <w:tc>
          <w:tcPr>
            <w:tcW w:w="976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2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280" w:type="dxa"/>
            <w:vAlign w:val="bottom"/>
            <w:gridSpan w:val="2"/>
          </w:tcPr>
          <w:p>
            <w:pPr>
              <w:jc w:val="center"/>
              <w:ind w:right="60"/>
              <w:spacing w:after="0" w:line="203" w:lineRule="exact"/>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17"/>
                <w:szCs w:val="17"/>
                <w:color w:val="auto"/>
              </w:rPr>
            </w:pPr>
          </w:p>
        </w:tc>
        <w:tc>
          <w:tcPr>
            <w:tcW w:w="9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760" w:right="7860" w:hanging="320"/>
        <w:spacing w:after="0" w:line="469" w:lineRule="auto"/>
        <w:tabs>
          <w:tab w:leader="none" w:pos="17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1,294,126</w:t>
      </w:r>
    </w:p>
    <w:p>
      <w:pPr>
        <w:ind w:left="740" w:right="6020" w:hanging="523"/>
        <w:spacing w:after="0" w:line="477"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1,294,126</w:t>
      </w:r>
    </w:p>
    <w:p>
      <w:pPr>
        <w:spacing w:after="0" w:line="1" w:lineRule="exact"/>
        <w:rPr>
          <w:rFonts w:ascii="Arial" w:cs="Arial" w:eastAsia="Arial" w:hAnsi="Arial"/>
          <w:sz w:val="18"/>
          <w:szCs w:val="18"/>
          <w:color w:val="auto"/>
        </w:rPr>
      </w:pPr>
    </w:p>
    <w:p>
      <w:pPr>
        <w:ind w:left="740" w:right="5880" w:hanging="610"/>
        <w:spacing w:after="0" w:line="477"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740" w:hanging="610"/>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7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1.79%</w:t>
      </w:r>
    </w:p>
    <w:p>
      <w:pPr>
        <w:spacing w:after="0" w:line="36" w:lineRule="exact"/>
        <w:rPr>
          <w:rFonts w:ascii="Arial" w:cs="Arial" w:eastAsia="Arial" w:hAnsi="Arial"/>
          <w:sz w:val="18"/>
          <w:szCs w:val="18"/>
          <w:color w:val="auto"/>
        </w:rPr>
      </w:pPr>
    </w:p>
    <w:p>
      <w:pPr>
        <w:ind w:left="740" w:hanging="610"/>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7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981475106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6560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560185"/>
                    </a:xfrm>
                    <a:prstGeom prst="rect">
                      <a:avLst/>
                    </a:prstGeom>
                    <a:noFill/>
                  </pic:spPr>
                </pic:pic>
              </a:graphicData>
            </a:graphic>
          </wp:anchor>
        </w:drawing>
      </w:r>
    </w:p>
    <w:p>
      <w:pPr>
        <w:spacing w:after="0" w:line="84" w:lineRule="exact"/>
        <w:rPr>
          <w:sz w:val="20"/>
          <w:szCs w:val="20"/>
          <w:color w:val="auto"/>
        </w:rPr>
      </w:pPr>
    </w:p>
    <w:p>
      <w:pPr>
        <w:ind w:left="740" w:hanging="523"/>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36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Columbia Management Investment Advisers, LLC</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IRS No. 41-1533211</w:t>
      </w:r>
    </w:p>
    <w:p>
      <w:pPr>
        <w:spacing w:after="0" w:line="30" w:lineRule="exact"/>
        <w:rPr>
          <w:sz w:val="20"/>
          <w:szCs w:val="20"/>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41"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71" w:lineRule="exact"/>
        <w:rPr>
          <w:rFonts w:ascii="Arial" w:cs="Arial" w:eastAsia="Arial" w:hAnsi="Arial"/>
          <w:sz w:val="18"/>
          <w:szCs w:val="18"/>
          <w:color w:val="auto"/>
        </w:rPr>
      </w:pPr>
    </w:p>
    <w:p>
      <w:pPr>
        <w:ind w:left="1020" w:hanging="28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740" w:hanging="523"/>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740" w:right="8140" w:hanging="523"/>
        <w:spacing w:after="0" w:line="4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Minnesota</w:t>
      </w:r>
    </w:p>
    <w:p>
      <w:pPr>
        <w:spacing w:after="0" w:line="1" w:lineRule="exact"/>
        <w:rPr>
          <w:rFonts w:ascii="Arial" w:cs="Arial" w:eastAsia="Arial" w:hAnsi="Arial"/>
          <w:sz w:val="18"/>
          <w:szCs w:val="18"/>
          <w:color w:val="auto"/>
        </w:rPr>
      </w:pPr>
    </w:p>
    <w:p>
      <w:pPr>
        <w:ind w:left="1760" w:hanging="320"/>
        <w:spacing w:after="0"/>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ind w:right="12"/>
              <w:spacing w:after="0" w:line="162" w:lineRule="exact"/>
              <w:rPr>
                <w:sz w:val="20"/>
                <w:szCs w:val="20"/>
                <w:color w:val="auto"/>
              </w:rPr>
            </w:pPr>
            <w:r>
              <w:rPr>
                <w:rFonts w:ascii="Arial" w:cs="Arial" w:eastAsia="Arial" w:hAnsi="Arial"/>
                <w:sz w:val="18"/>
                <w:szCs w:val="18"/>
                <w:color w:val="auto"/>
                <w:w w:val="99"/>
              </w:rPr>
              <w:t>6)</w:t>
            </w:r>
          </w:p>
        </w:tc>
        <w:tc>
          <w:tcPr>
            <w:tcW w:w="9760" w:type="dxa"/>
            <w:vAlign w:val="bottom"/>
          </w:tcPr>
          <w:p>
            <w:pPr>
              <w:ind w:left="80"/>
              <w:spacing w:after="0" w:line="16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8"/>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BENEFICIALLY</w:t>
            </w:r>
          </w:p>
        </w:tc>
        <w:tc>
          <w:tcPr>
            <w:tcW w:w="28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244,547</w:t>
            </w:r>
          </w:p>
        </w:tc>
        <w:tc>
          <w:tcPr>
            <w:tcW w:w="0" w:type="dxa"/>
            <w:vAlign w:val="bottom"/>
          </w:tcPr>
          <w:p>
            <w:pPr>
              <w:spacing w:after="0"/>
              <w:rPr>
                <w:sz w:val="1"/>
                <w:szCs w:val="1"/>
                <w:color w:val="auto"/>
              </w:rPr>
            </w:pPr>
          </w:p>
        </w:tc>
      </w:tr>
      <w:tr>
        <w:trPr>
          <w:trHeight w:val="222"/>
        </w:trPr>
        <w:tc>
          <w:tcPr>
            <w:tcW w:w="12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OWNED BY</w:t>
            </w:r>
          </w:p>
        </w:tc>
        <w:tc>
          <w:tcPr>
            <w:tcW w:w="28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12"/>
              <w:spacing w:after="0" w:line="190" w:lineRule="exact"/>
              <w:rPr>
                <w:sz w:val="20"/>
                <w:szCs w:val="20"/>
                <w:color w:val="auto"/>
              </w:rPr>
            </w:pPr>
            <w:r>
              <w:rPr>
                <w:rFonts w:ascii="Arial" w:cs="Arial" w:eastAsia="Arial" w:hAnsi="Arial"/>
                <w:sz w:val="18"/>
                <w:szCs w:val="18"/>
                <w:color w:val="auto"/>
                <w:w w:val="99"/>
              </w:rPr>
              <w:t>7)</w:t>
            </w:r>
          </w:p>
        </w:tc>
        <w:tc>
          <w:tcPr>
            <w:tcW w:w="9760" w:type="dxa"/>
            <w:vAlign w:val="bottom"/>
            <w:tcBorders>
              <w:top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REPORTING</w:t>
            </w:r>
          </w:p>
        </w:tc>
        <w:tc>
          <w:tcPr>
            <w:tcW w:w="2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1280" w:type="dxa"/>
            <w:vAlign w:val="bottom"/>
            <w:gridSpan w:val="2"/>
          </w:tcPr>
          <w:p>
            <w:pPr>
              <w:jc w:val="center"/>
              <w:ind w:right="60"/>
              <w:spacing w:after="0" w:line="203" w:lineRule="exact"/>
              <w:rPr>
                <w:sz w:val="20"/>
                <w:szCs w:val="20"/>
                <w:color w:val="auto"/>
              </w:rPr>
            </w:pPr>
            <w:r>
              <w:rPr>
                <w:rFonts w:ascii="Arial" w:cs="Arial" w:eastAsia="Arial" w:hAnsi="Arial"/>
                <w:sz w:val="18"/>
                <w:szCs w:val="18"/>
                <w:color w:val="auto"/>
                <w:w w:val="99"/>
              </w:rPr>
              <w:t>WITH</w:t>
            </w:r>
          </w:p>
        </w:tc>
        <w:tc>
          <w:tcPr>
            <w:tcW w:w="280" w:type="dxa"/>
            <w:vAlign w:val="bottom"/>
          </w:tcPr>
          <w:p>
            <w:pPr>
              <w:spacing w:after="0"/>
              <w:rPr>
                <w:sz w:val="17"/>
                <w:szCs w:val="17"/>
                <w:color w:val="auto"/>
              </w:rPr>
            </w:pPr>
          </w:p>
        </w:tc>
        <w:tc>
          <w:tcPr>
            <w:tcW w:w="9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760" w:right="7860" w:hanging="320"/>
        <w:spacing w:after="0" w:line="469" w:lineRule="auto"/>
        <w:tabs>
          <w:tab w:leader="none" w:pos="176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 1,294,126</w:t>
      </w:r>
    </w:p>
    <w:p>
      <w:pPr>
        <w:ind w:left="740" w:right="6020" w:hanging="523"/>
        <w:spacing w:after="0" w:line="477" w:lineRule="auto"/>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1,294,126</w:t>
      </w:r>
    </w:p>
    <w:p>
      <w:pPr>
        <w:spacing w:after="0" w:line="1" w:lineRule="exact"/>
        <w:rPr>
          <w:rFonts w:ascii="Arial" w:cs="Arial" w:eastAsia="Arial" w:hAnsi="Arial"/>
          <w:sz w:val="18"/>
          <w:szCs w:val="18"/>
          <w:color w:val="auto"/>
        </w:rPr>
      </w:pPr>
    </w:p>
    <w:p>
      <w:pPr>
        <w:ind w:left="740" w:right="5880" w:hanging="610"/>
        <w:spacing w:after="0" w:line="477" w:lineRule="auto"/>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740" w:hanging="610"/>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7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1.79%</w:t>
      </w:r>
    </w:p>
    <w:p>
      <w:pPr>
        <w:spacing w:after="0" w:line="36" w:lineRule="exact"/>
        <w:rPr>
          <w:rFonts w:ascii="Arial" w:cs="Arial" w:eastAsia="Arial" w:hAnsi="Arial"/>
          <w:sz w:val="18"/>
          <w:szCs w:val="18"/>
          <w:color w:val="auto"/>
        </w:rPr>
      </w:pPr>
    </w:p>
    <w:p>
      <w:pPr>
        <w:ind w:left="740" w:hanging="610"/>
        <w:spacing w:after="0"/>
        <w:tabs>
          <w:tab w:leader="none" w:pos="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73"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This filing describes the reporting person’s relationship with other persons, but the reporting person does not affirm the existence of a group.</w:t>
      </w:r>
    </w:p>
    <w:p>
      <w:pPr>
        <w:sectPr>
          <w:pgSz w:w="11900" w:h="16838" w:orient="portrait"/>
          <w:cols w:equalWidth="0" w:num="1">
            <w:col w:w="11440"/>
          </w:cols>
          <w:pgMar w:left="240" w:top="280" w:right="219" w:bottom="1440" w:gutter="0" w:footer="0" w:header="0"/>
        </w:sectPr>
      </w:pPr>
    </w:p>
    <w:bookmarkStart w:id="3" w:name="page4"/>
    <w:bookmarkEnd w:id="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1(a)</w:t>
      </w:r>
      <w:r>
        <w:rPr>
          <w:sz w:val="20"/>
          <w:szCs w:val="20"/>
          <w:color w:val="auto"/>
        </w:rPr>
        <w:tab/>
      </w:r>
      <w:r>
        <w:rPr>
          <w:rFonts w:ascii="Arial" w:cs="Arial" w:eastAsia="Arial" w:hAnsi="Arial"/>
          <w:sz w:val="15"/>
          <w:szCs w:val="15"/>
          <w:color w:val="auto"/>
        </w:rPr>
        <w:t>Name of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 Fuel Services Corp.</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1(b)</w:t>
      </w:r>
      <w:r>
        <w:rPr>
          <w:sz w:val="20"/>
          <w:szCs w:val="20"/>
          <w:color w:val="auto"/>
        </w:rPr>
        <w:tab/>
      </w:r>
      <w:r>
        <w:rPr>
          <w:rFonts w:ascii="Arial" w:cs="Arial" w:eastAsia="Arial" w:hAnsi="Arial"/>
          <w:sz w:val="16"/>
          <w:szCs w:val="16"/>
          <w:color w:val="auto"/>
        </w:rPr>
        <w:t>Address of Issuer’s Principal Executive Offices: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9800 NW 41st St., Suite 400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Miami, FL 33178</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6"/>
          <w:szCs w:val="16"/>
          <w:color w:val="auto"/>
        </w:rPr>
        <w:t>Name of Person Filing:</w:t>
      </w:r>
    </w:p>
    <w:p>
      <w:pPr>
        <w:spacing w:after="0" w:line="90"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Ameriprise Financial, Inc. (“AFI”)</w:t>
      </w:r>
    </w:p>
    <w:p>
      <w:pPr>
        <w:spacing w:after="0" w:line="90" w:lineRule="exact"/>
        <w:rPr>
          <w:rFonts w:ascii="Arial" w:cs="Arial" w:eastAsia="Arial" w:hAnsi="Arial"/>
          <w:sz w:val="18"/>
          <w:szCs w:val="18"/>
          <w:color w:val="auto"/>
        </w:rPr>
      </w:pPr>
    </w:p>
    <w:p>
      <w:pPr>
        <w:ind w:left="460" w:right="8160" w:firstLine="4"/>
        <w:spacing w:after="0" w:line="332" w:lineRule="auto"/>
        <w:tabs>
          <w:tab w:leader="none" w:pos="709" w:val="left"/>
        </w:tabs>
        <w:numPr>
          <w:ilvl w:val="0"/>
          <w:numId w:val="9"/>
        </w:numPr>
        <w:rPr>
          <w:rFonts w:ascii="Arial" w:cs="Arial" w:eastAsia="Arial" w:hAnsi="Arial"/>
          <w:sz w:val="16"/>
          <w:szCs w:val="16"/>
          <w:color w:val="auto"/>
        </w:rPr>
      </w:pPr>
      <w:r>
        <w:rPr>
          <w:rFonts w:ascii="Arial" w:cs="Arial" w:eastAsia="Arial" w:hAnsi="Arial"/>
          <w:sz w:val="16"/>
          <w:szCs w:val="16"/>
          <w:color w:val="auto"/>
        </w:rPr>
        <w:t>Columbia Management Investment Advisers, LLC (“CMIA”)</w:t>
      </w:r>
    </w:p>
    <w:p>
      <w:pPr>
        <w:spacing w:after="0" w:line="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2(b)</w:t>
      </w:r>
      <w:r>
        <w:rPr>
          <w:sz w:val="20"/>
          <w:szCs w:val="20"/>
          <w:color w:val="auto"/>
        </w:rPr>
        <w:tab/>
      </w:r>
      <w:r>
        <w:rPr>
          <w:rFonts w:ascii="Arial" w:cs="Arial" w:eastAsia="Arial" w:hAnsi="Arial"/>
          <w:sz w:val="16"/>
          <w:szCs w:val="16"/>
          <w:color w:val="auto"/>
        </w:rPr>
        <w:t>Address of Principal Business Office:</w:t>
      </w:r>
    </w:p>
    <w:p>
      <w:pPr>
        <w:spacing w:after="0" w:line="90" w:lineRule="exact"/>
        <w:rPr>
          <w:sz w:val="20"/>
          <w:szCs w:val="20"/>
          <w:color w:val="auto"/>
        </w:rPr>
      </w:pPr>
    </w:p>
    <w:p>
      <w:pPr>
        <w:ind w:left="460" w:right="8580" w:firstLine="4"/>
        <w:spacing w:after="0" w:line="306" w:lineRule="auto"/>
        <w:tabs>
          <w:tab w:leader="none" w:pos="6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Ameriprise Financial, Inc. 145 Ameriprise Financial Center Minneapolis, MN 55474</w:t>
      </w:r>
    </w:p>
    <w:p>
      <w:pPr>
        <w:spacing w:after="0" w:line="25" w:lineRule="exact"/>
        <w:rPr>
          <w:rFonts w:ascii="Arial" w:cs="Arial" w:eastAsia="Arial" w:hAnsi="Arial"/>
          <w:sz w:val="16"/>
          <w:szCs w:val="16"/>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225 Franklin 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Boston, MA 02110</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2(c)</w:t>
      </w:r>
      <w:r>
        <w:rPr>
          <w:sz w:val="20"/>
          <w:szCs w:val="20"/>
          <w:color w:val="auto"/>
        </w:rPr>
        <w:tab/>
      </w:r>
      <w:r>
        <w:rPr>
          <w:rFonts w:ascii="Arial" w:cs="Arial" w:eastAsia="Arial" w:hAnsi="Arial"/>
          <w:sz w:val="16"/>
          <w:szCs w:val="16"/>
          <w:color w:val="auto"/>
        </w:rPr>
        <w:t>Citizenship:</w:t>
      </w:r>
    </w:p>
    <w:p>
      <w:pPr>
        <w:spacing w:after="0" w:line="90"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Delaware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Minnesota</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2(d)</w:t>
      </w:r>
      <w:r>
        <w:rPr>
          <w:sz w:val="20"/>
          <w:szCs w:val="20"/>
          <w:color w:val="auto"/>
        </w:rPr>
        <w:tab/>
      </w:r>
      <w:r>
        <w:rPr>
          <w:rFonts w:ascii="Arial" w:cs="Arial" w:eastAsia="Arial" w:hAnsi="Arial"/>
          <w:sz w:val="16"/>
          <w:szCs w:val="16"/>
          <w:color w:val="auto"/>
        </w:rPr>
        <w:t>Title of Class of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6"/>
          <w:szCs w:val="16"/>
          <w:color w:val="auto"/>
        </w:rPr>
        <w:t>Cusip Number: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981475106</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if statement is filed pursuant to Rules 13d-1(b) or 13d-2(b):</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Ameriprise Financial,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parent holding company in accordance with Rule 13d-1(b)(1)(ii)(G). (Note: See Item 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Columbia Management Investment Advisers,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investment adviser in accordance with Rule 13d-1(b)(1)(ii)(E).</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90"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AFI and CMIA disclaims beneficial ownership of any shares reported on this Schedule.</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Ownership of 5% or Less of a Class:</w:t>
      </w:r>
    </w:p>
    <w:p>
      <w:pPr>
        <w:spacing w:after="0" w:line="90" w:lineRule="exact"/>
        <w:rPr>
          <w:rFonts w:ascii="Arial" w:cs="Arial" w:eastAsia="Arial" w:hAnsi="Arial"/>
          <w:sz w:val="18"/>
          <w:szCs w:val="18"/>
          <w:color w:val="auto"/>
        </w:rPr>
      </w:pPr>
    </w:p>
    <w:p>
      <w:pPr>
        <w:ind w:left="460"/>
        <w:spacing w:after="0" w:line="229" w:lineRule="exact"/>
        <w:rPr>
          <w:rFonts w:ascii="Arial" w:cs="Arial" w:eastAsia="Arial" w:hAnsi="Arial"/>
          <w:sz w:val="18"/>
          <w:szCs w:val="18"/>
          <w:color w:val="auto"/>
        </w:rPr>
      </w:pPr>
      <w:r>
        <w:rPr>
          <w:rFonts w:ascii="Arial" w:cs="Arial" w:eastAsia="Arial" w:hAnsi="Arial"/>
          <w:sz w:val="18"/>
          <w:szCs w:val="18"/>
          <w:color w:val="auto"/>
        </w:rPr>
        <w:t xml:space="preserve">If this statement is being filed to report the fact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360"/>
          </w:cols>
          <w:pgMar w:left="240" w:top="280" w:right="299" w:bottom="1440" w:gutter="0" w:footer="0" w:header="0"/>
        </w:sectPr>
      </w:pPr>
    </w:p>
    <w:bookmarkStart w:id="4" w:name="page5"/>
    <w:bookmarkEnd w:id="4"/>
    <w:p>
      <w:pPr>
        <w:ind w:left="452" w:hanging="452"/>
        <w:spacing w:after="0"/>
        <w:tabs>
          <w:tab w:leader="none" w:pos="45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more than 5% on Behalf of Another Person: Not Applicable</w:t>
      </w:r>
    </w:p>
    <w:p>
      <w:pPr>
        <w:spacing w:after="0" w:line="90"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AFI: See Exhibit I</w:t>
      </w:r>
    </w:p>
    <w:p>
      <w:pPr>
        <w:spacing w:after="0" w:line="90"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Identification and Classification of Members of the Group:</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Not Applicable</w:t>
      </w:r>
    </w:p>
    <w:p>
      <w:pPr>
        <w:spacing w:after="0" w:line="90" w:lineRule="exact"/>
        <w:rPr>
          <w:sz w:val="20"/>
          <w:szCs w:val="20"/>
          <w:color w:val="auto"/>
        </w:rPr>
      </w:pPr>
    </w:p>
    <w:p>
      <w:pPr>
        <w:ind w:left="452" w:right="8440" w:hanging="452"/>
        <w:spacing w:after="0" w:line="344" w:lineRule="auto"/>
        <w:tabs>
          <w:tab w:leader="none" w:pos="4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Notice of Dissolution of Group: Not Applicable</w:t>
      </w:r>
    </w:p>
    <w:p>
      <w:pPr>
        <w:spacing w:after="0" w:line="1"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90" w:lineRule="exact"/>
        <w:rPr>
          <w:rFonts w:ascii="Arial" w:cs="Arial" w:eastAsia="Arial" w:hAnsi="Arial"/>
          <w:sz w:val="18"/>
          <w:szCs w:val="18"/>
          <w:color w:val="auto"/>
        </w:rPr>
      </w:pPr>
    </w:p>
    <w:p>
      <w:pPr>
        <w:ind w:left="452"/>
        <w:spacing w:after="0" w:line="306"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1132"/>
          </w:cols>
          <w:pgMar w:left="248" w:top="280"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Wade M. Voigt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Title: Vice President – Fund Administration – Financial</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Reporting</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Columbia Management Investment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Advisers, LLC</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Amy Johnson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Operating Officer</w:t>
      </w:r>
    </w:p>
    <w:p>
      <w:pPr>
        <w:spacing w:after="0" w:line="219"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Contact Information</w:t>
      </w:r>
    </w:p>
    <w:p>
      <w:pPr>
        <w:spacing w:after="0" w:line="117"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Wade M. Voigt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 Fund Administration – Financial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Telephone: (612) 671-5682</w:t>
      </w:r>
    </w:p>
    <w:p>
      <w:pPr>
        <w:sectPr>
          <w:pgSz w:w="11900" w:h="16838" w:orient="portrait"/>
          <w:cols w:equalWidth="0" w:num="1">
            <w:col w:w="11240"/>
          </w:cols>
          <w:pgMar w:left="240" w:top="280" w:right="419" w:bottom="1440" w:gutter="0" w:footer="0" w:header="0"/>
        </w:sectPr>
      </w:pPr>
    </w:p>
    <w:bookmarkStart w:id="6" w:name="page7"/>
    <w:bookmarkEnd w:id="6"/>
    <w:p>
      <w:pPr>
        <w:ind w:left="52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II</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420"/>
          </w:cols>
          <w:pgMar w:left="240" w:top="496" w:right="1239" w:bottom="1440" w:gutter="0" w:footer="0" w:header="0"/>
        </w:sectPr>
      </w:pPr>
    </w:p>
    <w:bookmarkStart w:id="7" w:name="page8"/>
    <w:bookmarkEnd w:id="7"/>
    <w:p>
      <w:pPr>
        <w:ind w:left="5400"/>
        <w:spacing w:after="0"/>
        <w:rPr>
          <w:sz w:val="20"/>
          <w:szCs w:val="20"/>
          <w:color w:val="auto"/>
        </w:rPr>
      </w:pPr>
      <w:r>
        <w:rPr>
          <w:rFonts w:ascii="Arial" w:cs="Arial" w:eastAsia="Arial" w:hAnsi="Arial"/>
          <w:sz w:val="18"/>
          <w:szCs w:val="18"/>
          <w:color w:val="auto"/>
        </w:rPr>
        <w:t>Exhibit I</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Schedule 13G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320"/>
          </w:cols>
          <w:pgMar w:left="240" w:top="131"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color w:val="auto"/>
        </w:rPr>
        <w:t>Exhibit II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13G</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Joint Filing Agreement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undersigned persons agree and consent to the joint filing on their behalf of this Schedule 13G dated February 12, 2013 in connection with their beneficial ownership of World Fuel Services Corp. Columbia Management Investment Advisers, LLC authorizes Ameriprise Financial, Inc. to execute the Schedule 13G to which this Exhibit is attached and make any necessary amendments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Wade M. Voigt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 Fund Administration –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Columbia Management Investment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Amy Johnson</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340"/>
      </w:cols>
      <w:pgMar w:left="240" w:top="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2">
    <w:nsid w:val="1F16E9E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
    <w:nsid w:val="1190CDE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6">
    <w:nsid w:val="335225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109CF92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3"/>
      <w:numFmt w:val="bullet"/>
      <w:start w:val="1"/>
    </w:lvl>
    <w:lvl w:ilvl="1">
      <w:lvlJc w:val="left"/>
      <w:lvlText w:val="(%2)"/>
      <w:numFmt w:val="lowerLetter"/>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5"/>
      <w:numFmt w:val="bullet"/>
      <w:start w:val="1"/>
    </w:lvl>
  </w:abstractNum>
  <w:abstractNum w:abstractNumId="14">
    <w:nsid w:val="25E45D32"/>
    <w:multiLevelType w:val="hybridMultilevel"/>
    <w:lvl w:ilvl="0">
      <w:lvlJc w:val="left"/>
      <w:lvlText w:val="6"/>
      <w:numFmt w:val="bullet"/>
      <w:start w:val="1"/>
    </w:lvl>
  </w:abstractNum>
  <w:abstractNum w:abstractNumId="15">
    <w:nsid w:val="519B500D"/>
    <w:multiLevelType w:val="hybridMultilevel"/>
    <w:lvl w:ilvl="0">
      <w:lvlJc w:val="left"/>
      <w:lvlText w:val="7"/>
      <w:numFmt w:val="bullet"/>
      <w:start w:val="1"/>
    </w:lvl>
  </w:abstractNum>
  <w:abstractNum w:abstractNumId="16">
    <w:nsid w:val="431BD7B7"/>
    <w:multiLevelType w:val="hybridMultilevel"/>
    <w:lvl w:ilvl="0">
      <w:lvlJc w:val="left"/>
      <w:lvlText w:val="8"/>
      <w:numFmt w:val="bullet"/>
      <w:start w:val="1"/>
    </w:lvl>
  </w:abstractNum>
  <w:abstractNum w:abstractNumId="17">
    <w:nsid w:val="3F2DBA31"/>
    <w:multiLevelType w:val="hybridMultilevel"/>
    <w:lvl w:ilvl="0">
      <w:lvlJc w:val="left"/>
      <w:lvlText w:val="9"/>
      <w:numFmt w:val="bullet"/>
      <w:start w:val="1"/>
    </w:lvl>
  </w:abstractNum>
  <w:abstractNum w:abstractNumId="18">
    <w:nsid w:val="7C83E45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2019-12-05T22:26:22Z</dcterms:created>
  <dcterms:modified xsi:type="dcterms:W3CDTF">2019-12-05T22:26:22Z</dcterms:modified>
</cp:coreProperties>
</file>