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6"/>
              </w:rPr>
              <w:t>Florida</w:t>
            </w:r>
          </w:p>
        </w:tc>
        <w:tc>
          <w:tcPr>
            <w:tcW w:w="31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00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000" w:type="dxa"/>
            <w:vAlign w:val="bottom"/>
          </w:tcPr>
          <w:p>
            <w:pPr>
              <w:jc w:val="center"/>
              <w:ind w:left="1110"/>
              <w:spacing w:after="0"/>
              <w:rPr>
                <w:sz w:val="20"/>
                <w:szCs w:val="20"/>
                <w:color w:val="auto"/>
              </w:rPr>
            </w:pPr>
            <w:r>
              <w:rPr>
                <w:rFonts w:ascii="Arial" w:cs="Arial" w:eastAsia="Arial" w:hAnsi="Arial"/>
                <w:sz w:val="18"/>
                <w:szCs w:val="18"/>
                <w:b w:val="1"/>
                <w:bCs w:val="1"/>
                <w:color w:val="auto"/>
                <w:w w:val="95"/>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163" w:lineRule="exact"/>
        <w:rPr>
          <w:sz w:val="20"/>
          <w:szCs w:val="20"/>
          <w:color w:val="auto"/>
        </w:rPr>
      </w:pPr>
    </w:p>
    <w:p>
      <w:pPr>
        <w:jc w:val="both"/>
        <w:ind w:right="20" w:firstLine="405"/>
        <w:spacing w:after="0" w:line="251" w:lineRule="auto"/>
        <w:rPr>
          <w:sz w:val="20"/>
          <w:szCs w:val="20"/>
          <w:color w:val="auto"/>
        </w:rPr>
      </w:pPr>
      <w:r>
        <w:rPr>
          <w:rFonts w:ascii="Arial" w:cs="Arial" w:eastAsia="Arial" w:hAnsi="Arial"/>
          <w:sz w:val="22"/>
          <w:szCs w:val="22"/>
          <w:color w:val="auto"/>
        </w:rPr>
        <w:t>On April 28, 2016, World Fuel Services Corporation issued a press release reporting its financial results for the first quarter ended March 31, 2016. A copy of the press release is attached hereto as Exhibit 99.1.</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ind w:left="580"/>
              <w:spacing w:after="0"/>
              <w:rPr>
                <w:sz w:val="20"/>
                <w:szCs w:val="20"/>
                <w:color w:val="auto"/>
              </w:rPr>
            </w:pPr>
            <w:r>
              <w:rPr>
                <w:rFonts w:ascii="Arial" w:cs="Arial" w:eastAsia="Arial" w:hAnsi="Arial"/>
                <w:sz w:val="22"/>
                <w:szCs w:val="22"/>
                <w:color w:val="auto"/>
              </w:rPr>
              <w:t>(d)</w:t>
            </w:r>
          </w:p>
        </w:tc>
        <w:tc>
          <w:tcPr>
            <w:tcW w:w="1500" w:type="dxa"/>
            <w:vAlign w:val="bottom"/>
            <w:gridSpan w:val="3"/>
          </w:tcPr>
          <w:p>
            <w:pPr>
              <w:ind w:left="180"/>
              <w:spacing w:after="0"/>
              <w:rPr>
                <w:sz w:val="20"/>
                <w:szCs w:val="20"/>
                <w:color w:val="auto"/>
              </w:rPr>
            </w:pPr>
            <w:r>
              <w:rPr>
                <w:rFonts w:ascii="Arial" w:cs="Arial" w:eastAsia="Arial" w:hAnsi="Arial"/>
                <w:sz w:val="22"/>
                <w:szCs w:val="22"/>
                <w:color w:val="auto"/>
              </w:rPr>
              <w:t>Exhibits</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580" w:type="dxa"/>
            <w:vAlign w:val="bottom"/>
          </w:tcPr>
          <w:p>
            <w:pPr>
              <w:spacing w:after="0"/>
              <w:rPr>
                <w:sz w:val="23"/>
                <w:szCs w:val="23"/>
                <w:color w:val="auto"/>
              </w:rPr>
            </w:pPr>
          </w:p>
        </w:tc>
      </w:tr>
      <w:tr>
        <w:trPr>
          <w:trHeight w:val="409"/>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900" w:type="dxa"/>
            <w:vAlign w:val="bottom"/>
            <w:gridSpan w:val="3"/>
          </w:tcPr>
          <w:p>
            <w:pPr>
              <w:ind w:left="240"/>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74"/>
        </w:trPr>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60" w:type="dxa"/>
            <w:vAlign w:val="bottom"/>
            <w:gridSpan w:val="2"/>
          </w:tcPr>
          <w:p>
            <w:pPr>
              <w:ind w:left="300"/>
              <w:spacing w:after="0"/>
              <w:rPr>
                <w:sz w:val="20"/>
                <w:szCs w:val="20"/>
                <w:color w:val="auto"/>
              </w:rPr>
            </w:pPr>
            <w:r>
              <w:rPr>
                <w:rFonts w:ascii="Arial" w:cs="Arial" w:eastAsia="Arial" w:hAnsi="Arial"/>
                <w:sz w:val="22"/>
                <w:szCs w:val="22"/>
                <w:color w:val="auto"/>
              </w:rPr>
              <w:t>Press Release, dated April 28, 2016.</w:t>
            </w:r>
          </w:p>
        </w:tc>
      </w:tr>
      <w:tr>
        <w:trPr>
          <w:trHeight w:val="206"/>
        </w:trPr>
        <w:tc>
          <w:tcPr>
            <w:tcW w:w="10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7580" w:type="dxa"/>
            <w:vAlign w:val="bottom"/>
            <w:tcBorders>
              <w:bottom w:val="single" w:sz="8" w:color="9A9A9A"/>
            </w:tcBorders>
          </w:tcPr>
          <w:p>
            <w:pPr>
              <w:spacing w:after="0"/>
              <w:rPr>
                <w:sz w:val="17"/>
                <w:szCs w:val="17"/>
                <w:color w:val="auto"/>
              </w:rPr>
            </w:pPr>
          </w:p>
        </w:tc>
      </w:tr>
      <w:tr>
        <w:trPr>
          <w:trHeight w:val="21"/>
        </w:trPr>
        <w:tc>
          <w:tcPr>
            <w:tcW w:w="10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7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480" w:val="left"/>
        </w:tabs>
        <w:rPr>
          <w:sz w:val="20"/>
          <w:szCs w:val="20"/>
          <w:color w:val="auto"/>
        </w:rPr>
      </w:pPr>
      <w:r>
        <w:rPr>
          <w:rFonts w:ascii="Arial" w:cs="Arial" w:eastAsia="Arial" w:hAnsi="Arial"/>
          <w:sz w:val="18"/>
          <w:szCs w:val="18"/>
          <w:color w:val="auto"/>
        </w:rPr>
        <w:t>Date:</w:t>
        <w:tab/>
        <w:t>April 28, 2016</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April 28, 2016.</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First Quarter 2016 Earnings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$139 million of Operating Cash Flow in the First Quarter</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MIAMI--(BUSINESS WIRE)--April 28, 2016--World Fuel Services Corporation (NYSE: INT) today reported first quarter net income of $52.4 million or $0.75 diluted earnings per share compared to $55.6 million or $0.78 diluted earnings per share in the first quarter of 2015. Excluding the impact of certain non-recurring expenses, adjusted first quarter net income was $53.6 million or $0.77 adjusted diluted earnings per share compared to $59.0 million or $0.83 diluted earnings per share in the first quarter of 2015. Non-GAAP net income and diluted earnings per share for the first quarter, excluding share-based compensation, amortization of acquired intangible assets and certain non-recurring expenses, were $63.1 million and $0.91, respectively, compared to $65.0 million and $0.91 in 2015.</w:t>
      </w:r>
    </w:p>
    <w:p>
      <w:pPr>
        <w:spacing w:after="0" w:line="19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“While results were impacted this quarter by the unseasonably warm weather in the U.K. and U.S. and continued weakness in the marine markets, our aviation and land segments performed well, with our overall volumes up 6% year-over-year,” stated Michael J. Kasbar, chairman and chief executive officer of World Fuel Services Corporation. “Despite the disruption in energy markets and continued global economic weakness, we remain confident in the ability of our diversified logistics, transaction and energy management business model to deliver near and long-term growth.”</w:t>
      </w:r>
    </w:p>
    <w:p>
      <w:pPr>
        <w:spacing w:after="0" w:line="1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9"/>
          <w:szCs w:val="19"/>
          <w:color w:val="auto"/>
        </w:rPr>
        <w:t>The company’s aviation segment generated gross profit of $91.0 million, an increase of $8.1 million or 10% year-over-year. The company’s land segment posted gross profit of $93.6 million, an increase of $15.1 million or 19% year-over-year. The company’s marine segment generated gross profit of $39.2 million, a decrease of $14.8 million or 27% year-over-year.</w:t>
      </w:r>
    </w:p>
    <w:p>
      <w:pPr>
        <w:spacing w:after="0" w:line="13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generated $139 million of operating cash flow during the quarter, further strengthening our balance sheet and providing us with additional liquidity to invest in organic growth initiatives and strategic investment opportunities,” said Ira M. Birns, executive vice president and chief financial officer. “Our ability to consistently generate healthy levels of operating cash flow has contributed to improved returns on invested capital and reduced our level of net debt to just over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non-GAAP financial measures exclude costs associated with share-based compensation, amortization of acquired intangible assets, expenses related to acquisitions and other related charges, deferred revenue purchase accounting adjustments, and termination of employment agreement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and other related charges, and termination of employment agreement expenses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200" w:lineRule="exact"/>
        <w:rPr>
          <w:sz w:val="20"/>
          <w:szCs w:val="20"/>
          <w:color w:val="auto"/>
        </w:rPr>
      </w:pPr>
    </w:p>
    <w:p>
      <w:pPr>
        <w:spacing w:after="0" w:line="21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growth initiatives, investment opportunities, and the ability of our business model to drive growth.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ind w:right="760" w:firstLine="8"/>
        <w:spacing w:after="0" w:line="251" w:lineRule="auto"/>
        <w:tabs>
          <w:tab w:leader="none" w:pos="27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Some amounts in this press release may not add due to rounding. All percentages have been calculated using unrounded amounts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41"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3"/>
              </w:rPr>
              <w:t>As of</w:t>
            </w:r>
          </w:p>
        </w:tc>
        <w:tc>
          <w:tcPr>
            <w:tcW w:w="1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March 31,</w:t>
            </w:r>
          </w:p>
        </w:tc>
        <w:tc>
          <w:tcPr>
            <w:tcW w:w="40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120" w:type="dxa"/>
            <w:vAlign w:val="bottom"/>
          </w:tcPr>
          <w:p>
            <w:pPr>
              <w:ind w:left="8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689.7</w:t>
            </w:r>
          </w:p>
        </w:tc>
        <w:tc>
          <w:tcPr>
            <w:tcW w:w="160" w:type="dxa"/>
            <w:vAlign w:val="bottom"/>
          </w:tcPr>
          <w:p>
            <w:pPr>
              <w:spacing w:after="0"/>
              <w:rPr>
                <w:sz w:val="15"/>
                <w:szCs w:val="15"/>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1,673.2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1,812.6</w:t>
            </w: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181"/>
        </w:trPr>
        <w:tc>
          <w:tcPr>
            <w:tcW w:w="81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414.1</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8120" w:type="dxa"/>
            <w:vAlign w:val="bottom"/>
          </w:tcPr>
          <w:p>
            <w:pPr>
              <w:ind w:left="60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3,110.6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3,254.6</w:t>
            </w:r>
          </w:p>
        </w:tc>
        <w:tc>
          <w:tcPr>
            <w:tcW w:w="0" w:type="dxa"/>
            <w:vAlign w:val="bottom"/>
          </w:tcPr>
          <w:p>
            <w:pPr>
              <w:spacing w:after="0"/>
              <w:rPr>
                <w:sz w:val="1"/>
                <w:szCs w:val="1"/>
                <w:color w:val="auto"/>
              </w:rPr>
            </w:pPr>
          </w:p>
        </w:tc>
      </w:tr>
      <w:tr>
        <w:trPr>
          <w:trHeight w:val="351"/>
        </w:trPr>
        <w:tc>
          <w:tcPr>
            <w:tcW w:w="812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350"/>
        </w:trPr>
        <w:tc>
          <w:tcPr>
            <w:tcW w:w="8120" w:type="dxa"/>
            <w:vAlign w:val="bottom"/>
          </w:tcPr>
          <w:p>
            <w:pPr>
              <w:ind w:left="80"/>
              <w:spacing w:after="0"/>
              <w:rPr>
                <w:sz w:val="20"/>
                <w:szCs w:val="20"/>
                <w:color w:val="auto"/>
              </w:rPr>
            </w:pPr>
            <w:r>
              <w:rPr>
                <w:rFonts w:ascii="Arial" w:cs="Arial" w:eastAsia="Arial" w:hAnsi="Arial"/>
                <w:sz w:val="14"/>
                <w:szCs w:val="14"/>
                <w:color w:val="auto"/>
              </w:rPr>
              <w:t>Goodwill, identifiable intangible and other non-current assets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1,079.9</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120" w:type="dxa"/>
            <w:vAlign w:val="bottom"/>
          </w:tcPr>
          <w:p>
            <w:pPr>
              <w:ind w:left="128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4,419.7</w:t>
            </w:r>
          </w:p>
        </w:tc>
        <w:tc>
          <w:tcPr>
            <w:tcW w:w="160" w:type="dxa"/>
            <w:vAlign w:val="bottom"/>
          </w:tcPr>
          <w:p>
            <w:pPr>
              <w:spacing w:after="0"/>
              <w:rPr>
                <w:sz w:val="24"/>
                <w:szCs w:val="24"/>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4,549.4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80"/>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28.8</w:t>
            </w:r>
          </w:p>
        </w:tc>
        <w:tc>
          <w:tcPr>
            <w:tcW w:w="160" w:type="dxa"/>
            <w:vAlign w:val="bottom"/>
          </w:tcPr>
          <w:p>
            <w:pPr>
              <w:spacing w:after="0"/>
              <w:rPr>
                <w:sz w:val="15"/>
                <w:szCs w:val="15"/>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1,158.2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1,349.6</w:t>
            </w:r>
          </w:p>
        </w:tc>
        <w:tc>
          <w:tcPr>
            <w:tcW w:w="0" w:type="dxa"/>
            <w:vAlign w:val="bottom"/>
          </w:tcPr>
          <w:p>
            <w:pPr>
              <w:spacing w:after="0"/>
              <w:rPr>
                <w:sz w:val="1"/>
                <w:szCs w:val="1"/>
                <w:color w:val="auto"/>
              </w:rPr>
            </w:pPr>
          </w:p>
        </w:tc>
      </w:tr>
      <w:tr>
        <w:trPr>
          <w:trHeight w:val="181"/>
        </w:trPr>
        <w:tc>
          <w:tcPr>
            <w:tcW w:w="812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8120" w:type="dxa"/>
            <w:vAlign w:val="bottom"/>
          </w:tcPr>
          <w:p>
            <w:pPr>
              <w:ind w:left="60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1,555.0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1,762.8</w:t>
            </w:r>
          </w:p>
        </w:tc>
        <w:tc>
          <w:tcPr>
            <w:tcW w:w="0" w:type="dxa"/>
            <w:vAlign w:val="bottom"/>
          </w:tcPr>
          <w:p>
            <w:pPr>
              <w:spacing w:after="0"/>
              <w:rPr>
                <w:sz w:val="1"/>
                <w:szCs w:val="1"/>
                <w:color w:val="auto"/>
              </w:rPr>
            </w:pPr>
          </w:p>
        </w:tc>
      </w:tr>
      <w:tr>
        <w:trPr>
          <w:trHeight w:val="344"/>
        </w:trPr>
        <w:tc>
          <w:tcPr>
            <w:tcW w:w="8120" w:type="dxa"/>
            <w:vAlign w:val="bottom"/>
          </w:tcPr>
          <w:p>
            <w:pPr>
              <w:ind w:left="8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776.5</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181"/>
        </w:trPr>
        <w:tc>
          <w:tcPr>
            <w:tcW w:w="812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69"/>
        </w:trPr>
        <w:tc>
          <w:tcPr>
            <w:tcW w:w="8120" w:type="dxa"/>
            <w:vAlign w:val="bottom"/>
          </w:tcPr>
          <w:p>
            <w:pPr>
              <w:ind w:left="128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2,446.5</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8120" w:type="dxa"/>
            <w:vAlign w:val="bottom"/>
          </w:tcPr>
          <w:p>
            <w:pPr>
              <w:ind w:left="8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260"/>
              <w:spacing w:after="0"/>
              <w:rPr>
                <w:sz w:val="20"/>
                <w:szCs w:val="20"/>
                <w:color w:val="auto"/>
              </w:rPr>
            </w:pPr>
            <w:r>
              <w:rPr>
                <w:rFonts w:ascii="Arial" w:cs="Arial" w:eastAsia="Arial" w:hAnsi="Arial"/>
                <w:sz w:val="14"/>
                <w:szCs w:val="14"/>
                <w:color w:val="auto"/>
              </w:rPr>
              <w:t>World Fuel shareholders' equity</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1,962.0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1,911.4</w:t>
            </w:r>
          </w:p>
        </w:tc>
        <w:tc>
          <w:tcPr>
            <w:tcW w:w="0" w:type="dxa"/>
            <w:vAlign w:val="bottom"/>
          </w:tcPr>
          <w:p>
            <w:pPr>
              <w:spacing w:after="0"/>
              <w:rPr>
                <w:sz w:val="1"/>
                <w:szCs w:val="1"/>
                <w:color w:val="auto"/>
              </w:rPr>
            </w:pPr>
          </w:p>
        </w:tc>
      </w:tr>
      <w:tr>
        <w:trPr>
          <w:trHeight w:val="181"/>
        </w:trPr>
        <w:tc>
          <w:tcPr>
            <w:tcW w:w="8120" w:type="dxa"/>
            <w:vAlign w:val="bottom"/>
          </w:tcPr>
          <w:p>
            <w:pPr>
              <w:ind w:left="260"/>
              <w:spacing w:after="0"/>
              <w:rPr>
                <w:sz w:val="20"/>
                <w:szCs w:val="20"/>
                <w:color w:val="auto"/>
              </w:rPr>
            </w:pPr>
            <w:r>
              <w:rPr>
                <w:rFonts w:ascii="Arial" w:cs="Arial" w:eastAsia="Arial" w:hAnsi="Arial"/>
                <w:sz w:val="14"/>
                <w:szCs w:val="14"/>
                <w:color w:val="auto"/>
              </w:rPr>
              <w:t>Noncontrolling interest equity</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9"/>
        </w:trPr>
        <w:tc>
          <w:tcPr>
            <w:tcW w:w="8120" w:type="dxa"/>
            <w:vAlign w:val="bottom"/>
          </w:tcPr>
          <w:p>
            <w:pPr>
              <w:ind w:left="1280"/>
              <w:spacing w:after="0"/>
              <w:rPr>
                <w:sz w:val="20"/>
                <w:szCs w:val="20"/>
                <w:color w:val="auto"/>
              </w:rPr>
            </w:pPr>
            <w:r>
              <w:rPr>
                <w:rFonts w:ascii="Arial" w:cs="Arial" w:eastAsia="Arial" w:hAnsi="Arial"/>
                <w:sz w:val="14"/>
                <w:szCs w:val="14"/>
                <w:color w:val="auto"/>
              </w:rPr>
              <w:t>Total equity</w:t>
            </w: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1,973.2</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120" w:type="dxa"/>
            <w:vAlign w:val="bottom"/>
          </w:tcPr>
          <w:p>
            <w:pPr>
              <w:ind w:left="1280"/>
              <w:spacing w:after="0"/>
              <w:rPr>
                <w:sz w:val="20"/>
                <w:szCs w:val="20"/>
                <w:color w:val="auto"/>
              </w:rPr>
            </w:pPr>
            <w:r>
              <w:rPr>
                <w:rFonts w:ascii="Arial" w:cs="Arial" w:eastAsia="Arial" w:hAnsi="Arial"/>
                <w:sz w:val="14"/>
                <w:szCs w:val="14"/>
                <w:color w:val="auto"/>
              </w:rPr>
              <w:t>Total liabilities and equity</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4,419.7</w:t>
            </w:r>
          </w:p>
        </w:tc>
        <w:tc>
          <w:tcPr>
            <w:tcW w:w="160" w:type="dxa"/>
            <w:vAlign w:val="bottom"/>
          </w:tcPr>
          <w:p>
            <w:pPr>
              <w:spacing w:after="0"/>
              <w:rPr>
                <w:sz w:val="24"/>
                <w:szCs w:val="24"/>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4,549.4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color w:val="auto"/>
                <w:w w:val="95"/>
              </w:rPr>
              <w:t>For the Three Months ended</w:t>
            </w:r>
          </w:p>
        </w:tc>
        <w:tc>
          <w:tcPr>
            <w:tcW w:w="1280" w:type="dxa"/>
            <w:vAlign w:val="bottom"/>
          </w:tcPr>
          <w:p>
            <w:pPr>
              <w:spacing w:after="0"/>
              <w:rPr>
                <w:sz w:val="15"/>
                <w:szCs w:val="15"/>
                <w:color w:val="auto"/>
              </w:rPr>
            </w:pPr>
          </w:p>
        </w:tc>
      </w:tr>
      <w:tr>
        <w:trPr>
          <w:trHeight w:val="181"/>
        </w:trPr>
        <w:tc>
          <w:tcPr>
            <w:tcW w:w="70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color w:val="auto"/>
                <w:w w:val="93"/>
              </w:rPr>
              <w:t>March 31,</w:t>
            </w:r>
          </w:p>
        </w:tc>
        <w:tc>
          <w:tcPr>
            <w:tcW w:w="1280" w:type="dxa"/>
            <w:vAlign w:val="bottom"/>
            <w:tcBorders>
              <w:bottom w:val="single" w:sz="8" w:color="auto"/>
            </w:tcBorders>
          </w:tcPr>
          <w:p>
            <w:pPr>
              <w:spacing w:after="0"/>
              <w:rPr>
                <w:sz w:val="15"/>
                <w:szCs w:val="15"/>
                <w:color w:val="auto"/>
              </w:rPr>
            </w:pPr>
          </w:p>
        </w:tc>
      </w:tr>
      <w:tr>
        <w:trPr>
          <w:trHeight w:val="169"/>
        </w:trPr>
        <w:tc>
          <w:tcPr>
            <w:tcW w:w="7060" w:type="dxa"/>
            <w:vAlign w:val="bottom"/>
          </w:tcPr>
          <w:p>
            <w:pPr>
              <w:spacing w:after="0"/>
              <w:rPr>
                <w:sz w:val="14"/>
                <w:szCs w:val="14"/>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2015</w:t>
            </w:r>
          </w:p>
        </w:tc>
      </w:tr>
      <w:tr>
        <w:trPr>
          <w:trHeight w:val="515"/>
        </w:trPr>
        <w:tc>
          <w:tcPr>
            <w:tcW w:w="7060" w:type="dxa"/>
            <w:vAlign w:val="bottom"/>
          </w:tcPr>
          <w:p>
            <w:pPr>
              <w:spacing w:after="0"/>
              <w:rPr>
                <w:sz w:val="20"/>
                <w:szCs w:val="20"/>
                <w:color w:val="auto"/>
              </w:rPr>
            </w:pPr>
            <w:r>
              <w:rPr>
                <w:rFonts w:ascii="Arial" w:cs="Arial" w:eastAsia="Arial" w:hAnsi="Arial"/>
                <w:sz w:val="14"/>
                <w:szCs w:val="14"/>
                <w:color w:val="auto"/>
              </w:rPr>
              <w:t>Revenue</w:t>
            </w:r>
          </w:p>
        </w:tc>
        <w:tc>
          <w:tcPr>
            <w:tcW w:w="1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5,192.6</w:t>
            </w:r>
          </w:p>
        </w:tc>
        <w:tc>
          <w:tcPr>
            <w:tcW w:w="118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7,340.7</w:t>
            </w:r>
          </w:p>
        </w:tc>
      </w:tr>
      <w:tr>
        <w:trPr>
          <w:trHeight w:val="181"/>
        </w:trPr>
        <w:tc>
          <w:tcPr>
            <w:tcW w:w="7060" w:type="dxa"/>
            <w:vAlign w:val="bottom"/>
          </w:tcPr>
          <w:p>
            <w:pPr>
              <w:spacing w:after="0"/>
              <w:rPr>
                <w:sz w:val="20"/>
                <w:szCs w:val="20"/>
                <w:color w:val="auto"/>
              </w:rPr>
            </w:pPr>
            <w:r>
              <w:rPr>
                <w:rFonts w:ascii="Arial" w:cs="Arial" w:eastAsia="Arial" w:hAnsi="Arial"/>
                <w:sz w:val="14"/>
                <w:szCs w:val="14"/>
                <w:color w:val="auto"/>
              </w:rPr>
              <w:t>Cost of revenue</w:t>
            </w: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4,968.8</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7,125.3</w:t>
            </w:r>
          </w:p>
        </w:tc>
      </w:tr>
      <w:tr>
        <w:trPr>
          <w:trHeight w:val="345"/>
        </w:trPr>
        <w:tc>
          <w:tcPr>
            <w:tcW w:w="7060" w:type="dxa"/>
            <w:vAlign w:val="bottom"/>
          </w:tcPr>
          <w:p>
            <w:pPr>
              <w:ind w:left="400"/>
              <w:spacing w:after="0"/>
              <w:rPr>
                <w:sz w:val="20"/>
                <w:szCs w:val="20"/>
                <w:color w:val="auto"/>
              </w:rPr>
            </w:pPr>
            <w:r>
              <w:rPr>
                <w:rFonts w:ascii="Arial" w:cs="Arial" w:eastAsia="Arial" w:hAnsi="Arial"/>
                <w:sz w:val="14"/>
                <w:szCs w:val="14"/>
                <w:color w:val="auto"/>
              </w:rPr>
              <w:t>Gross profit</w:t>
            </w: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215.4</w:t>
            </w:r>
          </w:p>
        </w:tc>
      </w:tr>
      <w:tr>
        <w:trPr>
          <w:trHeight w:val="339"/>
        </w:trPr>
        <w:tc>
          <w:tcPr>
            <w:tcW w:w="7060" w:type="dxa"/>
            <w:vAlign w:val="bottom"/>
          </w:tcPr>
          <w:p>
            <w:pPr>
              <w:spacing w:after="0"/>
              <w:rPr>
                <w:sz w:val="20"/>
                <w:szCs w:val="20"/>
                <w:color w:val="auto"/>
              </w:rPr>
            </w:pPr>
            <w:r>
              <w:rPr>
                <w:rFonts w:ascii="Arial" w:cs="Arial" w:eastAsia="Arial" w:hAnsi="Arial"/>
                <w:sz w:val="14"/>
                <w:szCs w:val="14"/>
                <w:color w:val="auto"/>
              </w:rPr>
              <w:t>Operating expenses: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7060" w:type="dxa"/>
            <w:vAlign w:val="bottom"/>
          </w:tcPr>
          <w:p>
            <w:pPr>
              <w:ind w:left="200"/>
              <w:spacing w:after="0"/>
              <w:rPr>
                <w:sz w:val="20"/>
                <w:szCs w:val="20"/>
                <w:color w:val="auto"/>
              </w:rPr>
            </w:pPr>
            <w:r>
              <w:rPr>
                <w:rFonts w:ascii="Arial" w:cs="Arial" w:eastAsia="Arial" w:hAnsi="Arial"/>
                <w:sz w:val="14"/>
                <w:szCs w:val="14"/>
                <w:color w:val="auto"/>
              </w:rPr>
              <w:t>Compensation and employee benefits</w:t>
            </w: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88.6</w:t>
            </w:r>
          </w:p>
        </w:tc>
      </w:tr>
      <w:tr>
        <w:trPr>
          <w:trHeight w:val="176"/>
        </w:trPr>
        <w:tc>
          <w:tcPr>
            <w:tcW w:w="7060" w:type="dxa"/>
            <w:vAlign w:val="bottom"/>
          </w:tcPr>
          <w:p>
            <w:pPr>
              <w:ind w:left="200"/>
              <w:spacing w:after="0"/>
              <w:rPr>
                <w:sz w:val="20"/>
                <w:szCs w:val="20"/>
                <w:color w:val="auto"/>
              </w:rPr>
            </w:pPr>
            <w:r>
              <w:rPr>
                <w:rFonts w:ascii="Arial" w:cs="Arial" w:eastAsia="Arial" w:hAnsi="Arial"/>
                <w:sz w:val="14"/>
                <w:szCs w:val="14"/>
                <w:color w:val="auto"/>
              </w:rPr>
              <w:t>Provision for bad debt</w:t>
            </w: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1.3</w:t>
            </w:r>
          </w:p>
        </w:tc>
      </w:tr>
      <w:tr>
        <w:trPr>
          <w:trHeight w:val="181"/>
        </w:trPr>
        <w:tc>
          <w:tcPr>
            <w:tcW w:w="70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54.0</w:t>
            </w:r>
          </w:p>
        </w:tc>
      </w:tr>
      <w:tr>
        <w:trPr>
          <w:trHeight w:val="345"/>
        </w:trPr>
        <w:tc>
          <w:tcPr>
            <w:tcW w:w="7060" w:type="dxa"/>
            <w:vAlign w:val="bottom"/>
          </w:tcPr>
          <w:p>
            <w:pPr>
              <w:ind w:left="400"/>
              <w:spacing w:after="0"/>
              <w:rPr>
                <w:sz w:val="20"/>
                <w:szCs w:val="20"/>
                <w:color w:val="auto"/>
              </w:rPr>
            </w:pPr>
            <w:r>
              <w:rPr>
                <w:rFonts w:ascii="Arial" w:cs="Arial" w:eastAsia="Arial" w:hAnsi="Arial"/>
                <w:sz w:val="14"/>
                <w:szCs w:val="14"/>
                <w:color w:val="auto"/>
              </w:rPr>
              <w:t>Total operating expenses</w:t>
            </w: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143.9</w:t>
            </w:r>
          </w:p>
        </w:tc>
      </w:tr>
      <w:tr>
        <w:trPr>
          <w:trHeight w:val="339"/>
        </w:trPr>
        <w:tc>
          <w:tcPr>
            <w:tcW w:w="7060" w:type="dxa"/>
            <w:vAlign w:val="bottom"/>
          </w:tcPr>
          <w:p>
            <w:pPr>
              <w:ind w:left="400"/>
              <w:spacing w:after="0"/>
              <w:rPr>
                <w:sz w:val="20"/>
                <w:szCs w:val="20"/>
                <w:color w:val="auto"/>
              </w:rPr>
            </w:pPr>
            <w:r>
              <w:rPr>
                <w:rFonts w:ascii="Arial" w:cs="Arial" w:eastAsia="Arial" w:hAnsi="Arial"/>
                <w:sz w:val="14"/>
                <w:szCs w:val="14"/>
                <w:color w:val="auto"/>
              </w:rPr>
              <w:t>Income from operations</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71.5</w:t>
            </w:r>
          </w:p>
        </w:tc>
      </w:tr>
      <w:tr>
        <w:trPr>
          <w:trHeight w:val="181"/>
        </w:trPr>
        <w:tc>
          <w:tcPr>
            <w:tcW w:w="706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w:t>
            </w:r>
          </w:p>
        </w:tc>
      </w:tr>
      <w:tr>
        <w:trPr>
          <w:trHeight w:val="339"/>
        </w:trPr>
        <w:tc>
          <w:tcPr>
            <w:tcW w:w="70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64.5</w:t>
            </w:r>
          </w:p>
        </w:tc>
      </w:tr>
      <w:tr>
        <w:trPr>
          <w:trHeight w:val="181"/>
        </w:trPr>
        <w:tc>
          <w:tcPr>
            <w:tcW w:w="70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9.9</w:t>
            </w:r>
          </w:p>
        </w:tc>
      </w:tr>
      <w:tr>
        <w:trPr>
          <w:trHeight w:val="339"/>
        </w:trPr>
        <w:tc>
          <w:tcPr>
            <w:tcW w:w="706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54.6</w:t>
            </w:r>
          </w:p>
        </w:tc>
      </w:tr>
      <w:tr>
        <w:trPr>
          <w:trHeight w:val="181"/>
        </w:trPr>
        <w:tc>
          <w:tcPr>
            <w:tcW w:w="7060" w:type="dxa"/>
            <w:vAlign w:val="bottom"/>
          </w:tcPr>
          <w:p>
            <w:pPr>
              <w:spacing w:after="0"/>
              <w:rPr>
                <w:sz w:val="20"/>
                <w:szCs w:val="20"/>
                <w:color w:val="auto"/>
              </w:rPr>
            </w:pPr>
            <w:r>
              <w:rPr>
                <w:rFonts w:ascii="Arial" w:cs="Arial" w:eastAsia="Arial" w:hAnsi="Arial"/>
                <w:sz w:val="14"/>
                <w:szCs w:val="14"/>
                <w:color w:val="auto"/>
              </w:rPr>
              <w:t>Net loss attributable to noncontrolling interest</w:t>
            </w:r>
          </w:p>
        </w:tc>
        <w:tc>
          <w:tcPr>
            <w:tcW w:w="1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w:t>
            </w:r>
          </w:p>
        </w:tc>
      </w:tr>
      <w:tr>
        <w:trPr>
          <w:trHeight w:val="345"/>
        </w:trPr>
        <w:tc>
          <w:tcPr>
            <w:tcW w:w="706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12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55.6</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32"/>
        </w:trPr>
        <w:tc>
          <w:tcPr>
            <w:tcW w:w="706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1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0.75</w:t>
            </w:r>
          </w:p>
        </w:tc>
        <w:tc>
          <w:tcPr>
            <w:tcW w:w="118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0.79</w:t>
            </w:r>
          </w:p>
        </w:tc>
      </w:tr>
      <w:tr>
        <w:trPr>
          <w:trHeight w:val="20"/>
        </w:trPr>
        <w:tc>
          <w:tcPr>
            <w:tcW w:w="7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06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70.7</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32"/>
        </w:trPr>
        <w:tc>
          <w:tcPr>
            <w:tcW w:w="706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1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0.75</w:t>
            </w:r>
          </w:p>
        </w:tc>
        <w:tc>
          <w:tcPr>
            <w:tcW w:w="118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0.78</w:t>
            </w:r>
          </w:p>
        </w:tc>
      </w:tr>
      <w:tr>
        <w:trPr>
          <w:trHeight w:val="20"/>
        </w:trPr>
        <w:tc>
          <w:tcPr>
            <w:tcW w:w="7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706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71.4</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Adjusted diluted earnings per common share was $0.77 and $0.83 for the three months ended March 31, 2016 and 2015, respectively. Please see the reconciliation of GAAP to Non-GAAP Financial Measures for a reconciliation of GAAP diluted earnings per common share to Adjusted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228"/>
              <w:spacing w:after="0"/>
              <w:rPr>
                <w:sz w:val="20"/>
                <w:szCs w:val="20"/>
                <w:color w:val="auto"/>
              </w:rPr>
            </w:pPr>
            <w:r>
              <w:rPr>
                <w:rFonts w:ascii="Arial" w:cs="Arial" w:eastAsia="Arial" w:hAnsi="Arial"/>
                <w:sz w:val="14"/>
                <w:szCs w:val="14"/>
                <w:color w:val="auto"/>
                <w:w w:val="94"/>
              </w:rPr>
              <w:t>For the Three Months ended</w:t>
            </w:r>
          </w:p>
        </w:tc>
      </w:tr>
      <w:tr>
        <w:trPr>
          <w:trHeight w:val="181"/>
        </w:trPr>
        <w:tc>
          <w:tcPr>
            <w:tcW w:w="9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60" w:type="dxa"/>
            <w:vAlign w:val="bottom"/>
            <w:tcBorders>
              <w:bottom w:val="single" w:sz="8" w:color="auto"/>
            </w:tcBorders>
          </w:tcPr>
          <w:p>
            <w:pPr>
              <w:spacing w:after="0"/>
              <w:rPr>
                <w:sz w:val="15"/>
                <w:szCs w:val="15"/>
                <w:color w:val="auto"/>
              </w:rPr>
            </w:pPr>
          </w:p>
        </w:tc>
      </w:tr>
      <w:tr>
        <w:trPr>
          <w:trHeight w:val="169"/>
        </w:trPr>
        <w:tc>
          <w:tcPr>
            <w:tcW w:w="9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r>
        <w:trPr>
          <w:trHeight w:val="339"/>
        </w:trPr>
        <w:tc>
          <w:tcPr>
            <w:tcW w:w="920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1"/>
        </w:trPr>
        <w:tc>
          <w:tcPr>
            <w:tcW w:w="9200" w:type="dxa"/>
            <w:vAlign w:val="bottom"/>
          </w:tcPr>
          <w:p>
            <w:pPr>
              <w:ind w:left="220"/>
              <w:spacing w:after="0"/>
              <w:rPr>
                <w:sz w:val="20"/>
                <w:szCs w:val="20"/>
                <w:color w:val="auto"/>
              </w:rPr>
            </w:pPr>
            <w:r>
              <w:rPr>
                <w:rFonts w:ascii="Arial" w:cs="Arial" w:eastAsia="Arial" w:hAnsi="Arial"/>
                <w:sz w:val="14"/>
                <w:szCs w:val="14"/>
                <w:color w:val="auto"/>
              </w:rPr>
              <w:t>Net income including noncontrolling interest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52.3</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54.6</w:t>
            </w:r>
          </w:p>
        </w:tc>
      </w:tr>
      <w:tr>
        <w:trPr>
          <w:trHeight w:val="164"/>
        </w:trPr>
        <w:tc>
          <w:tcPr>
            <w:tcW w:w="9200" w:type="dxa"/>
            <w:vAlign w:val="bottom"/>
          </w:tcPr>
          <w:p>
            <w:pPr>
              <w:ind w:left="22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6"/>
        </w:trPr>
        <w:tc>
          <w:tcPr>
            <w:tcW w:w="92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13.4</w:t>
            </w:r>
          </w:p>
        </w:tc>
      </w:tr>
      <w:tr>
        <w:trPr>
          <w:trHeight w:val="176"/>
        </w:trPr>
        <w:tc>
          <w:tcPr>
            <w:tcW w:w="9200" w:type="dxa"/>
            <w:vAlign w:val="bottom"/>
          </w:tcPr>
          <w:p>
            <w:pPr>
              <w:ind w:left="420"/>
              <w:spacing w:after="0"/>
              <w:rPr>
                <w:sz w:val="20"/>
                <w:szCs w:val="20"/>
                <w:color w:val="auto"/>
              </w:rPr>
            </w:pPr>
            <w:r>
              <w:rPr>
                <w:rFonts w:ascii="Arial" w:cs="Arial" w:eastAsia="Arial" w:hAnsi="Arial"/>
                <w:sz w:val="14"/>
                <w:szCs w:val="14"/>
                <w:color w:val="auto"/>
              </w:rPr>
              <w:t>Provision for bad debt</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w:t>
            </w:r>
          </w:p>
        </w:tc>
      </w:tr>
      <w:tr>
        <w:trPr>
          <w:trHeight w:val="176"/>
        </w:trPr>
        <w:tc>
          <w:tcPr>
            <w:tcW w:w="9200" w:type="dxa"/>
            <w:vAlign w:val="bottom"/>
          </w:tcPr>
          <w:p>
            <w:pPr>
              <w:ind w:left="420"/>
              <w:spacing w:after="0"/>
              <w:rPr>
                <w:sz w:val="20"/>
                <w:szCs w:val="20"/>
                <w:color w:val="auto"/>
              </w:rPr>
            </w:pPr>
            <w:r>
              <w:rPr>
                <w:rFonts w:ascii="Arial" w:cs="Arial" w:eastAsia="Arial" w:hAnsi="Arial"/>
                <w:sz w:val="14"/>
                <w:szCs w:val="14"/>
                <w:color w:val="auto"/>
              </w:rPr>
              <w:t>Share-based payment award compensation costs</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4.2</w:t>
            </w:r>
          </w:p>
        </w:tc>
      </w:tr>
      <w:tr>
        <w:trPr>
          <w:trHeight w:val="176"/>
        </w:trPr>
        <w:tc>
          <w:tcPr>
            <w:tcW w:w="9200" w:type="dxa"/>
            <w:vAlign w:val="bottom"/>
          </w:tcPr>
          <w:p>
            <w:pPr>
              <w:ind w:left="4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(8.5)</w:t>
            </w:r>
          </w:p>
        </w:tc>
      </w:tr>
      <w:tr>
        <w:trPr>
          <w:trHeight w:val="176"/>
        </w:trPr>
        <w:tc>
          <w:tcPr>
            <w:tcW w:w="9200" w:type="dxa"/>
            <w:vAlign w:val="bottom"/>
          </w:tcPr>
          <w:p>
            <w:pPr>
              <w:ind w:left="420"/>
              <w:spacing w:after="0"/>
              <w:rPr>
                <w:sz w:val="20"/>
                <w:szCs w:val="20"/>
                <w:color w:val="auto"/>
              </w:rPr>
            </w:pPr>
            <w:r>
              <w:rPr>
                <w:rFonts w:ascii="Arial" w:cs="Arial" w:eastAsia="Arial" w:hAnsi="Arial"/>
                <w:sz w:val="14"/>
                <w:szCs w:val="14"/>
                <w:color w:val="auto"/>
              </w:rPr>
              <w:t>Change in cash collateral with financial counterparties</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43.6</w:t>
            </w:r>
          </w:p>
        </w:tc>
      </w:tr>
      <w:tr>
        <w:trPr>
          <w:trHeight w:val="181"/>
        </w:trPr>
        <w:tc>
          <w:tcPr>
            <w:tcW w:w="9200" w:type="dxa"/>
            <w:vAlign w:val="bottom"/>
          </w:tcPr>
          <w:p>
            <w:pPr>
              <w:ind w:left="420"/>
              <w:spacing w:after="0"/>
              <w:rPr>
                <w:sz w:val="20"/>
                <w:szCs w:val="20"/>
                <w:color w:val="auto"/>
              </w:rPr>
            </w:pPr>
            <w:r>
              <w:rPr>
                <w:rFonts w:ascii="Arial" w:cs="Arial" w:eastAsia="Arial" w:hAnsi="Arial"/>
                <w:sz w:val="14"/>
                <w:szCs w:val="14"/>
                <w:color w:val="auto"/>
              </w:rPr>
              <w:t>Changes in assets and liabilities, net of acquisitions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r>
      <w:tr>
        <w:trPr>
          <w:trHeight w:val="169"/>
        </w:trPr>
        <w:tc>
          <w:tcPr>
            <w:tcW w:w="9200" w:type="dxa"/>
            <w:vAlign w:val="bottom"/>
          </w:tcPr>
          <w:p>
            <w:pPr>
              <w:ind w:left="620"/>
              <w:spacing w:after="0"/>
              <w:rPr>
                <w:sz w:val="20"/>
                <w:szCs w:val="20"/>
                <w:color w:val="auto"/>
              </w:rPr>
            </w:pPr>
            <w:r>
              <w:rPr>
                <w:rFonts w:ascii="Arial" w:cs="Arial" w:eastAsia="Arial" w:hAnsi="Arial"/>
                <w:sz w:val="14"/>
                <w:szCs w:val="14"/>
                <w:color w:val="auto"/>
              </w:rPr>
              <w:t>Total adjustments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52.3</w:t>
            </w:r>
          </w:p>
        </w:tc>
      </w:tr>
      <w:tr>
        <w:trPr>
          <w:trHeight w:val="169"/>
        </w:trPr>
        <w:tc>
          <w:tcPr>
            <w:tcW w:w="920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106.9</w:t>
            </w:r>
          </w:p>
        </w:tc>
      </w:tr>
      <w:tr>
        <w:trPr>
          <w:trHeight w:val="339"/>
        </w:trPr>
        <w:tc>
          <w:tcPr>
            <w:tcW w:w="92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6"/>
        </w:trPr>
        <w:tc>
          <w:tcPr>
            <w:tcW w:w="9200" w:type="dxa"/>
            <w:vAlign w:val="bottom"/>
          </w:tcPr>
          <w:p>
            <w:pPr>
              <w:ind w:left="22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2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w:t>
            </w:r>
          </w:p>
        </w:tc>
      </w:tr>
      <w:tr>
        <w:trPr>
          <w:trHeight w:val="176"/>
        </w:trPr>
        <w:tc>
          <w:tcPr>
            <w:tcW w:w="920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(13.1)</w:t>
            </w:r>
          </w:p>
        </w:tc>
      </w:tr>
      <w:tr>
        <w:trPr>
          <w:trHeight w:val="181"/>
        </w:trPr>
        <w:tc>
          <w:tcPr>
            <w:tcW w:w="9200" w:type="dxa"/>
            <w:vAlign w:val="bottom"/>
          </w:tcPr>
          <w:p>
            <w:pPr>
              <w:ind w:left="220"/>
              <w:spacing w:after="0"/>
              <w:rPr>
                <w:sz w:val="20"/>
                <w:szCs w:val="20"/>
                <w:color w:val="auto"/>
              </w:rPr>
            </w:pPr>
            <w:r>
              <w:rPr>
                <w:rFonts w:ascii="Arial" w:cs="Arial" w:eastAsia="Arial" w:hAnsi="Arial"/>
                <w:sz w:val="14"/>
                <w:szCs w:val="14"/>
                <w:color w:val="auto"/>
              </w:rPr>
              <w:t>Other investing activities, net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r>
      <w:tr>
        <w:trPr>
          <w:trHeight w:val="169"/>
        </w:trPr>
        <w:tc>
          <w:tcPr>
            <w:tcW w:w="920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r>
      <w:tr>
        <w:trPr>
          <w:trHeight w:val="339"/>
        </w:trPr>
        <w:tc>
          <w:tcPr>
            <w:tcW w:w="92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6"/>
        </w:trPr>
        <w:tc>
          <w:tcPr>
            <w:tcW w:w="9200" w:type="dxa"/>
            <w:vAlign w:val="bottom"/>
          </w:tcPr>
          <w:p>
            <w:pPr>
              <w:ind w:left="220"/>
              <w:spacing w:after="0"/>
              <w:rPr>
                <w:sz w:val="20"/>
                <w:szCs w:val="20"/>
                <w:color w:val="auto"/>
              </w:rPr>
            </w:pPr>
            <w:r>
              <w:rPr>
                <w:rFonts w:ascii="Arial" w:cs="Arial" w:eastAsia="Arial" w:hAnsi="Arial"/>
                <w:sz w:val="14"/>
                <w:szCs w:val="14"/>
                <w:color w:val="auto"/>
              </w:rPr>
              <w:t>Borrowings of debt, net</w:t>
            </w:r>
          </w:p>
        </w:tc>
        <w:tc>
          <w:tcPr>
            <w:tcW w:w="2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6.7</w:t>
            </w:r>
          </w:p>
        </w:tc>
      </w:tr>
      <w:tr>
        <w:trPr>
          <w:trHeight w:val="176"/>
        </w:trPr>
        <w:tc>
          <w:tcPr>
            <w:tcW w:w="920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2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181"/>
        </w:trPr>
        <w:tc>
          <w:tcPr>
            <w:tcW w:w="9200" w:type="dxa"/>
            <w:vAlign w:val="bottom"/>
          </w:tcPr>
          <w:p>
            <w:pPr>
              <w:ind w:left="220"/>
              <w:spacing w:after="0"/>
              <w:rPr>
                <w:sz w:val="20"/>
                <w:szCs w:val="20"/>
                <w:color w:val="auto"/>
              </w:rPr>
            </w:pPr>
            <w:r>
              <w:rPr>
                <w:rFonts w:ascii="Arial" w:cs="Arial" w:eastAsia="Arial" w:hAnsi="Arial"/>
                <w:sz w:val="14"/>
                <w:szCs w:val="14"/>
                <w:color w:val="auto"/>
              </w:rPr>
              <w:t>Other financing activities, net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r>
      <w:tr>
        <w:trPr>
          <w:trHeight w:val="169"/>
        </w:trPr>
        <w:tc>
          <w:tcPr>
            <w:tcW w:w="9200" w:type="dxa"/>
            <w:vAlign w:val="bottom"/>
          </w:tcPr>
          <w:p>
            <w:pPr>
              <w:ind w:left="4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r>
      <w:tr>
        <w:trPr>
          <w:trHeight w:val="345"/>
        </w:trPr>
        <w:tc>
          <w:tcPr>
            <w:tcW w:w="92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r>
      <w:tr>
        <w:trPr>
          <w:trHeight w:val="346"/>
        </w:trPr>
        <w:tc>
          <w:tcPr>
            <w:tcW w:w="920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88.7</w:t>
            </w:r>
          </w:p>
        </w:tc>
      </w:tr>
      <w:tr>
        <w:trPr>
          <w:trHeight w:val="350"/>
        </w:trPr>
        <w:tc>
          <w:tcPr>
            <w:tcW w:w="920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582.5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302.3</w:t>
            </w:r>
          </w:p>
        </w:tc>
      </w:tr>
      <w:tr>
        <w:trPr>
          <w:trHeight w:val="169"/>
        </w:trPr>
        <w:tc>
          <w:tcPr>
            <w:tcW w:w="920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689.7</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391.0</w:t>
            </w:r>
          </w:p>
        </w:tc>
      </w:tr>
      <w:tr>
        <w:trPr>
          <w:trHeight w:val="20"/>
        </w:trPr>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16"/>
        </w:trPr>
        <w:tc>
          <w:tcPr>
            <w:tcW w:w="9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r>
        <w:trPr>
          <w:trHeight w:val="21"/>
        </w:trPr>
        <w:tc>
          <w:tcPr>
            <w:tcW w:w="92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ind w:right="-171"/>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ind w:right="-171"/>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192"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2440" w:type="dxa"/>
            <w:vAlign w:val="bottom"/>
            <w:gridSpan w:val="4"/>
          </w:tcPr>
          <w:p>
            <w:pPr>
              <w:jc w:val="right"/>
              <w:ind w:right="168"/>
              <w:spacing w:after="0"/>
              <w:rPr>
                <w:sz w:val="20"/>
                <w:szCs w:val="20"/>
                <w:color w:val="auto"/>
              </w:rPr>
            </w:pPr>
            <w:r>
              <w:rPr>
                <w:rFonts w:ascii="Arial" w:cs="Arial" w:eastAsia="Arial" w:hAnsi="Arial"/>
                <w:sz w:val="14"/>
                <w:szCs w:val="14"/>
                <w:color w:val="auto"/>
              </w:rPr>
              <w:t>For the Three Months ended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March 31,</w:t>
            </w: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84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846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846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94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52.4</w:t>
            </w:r>
          </w:p>
        </w:tc>
        <w:tc>
          <w:tcPr>
            <w:tcW w:w="200" w:type="dxa"/>
            <w:vAlign w:val="bottom"/>
          </w:tcPr>
          <w:p>
            <w:pPr>
              <w:spacing w:after="0"/>
              <w:rPr>
                <w:sz w:val="24"/>
                <w:szCs w:val="24"/>
                <w:color w:val="auto"/>
              </w:rPr>
            </w:pPr>
          </w:p>
        </w:tc>
        <w:tc>
          <w:tcPr>
            <w:tcW w:w="10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55.6</w:t>
            </w:r>
          </w:p>
        </w:tc>
      </w:tr>
      <w:tr>
        <w:trPr>
          <w:trHeight w:val="219"/>
        </w:trPr>
        <w:tc>
          <w:tcPr>
            <w:tcW w:w="8460" w:type="dxa"/>
            <w:vAlign w:val="bottom"/>
          </w:tcPr>
          <w:p>
            <w:pPr>
              <w:ind w:left="200"/>
              <w:spacing w:after="0" w:line="219" w:lineRule="exact"/>
              <w:rPr>
                <w:sz w:val="20"/>
                <w:szCs w:val="20"/>
                <w:color w:val="auto"/>
              </w:rPr>
            </w:pPr>
            <w:r>
              <w:rPr>
                <w:rFonts w:ascii="Arial" w:cs="Arial" w:eastAsia="Arial" w:hAnsi="Arial"/>
                <w:sz w:val="14"/>
                <w:szCs w:val="14"/>
                <w:color w:val="auto"/>
              </w:rPr>
              <w:t xml:space="preserve">Expenses related to the acquisitions and other related charges, net of income taxes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6"/>
        </w:trPr>
        <w:tc>
          <w:tcPr>
            <w:tcW w:w="8460" w:type="dxa"/>
            <w:vAlign w:val="bottom"/>
          </w:tcPr>
          <w:p>
            <w:pPr>
              <w:ind w:left="200"/>
              <w:spacing w:after="0" w:line="216" w:lineRule="exact"/>
              <w:rPr>
                <w:sz w:val="20"/>
                <w:szCs w:val="20"/>
                <w:color w:val="auto"/>
              </w:rPr>
            </w:pPr>
            <w:r>
              <w:rPr>
                <w:rFonts w:ascii="Arial" w:cs="Arial" w:eastAsia="Arial" w:hAnsi="Arial"/>
                <w:sz w:val="14"/>
                <w:szCs w:val="14"/>
                <w:color w:val="auto"/>
              </w:rPr>
              <w:t xml:space="preserve">Deferred revenue purchase accounting adjustment, net of income taxes </w:t>
            </w:r>
            <w:r>
              <w:rPr>
                <w:rFonts w:ascii="Arial" w:cs="Arial" w:eastAsia="Arial" w:hAnsi="Arial"/>
                <w:sz w:val="23"/>
                <w:szCs w:val="23"/>
                <w:color w:val="auto"/>
                <w:vertAlign w:val="superscript"/>
              </w:rPr>
              <w:t>(2)</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r>
      <w:tr>
        <w:trPr>
          <w:trHeight w:val="211"/>
        </w:trPr>
        <w:tc>
          <w:tcPr>
            <w:tcW w:w="8460" w:type="dxa"/>
            <w:vAlign w:val="bottom"/>
          </w:tcPr>
          <w:p>
            <w:pPr>
              <w:ind w:left="200"/>
              <w:spacing w:after="0" w:line="211" w:lineRule="exact"/>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23"/>
                <w:szCs w:val="23"/>
                <w:color w:val="auto"/>
                <w:vertAlign w:val="superscript"/>
              </w:rPr>
              <w:t>(3)</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r>
      <w:tr>
        <w:trPr>
          <w:trHeight w:val="174"/>
        </w:trPr>
        <w:tc>
          <w:tcPr>
            <w:tcW w:w="8460" w:type="dxa"/>
            <w:vAlign w:val="bottom"/>
          </w:tcPr>
          <w:p>
            <w:pPr>
              <w:spacing w:after="0"/>
              <w:rPr>
                <w:sz w:val="20"/>
                <w:szCs w:val="20"/>
                <w:color w:val="auto"/>
              </w:rPr>
            </w:pPr>
            <w:r>
              <w:rPr>
                <w:rFonts w:ascii="Arial" w:cs="Arial" w:eastAsia="Arial" w:hAnsi="Arial"/>
                <w:sz w:val="14"/>
                <w:szCs w:val="14"/>
                <w:color w:val="auto"/>
              </w:rPr>
              <w:t>Adjusted net income attributable to World Fuel</w:t>
            </w:r>
          </w:p>
        </w:tc>
        <w:tc>
          <w:tcPr>
            <w:tcW w:w="94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200" w:type="dxa"/>
            <w:vAlign w:val="bottom"/>
          </w:tcPr>
          <w:p>
            <w:pPr>
              <w:spacing w:after="0"/>
              <w:rPr>
                <w:sz w:val="15"/>
                <w:szCs w:val="15"/>
                <w:color w:val="auto"/>
              </w:rPr>
            </w:pPr>
          </w:p>
        </w:tc>
        <w:tc>
          <w:tcPr>
            <w:tcW w:w="10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20" w:type="dxa"/>
            <w:vAlign w:val="bottom"/>
          </w:tcPr>
          <w:p>
            <w:pPr>
              <w:spacing w:after="0"/>
              <w:rPr>
                <w:sz w:val="15"/>
                <w:szCs w:val="15"/>
                <w:color w:val="auto"/>
              </w:rPr>
            </w:pPr>
          </w:p>
        </w:tc>
      </w:tr>
      <w:tr>
        <w:trPr>
          <w:trHeight w:val="216"/>
        </w:trPr>
        <w:tc>
          <w:tcPr>
            <w:tcW w:w="8460" w:type="dxa"/>
            <w:vAlign w:val="bottom"/>
          </w:tcPr>
          <w:p>
            <w:pPr>
              <w:ind w:left="200"/>
              <w:spacing w:after="0" w:line="216"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(4)</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r>
      <w:tr>
        <w:trPr>
          <w:trHeight w:val="211"/>
        </w:trPr>
        <w:tc>
          <w:tcPr>
            <w:tcW w:w="8460" w:type="dxa"/>
            <w:vAlign w:val="bottom"/>
          </w:tcPr>
          <w:p>
            <w:pPr>
              <w:ind w:left="200"/>
              <w:spacing w:after="0" w:line="211"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(5)</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r>
      <w:tr>
        <w:trPr>
          <w:trHeight w:val="169"/>
        </w:trPr>
        <w:tc>
          <w:tcPr>
            <w:tcW w:w="846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9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20" w:type="dxa"/>
            <w:vAlign w:val="bottom"/>
          </w:tcPr>
          <w:p>
            <w:pPr>
              <w:spacing w:after="0"/>
              <w:rPr>
                <w:sz w:val="14"/>
                <w:szCs w:val="14"/>
                <w:color w:val="auto"/>
              </w:rPr>
            </w:pPr>
          </w:p>
        </w:tc>
      </w:tr>
      <w:tr>
        <w:trPr>
          <w:trHeight w:val="20"/>
        </w:trPr>
        <w:tc>
          <w:tcPr>
            <w:tcW w:w="8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6"/>
        </w:trPr>
        <w:tc>
          <w:tcPr>
            <w:tcW w:w="846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94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0.75</w:t>
            </w:r>
          </w:p>
        </w:tc>
        <w:tc>
          <w:tcPr>
            <w:tcW w:w="200" w:type="dxa"/>
            <w:vAlign w:val="bottom"/>
          </w:tcPr>
          <w:p>
            <w:pPr>
              <w:spacing w:after="0"/>
              <w:rPr>
                <w:sz w:val="24"/>
                <w:szCs w:val="24"/>
                <w:color w:val="auto"/>
              </w:rPr>
            </w:pPr>
          </w:p>
        </w:tc>
        <w:tc>
          <w:tcPr>
            <w:tcW w:w="10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0.78</w:t>
            </w:r>
          </w:p>
        </w:tc>
      </w:tr>
      <w:tr>
        <w:trPr>
          <w:trHeight w:val="176"/>
        </w:trPr>
        <w:tc>
          <w:tcPr>
            <w:tcW w:w="8460" w:type="dxa"/>
            <w:vAlign w:val="bottom"/>
          </w:tcPr>
          <w:p>
            <w:pPr>
              <w:ind w:left="200"/>
              <w:spacing w:after="0"/>
              <w:rPr>
                <w:sz w:val="20"/>
                <w:szCs w:val="20"/>
                <w:color w:val="auto"/>
              </w:rPr>
            </w:pPr>
            <w:r>
              <w:rPr>
                <w:rFonts w:ascii="Arial" w:cs="Arial" w:eastAsia="Arial" w:hAnsi="Arial"/>
                <w:sz w:val="14"/>
                <w:szCs w:val="14"/>
                <w:color w:val="auto"/>
              </w:rPr>
              <w:t>Expenses related to the acquisitions and other related charges, net of income taxes</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0.02</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6"/>
        </w:trPr>
        <w:tc>
          <w:tcPr>
            <w:tcW w:w="8460" w:type="dxa"/>
            <w:vAlign w:val="bottom"/>
          </w:tcPr>
          <w:p>
            <w:pPr>
              <w:ind w:left="200"/>
              <w:spacing w:after="0"/>
              <w:rPr>
                <w:sz w:val="20"/>
                <w:szCs w:val="20"/>
                <w:color w:val="auto"/>
              </w:rPr>
            </w:pPr>
            <w:r>
              <w:rPr>
                <w:rFonts w:ascii="Arial" w:cs="Arial" w:eastAsia="Arial" w:hAnsi="Arial"/>
                <w:sz w:val="14"/>
                <w:szCs w:val="14"/>
                <w:color w:val="auto"/>
              </w:rPr>
              <w:t>Deferred revenue purchase accounting adjustment, net of income taxes</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r>
      <w:tr>
        <w:trPr>
          <w:trHeight w:val="181"/>
        </w:trPr>
        <w:tc>
          <w:tcPr>
            <w:tcW w:w="8460" w:type="dxa"/>
            <w:vAlign w:val="bottom"/>
          </w:tcPr>
          <w:p>
            <w:pPr>
              <w:ind w:left="200"/>
              <w:spacing w:after="0"/>
              <w:rPr>
                <w:sz w:val="20"/>
                <w:szCs w:val="20"/>
                <w:color w:val="auto"/>
              </w:rPr>
            </w:pPr>
            <w:r>
              <w:rPr>
                <w:rFonts w:ascii="Arial" w:cs="Arial" w:eastAsia="Arial" w:hAnsi="Arial"/>
                <w:sz w:val="14"/>
                <w:szCs w:val="14"/>
                <w:color w:val="auto"/>
              </w:rPr>
              <w:t>Termination of employment agreement, net of income taxes</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r>
      <w:tr>
        <w:trPr>
          <w:trHeight w:val="164"/>
        </w:trPr>
        <w:tc>
          <w:tcPr>
            <w:tcW w:w="8460" w:type="dxa"/>
            <w:vAlign w:val="bottom"/>
          </w:tcPr>
          <w:p>
            <w:pPr>
              <w:spacing w:after="0"/>
              <w:rPr>
                <w:sz w:val="20"/>
                <w:szCs w:val="20"/>
                <w:color w:val="auto"/>
              </w:rPr>
            </w:pPr>
            <w:r>
              <w:rPr>
                <w:rFonts w:ascii="Arial" w:cs="Arial" w:eastAsia="Arial" w:hAnsi="Arial"/>
                <w:sz w:val="14"/>
                <w:szCs w:val="14"/>
                <w:color w:val="auto"/>
              </w:rPr>
              <w:t>Adjusted diluted earnings per common share</w:t>
            </w:r>
          </w:p>
        </w:tc>
        <w:tc>
          <w:tcPr>
            <w:tcW w:w="94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14"/>
                <w:szCs w:val="14"/>
                <w:color w:val="auto"/>
              </w:rPr>
            </w:pPr>
          </w:p>
        </w:tc>
        <w:tc>
          <w:tcPr>
            <w:tcW w:w="100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20" w:type="dxa"/>
            <w:vAlign w:val="bottom"/>
          </w:tcPr>
          <w:p>
            <w:pPr>
              <w:spacing w:after="0"/>
              <w:rPr>
                <w:sz w:val="14"/>
                <w:szCs w:val="14"/>
                <w:color w:val="auto"/>
              </w:rPr>
            </w:pPr>
          </w:p>
        </w:tc>
      </w:tr>
      <w:tr>
        <w:trPr>
          <w:trHeight w:val="176"/>
        </w:trPr>
        <w:tc>
          <w:tcPr>
            <w:tcW w:w="8460" w:type="dxa"/>
            <w:vAlign w:val="bottom"/>
          </w:tcPr>
          <w:p>
            <w:pPr>
              <w:ind w:left="200"/>
              <w:spacing w:after="0"/>
              <w:rPr>
                <w:sz w:val="20"/>
                <w:szCs w:val="20"/>
                <w:color w:val="auto"/>
              </w:rPr>
            </w:pPr>
            <w:r>
              <w:rPr>
                <w:rFonts w:ascii="Arial" w:cs="Arial" w:eastAsia="Arial" w:hAnsi="Arial"/>
                <w:sz w:val="14"/>
                <w:szCs w:val="14"/>
                <w:color w:val="auto"/>
              </w:rPr>
              <w:t>Share-based compensation expense, net of income taxes</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r>
      <w:tr>
        <w:trPr>
          <w:trHeight w:val="181"/>
        </w:trPr>
        <w:tc>
          <w:tcPr>
            <w:tcW w:w="8460" w:type="dxa"/>
            <w:vAlign w:val="bottom"/>
          </w:tcPr>
          <w:p>
            <w:pPr>
              <w:ind w:left="200"/>
              <w:spacing w:after="0"/>
              <w:rPr>
                <w:sz w:val="20"/>
                <w:szCs w:val="20"/>
                <w:color w:val="auto"/>
              </w:rPr>
            </w:pPr>
            <w:r>
              <w:rPr>
                <w:rFonts w:ascii="Arial" w:cs="Arial" w:eastAsia="Arial" w:hAnsi="Arial"/>
                <w:sz w:val="14"/>
                <w:szCs w:val="14"/>
                <w:color w:val="auto"/>
              </w:rPr>
              <w:t>Intangible asset amortization expense, net of income taxes</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0.10</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0.05</w:t>
            </w:r>
          </w:p>
        </w:tc>
      </w:tr>
      <w:tr>
        <w:trPr>
          <w:trHeight w:val="169"/>
        </w:trPr>
        <w:tc>
          <w:tcPr>
            <w:tcW w:w="846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9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20" w:type="dxa"/>
            <w:vAlign w:val="bottom"/>
          </w:tcPr>
          <w:p>
            <w:pPr>
              <w:spacing w:after="0"/>
              <w:rPr>
                <w:sz w:val="14"/>
                <w:szCs w:val="14"/>
                <w:color w:val="auto"/>
              </w:rPr>
            </w:pPr>
          </w:p>
        </w:tc>
      </w:tr>
      <w:tr>
        <w:trPr>
          <w:trHeight w:val="20"/>
        </w:trPr>
        <w:tc>
          <w:tcPr>
            <w:tcW w:w="8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92" w:hanging="192"/>
        <w:spacing w:after="0"/>
        <w:tabs>
          <w:tab w:leader="none" w:pos="192"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The pre-tax amount of expenses related to acquisitions and other related charges was $1.5 for the three months ended March 31, 2016.</w:t>
      </w:r>
    </w:p>
    <w:p>
      <w:pPr>
        <w:spacing w:after="0" w:line="18" w:lineRule="exact"/>
        <w:rPr>
          <w:rFonts w:ascii="Arial" w:cs="Arial" w:eastAsia="Arial" w:hAnsi="Arial"/>
          <w:sz w:val="23"/>
          <w:szCs w:val="23"/>
          <w:color w:val="auto"/>
          <w:vertAlign w:val="superscript"/>
        </w:rPr>
      </w:pPr>
    </w:p>
    <w:p>
      <w:pPr>
        <w:ind w:left="192" w:hanging="192"/>
        <w:spacing w:after="0" w:line="197" w:lineRule="auto"/>
        <w:tabs>
          <w:tab w:leader="none" w:pos="192"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The pre-tax amount of deferred revenue purchase accounting adjustment was $1.5 for the three months ended March 31, 2015.</w:t>
      </w:r>
    </w:p>
    <w:p>
      <w:pPr>
        <w:spacing w:after="0" w:line="19" w:lineRule="exact"/>
        <w:rPr>
          <w:rFonts w:ascii="Arial" w:cs="Arial" w:eastAsia="Arial" w:hAnsi="Arial"/>
          <w:sz w:val="18"/>
          <w:szCs w:val="18"/>
          <w:color w:val="auto"/>
          <w:vertAlign w:val="superscript"/>
        </w:rPr>
      </w:pPr>
    </w:p>
    <w:p>
      <w:pPr>
        <w:ind w:left="192" w:hanging="192"/>
        <w:spacing w:after="0" w:line="197" w:lineRule="auto"/>
        <w:tabs>
          <w:tab w:leader="none" w:pos="192"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The pre-tax amount of the termination of employment agreement was $3.8 for the three months ended March 31, 2015.</w:t>
      </w:r>
    </w:p>
    <w:p>
      <w:pPr>
        <w:spacing w:after="0" w:line="19" w:lineRule="exact"/>
        <w:rPr>
          <w:rFonts w:ascii="Arial" w:cs="Arial" w:eastAsia="Arial" w:hAnsi="Arial"/>
          <w:sz w:val="18"/>
          <w:szCs w:val="18"/>
          <w:color w:val="auto"/>
          <w:vertAlign w:val="superscript"/>
        </w:rPr>
      </w:pPr>
    </w:p>
    <w:p>
      <w:pPr>
        <w:ind w:left="192" w:hanging="192"/>
        <w:spacing w:after="0" w:line="197" w:lineRule="auto"/>
        <w:tabs>
          <w:tab w:leader="none" w:pos="192"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The pre-tax amount of share-based compensation expense was $4.1 and $3.4 for the three months ended March 31, 2016 and 2015, respectively.</w:t>
      </w:r>
    </w:p>
    <w:p>
      <w:pPr>
        <w:spacing w:after="0" w:line="19" w:lineRule="exact"/>
        <w:rPr>
          <w:rFonts w:ascii="Arial" w:cs="Arial" w:eastAsia="Arial" w:hAnsi="Arial"/>
          <w:sz w:val="18"/>
          <w:szCs w:val="18"/>
          <w:color w:val="auto"/>
          <w:vertAlign w:val="superscript"/>
        </w:rPr>
      </w:pPr>
    </w:p>
    <w:p>
      <w:pPr>
        <w:ind w:left="192" w:hanging="192"/>
        <w:spacing w:after="0" w:line="197" w:lineRule="auto"/>
        <w:tabs>
          <w:tab w:leader="none" w:pos="192"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The pre-tax amount of intangible asset amortization expense was $8.4 and $5.4 for the three months ended March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72390</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12"/>
          </w:cols>
          <w:pgMar w:left="248" w:top="306" w:right="239" w:bottom="1440" w:gutter="0" w:footer="0" w:header="0"/>
        </w:sectPr>
      </w:pPr>
    </w:p>
    <w:bookmarkStart w:id="10" w:name="page11"/>
    <w:bookmarkEnd w:id="10"/>
    <w:p>
      <w:pPr>
        <w:jc w:val="center"/>
        <w:ind w:right="-159"/>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gridSpan w:val="3"/>
          </w:tcPr>
          <w:p>
            <w:pPr>
              <w:jc w:val="center"/>
              <w:ind w:right="88"/>
              <w:spacing w:after="0"/>
              <w:rPr>
                <w:sz w:val="20"/>
                <w:szCs w:val="20"/>
                <w:color w:val="auto"/>
              </w:rPr>
            </w:pPr>
            <w:r>
              <w:rPr>
                <w:rFonts w:ascii="Arial" w:cs="Arial" w:eastAsia="Arial" w:hAnsi="Arial"/>
                <w:sz w:val="14"/>
                <w:szCs w:val="14"/>
                <w:color w:val="auto"/>
                <w:w w:val="92"/>
              </w:rPr>
              <w:t>For the Three Months ended</w:t>
            </w: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color w:val="auto"/>
                <w:w w:val="96"/>
              </w:rPr>
              <w:t>March 31,</w:t>
            </w: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0" w:type="dxa"/>
            <w:vAlign w:val="bottom"/>
          </w:tcPr>
          <w:p>
            <w:pPr>
              <w:spacing w:after="0"/>
              <w:rPr>
                <w:sz w:val="20"/>
                <w:szCs w:val="20"/>
                <w:color w:val="auto"/>
              </w:rPr>
            </w:pPr>
            <w:r>
              <w:rPr>
                <w:rFonts w:ascii="Arial" w:cs="Arial" w:eastAsia="Arial" w:hAnsi="Arial"/>
                <w:sz w:val="14"/>
                <w:szCs w:val="14"/>
                <w:color w:val="auto"/>
              </w:rPr>
              <w:t>Revenue:</w:t>
            </w:r>
          </w:p>
        </w:tc>
        <w:tc>
          <w:tcPr>
            <w:tcW w:w="3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Aviation segment</w:t>
            </w:r>
          </w:p>
        </w:tc>
        <w:tc>
          <w:tcPr>
            <w:tcW w:w="49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2,221.1</w:t>
            </w:r>
          </w:p>
        </w:tc>
        <w:tc>
          <w:tcPr>
            <w:tcW w:w="120" w:type="dxa"/>
            <w:vAlign w:val="bottom"/>
          </w:tcPr>
          <w:p>
            <w:pPr>
              <w:spacing w:after="0"/>
              <w:rPr>
                <w:sz w:val="15"/>
                <w:szCs w:val="15"/>
                <w:color w:val="auto"/>
              </w:rPr>
            </w:pPr>
          </w:p>
        </w:tc>
        <w:tc>
          <w:tcPr>
            <w:tcW w:w="104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2,897.0</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Land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1,695.0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2,123.0</w:t>
            </w:r>
          </w:p>
        </w:tc>
        <w:tc>
          <w:tcPr>
            <w:tcW w:w="0" w:type="dxa"/>
            <w:vAlign w:val="bottom"/>
          </w:tcPr>
          <w:p>
            <w:pPr>
              <w:spacing w:after="0"/>
              <w:rPr>
                <w:sz w:val="1"/>
                <w:szCs w:val="1"/>
                <w:color w:val="auto"/>
              </w:rPr>
            </w:pPr>
          </w:p>
        </w:tc>
      </w:tr>
      <w:tr>
        <w:trPr>
          <w:trHeight w:val="181"/>
        </w:trPr>
        <w:tc>
          <w:tcPr>
            <w:tcW w:w="3000" w:type="dxa"/>
            <w:vAlign w:val="bottom"/>
          </w:tcPr>
          <w:p>
            <w:pPr>
              <w:ind w:left="200"/>
              <w:spacing w:after="0"/>
              <w:rPr>
                <w:sz w:val="20"/>
                <w:szCs w:val="20"/>
                <w:color w:val="auto"/>
              </w:rPr>
            </w:pPr>
            <w:r>
              <w:rPr>
                <w:rFonts w:ascii="Arial" w:cs="Arial" w:eastAsia="Arial" w:hAnsi="Arial"/>
                <w:sz w:val="14"/>
                <w:szCs w:val="14"/>
                <w:color w:val="auto"/>
              </w:rPr>
              <w:t>Marine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1,276.5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2,320.7</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5,192.6</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3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00" w:type="dxa"/>
            <w:vAlign w:val="bottom"/>
            <w:vMerge w:val="continue"/>
          </w:tcPr>
          <w:p>
            <w:pPr>
              <w:spacing w:after="0"/>
              <w:rPr>
                <w:sz w:val="24"/>
                <w:szCs w:val="24"/>
                <w:color w:val="auto"/>
              </w:rPr>
            </w:pPr>
          </w:p>
        </w:tc>
        <w:tc>
          <w:tcPr>
            <w:tcW w:w="3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Aviation segment</w:t>
            </w:r>
          </w:p>
        </w:tc>
        <w:tc>
          <w:tcPr>
            <w:tcW w:w="49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5"/>
                <w:szCs w:val="15"/>
                <w:color w:val="auto"/>
              </w:rPr>
            </w:pPr>
          </w:p>
        </w:tc>
        <w:tc>
          <w:tcPr>
            <w:tcW w:w="104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Land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81"/>
        </w:trPr>
        <w:tc>
          <w:tcPr>
            <w:tcW w:w="3000" w:type="dxa"/>
            <w:vAlign w:val="bottom"/>
          </w:tcPr>
          <w:p>
            <w:pPr>
              <w:ind w:left="200"/>
              <w:spacing w:after="0"/>
              <w:rPr>
                <w:sz w:val="20"/>
                <w:szCs w:val="20"/>
                <w:color w:val="auto"/>
              </w:rPr>
            </w:pPr>
            <w:r>
              <w:rPr>
                <w:rFonts w:ascii="Arial" w:cs="Arial" w:eastAsia="Arial" w:hAnsi="Arial"/>
                <w:sz w:val="14"/>
                <w:szCs w:val="14"/>
                <w:color w:val="auto"/>
              </w:rPr>
              <w:t>Marine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3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00" w:type="dxa"/>
            <w:vAlign w:val="bottom"/>
            <w:vMerge w:val="continue"/>
          </w:tcPr>
          <w:p>
            <w:pPr>
              <w:spacing w:after="0"/>
              <w:rPr>
                <w:sz w:val="24"/>
                <w:szCs w:val="24"/>
                <w:color w:val="auto"/>
              </w:rPr>
            </w:pPr>
          </w:p>
        </w:tc>
        <w:tc>
          <w:tcPr>
            <w:tcW w:w="3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Aviation segment</w:t>
            </w:r>
          </w:p>
        </w:tc>
        <w:tc>
          <w:tcPr>
            <w:tcW w:w="49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104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Land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1"/>
        </w:trPr>
        <w:tc>
          <w:tcPr>
            <w:tcW w:w="3000" w:type="dxa"/>
            <w:vAlign w:val="bottom"/>
          </w:tcPr>
          <w:p>
            <w:pPr>
              <w:ind w:left="200"/>
              <w:spacing w:after="0"/>
              <w:rPr>
                <w:sz w:val="20"/>
                <w:szCs w:val="20"/>
                <w:color w:val="auto"/>
              </w:rPr>
            </w:pPr>
            <w:r>
              <w:rPr>
                <w:rFonts w:ascii="Arial" w:cs="Arial" w:eastAsia="Arial" w:hAnsi="Arial"/>
                <w:sz w:val="14"/>
                <w:szCs w:val="14"/>
                <w:color w:val="auto"/>
              </w:rPr>
              <w:t>Marine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top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00" w:type="dxa"/>
            <w:vAlign w:val="bottom"/>
          </w:tcPr>
          <w:p>
            <w:pPr>
              <w:ind w:left="200"/>
              <w:spacing w:after="0"/>
              <w:rPr>
                <w:sz w:val="20"/>
                <w:szCs w:val="20"/>
                <w:color w:val="auto"/>
              </w:rPr>
            </w:pPr>
            <w:r>
              <w:rPr>
                <w:rFonts w:ascii="Arial" w:cs="Arial" w:eastAsia="Arial" w:hAnsi="Arial"/>
                <w:sz w:val="14"/>
                <w:szCs w:val="14"/>
                <w:color w:val="auto"/>
              </w:rPr>
              <w:t>Corporate overhead - unallocated</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3000" w:type="dxa"/>
            <w:vAlign w:val="bottom"/>
          </w:tcPr>
          <w:p>
            <w:pPr>
              <w:spacing w:after="0"/>
              <w:rPr>
                <w:sz w:val="24"/>
                <w:szCs w:val="24"/>
                <w:color w:val="auto"/>
              </w:rPr>
            </w:pPr>
          </w:p>
        </w:tc>
        <w:tc>
          <w:tcPr>
            <w:tcW w:w="49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SALES VOLUME SUPPLEMENTAL INFORMATION</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4920" w:type="dxa"/>
            <w:vAlign w:val="bottom"/>
            <w:gridSpan w:val="2"/>
          </w:tcPr>
          <w:p>
            <w:pPr>
              <w:jc w:val="right"/>
              <w:ind w:right="1268"/>
              <w:spacing w:after="0"/>
              <w:rPr>
                <w:sz w:val="20"/>
                <w:szCs w:val="20"/>
                <w:color w:val="auto"/>
              </w:rPr>
            </w:pPr>
            <w:r>
              <w:rPr>
                <w:rFonts w:ascii="Arial" w:cs="Arial" w:eastAsia="Arial" w:hAnsi="Arial"/>
                <w:sz w:val="14"/>
                <w:szCs w:val="14"/>
                <w:color w:val="auto"/>
              </w:rPr>
              <w:t>(UNAUDITED - IN MILLIONS)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gridSpan w:val="3"/>
          </w:tcPr>
          <w:p>
            <w:pPr>
              <w:jc w:val="center"/>
              <w:ind w:right="88"/>
              <w:spacing w:after="0"/>
              <w:rPr>
                <w:sz w:val="20"/>
                <w:szCs w:val="20"/>
                <w:color w:val="auto"/>
              </w:rPr>
            </w:pPr>
            <w:r>
              <w:rPr>
                <w:rFonts w:ascii="Arial" w:cs="Arial" w:eastAsia="Arial" w:hAnsi="Arial"/>
                <w:sz w:val="14"/>
                <w:szCs w:val="14"/>
                <w:color w:val="auto"/>
                <w:w w:val="92"/>
              </w:rPr>
              <w:t>For the Three Months ended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color w:val="auto"/>
                <w:w w:val="96"/>
              </w:rPr>
              <w:t>March 31,</w:t>
            </w: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0" w:type="dxa"/>
            <w:vAlign w:val="bottom"/>
          </w:tcPr>
          <w:p>
            <w:pPr>
              <w:spacing w:after="0"/>
              <w:rPr>
                <w:sz w:val="20"/>
                <w:szCs w:val="20"/>
                <w:color w:val="auto"/>
              </w:rPr>
            </w:pPr>
            <w:r>
              <w:rPr>
                <w:rFonts w:ascii="Arial" w:cs="Arial" w:eastAsia="Arial" w:hAnsi="Arial"/>
                <w:sz w:val="14"/>
                <w:szCs w:val="14"/>
                <w:color w:val="auto"/>
              </w:rPr>
              <w:t>Volume (Gallons):</w:t>
            </w:r>
          </w:p>
        </w:tc>
        <w:tc>
          <w:tcPr>
            <w:tcW w:w="3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Arial" w:cs="Arial" w:eastAsia="Arial" w:hAnsi="Arial"/>
                <w:sz w:val="14"/>
                <w:szCs w:val="14"/>
                <w:color w:val="auto"/>
              </w:rPr>
              <w:t>Aviation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1,626.4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1,449.9</w:t>
            </w:r>
          </w:p>
        </w:tc>
        <w:tc>
          <w:tcPr>
            <w:tcW w:w="0" w:type="dxa"/>
            <w:vAlign w:val="bottom"/>
          </w:tcPr>
          <w:p>
            <w:pPr>
              <w:spacing w:after="0"/>
              <w:rPr>
                <w:sz w:val="1"/>
                <w:szCs w:val="1"/>
                <w:color w:val="auto"/>
              </w:rPr>
            </w:pPr>
          </w:p>
        </w:tc>
      </w:tr>
      <w:tr>
        <w:trPr>
          <w:trHeight w:val="182"/>
        </w:trPr>
        <w:tc>
          <w:tcPr>
            <w:tcW w:w="3000" w:type="dxa"/>
            <w:vAlign w:val="bottom"/>
          </w:tcPr>
          <w:p>
            <w:pPr>
              <w:ind w:left="200"/>
              <w:spacing w:after="0"/>
              <w:rPr>
                <w:sz w:val="20"/>
                <w:szCs w:val="20"/>
                <w:color w:val="auto"/>
              </w:rPr>
            </w:pPr>
            <w:r>
              <w:rPr>
                <w:rFonts w:ascii="Arial" w:cs="Arial" w:eastAsia="Arial" w:hAnsi="Arial"/>
                <w:sz w:val="14"/>
                <w:szCs w:val="14"/>
                <w:color w:val="auto"/>
              </w:rPr>
              <w:t>Land segment</w:t>
            </w:r>
          </w:p>
        </w:tc>
        <w:tc>
          <w:tcPr>
            <w:tcW w:w="3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1,213.1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215"/>
        </w:trPr>
        <w:tc>
          <w:tcPr>
            <w:tcW w:w="3000" w:type="dxa"/>
            <w:vAlign w:val="bottom"/>
          </w:tcPr>
          <w:p>
            <w:pPr>
              <w:ind w:left="200"/>
              <w:spacing w:after="0" w:line="214" w:lineRule="exact"/>
              <w:rPr>
                <w:sz w:val="20"/>
                <w:szCs w:val="20"/>
                <w:color w:val="auto"/>
              </w:rPr>
            </w:pPr>
            <w:r>
              <w:rPr>
                <w:rFonts w:ascii="Arial" w:cs="Arial" w:eastAsia="Arial" w:hAnsi="Arial"/>
                <w:sz w:val="14"/>
                <w:szCs w:val="14"/>
                <w:color w:val="auto"/>
              </w:rPr>
              <w:t xml:space="preserve">Marine segment </w:t>
            </w:r>
            <w:r>
              <w:rPr>
                <w:rFonts w:ascii="Arial" w:cs="Arial" w:eastAsia="Arial" w:hAnsi="Arial"/>
                <w:sz w:val="23"/>
                <w:szCs w:val="23"/>
                <w:color w:val="auto"/>
                <w:vertAlign w:val="superscript"/>
              </w:rPr>
              <w:t>(1)</w:t>
            </w: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2,022.6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2,021.6</w:t>
            </w:r>
          </w:p>
        </w:tc>
        <w:tc>
          <w:tcPr>
            <w:tcW w:w="0" w:type="dxa"/>
            <w:vAlign w:val="bottom"/>
          </w:tcPr>
          <w:p>
            <w:pPr>
              <w:spacing w:after="0"/>
              <w:rPr>
                <w:sz w:val="1"/>
                <w:szCs w:val="1"/>
                <w:color w:val="auto"/>
              </w:rPr>
            </w:pPr>
          </w:p>
        </w:tc>
      </w:tr>
      <w:tr>
        <w:trPr>
          <w:trHeight w:val="169"/>
        </w:trPr>
        <w:tc>
          <w:tcPr>
            <w:tcW w:w="3000" w:type="dxa"/>
            <w:vAlign w:val="bottom"/>
          </w:tcPr>
          <w:p>
            <w:pPr>
              <w:ind w:left="200"/>
              <w:spacing w:after="0"/>
              <w:rPr>
                <w:sz w:val="20"/>
                <w:szCs w:val="20"/>
                <w:color w:val="auto"/>
              </w:rPr>
            </w:pPr>
            <w:r>
              <w:rPr>
                <w:rFonts w:ascii="Arial" w:cs="Arial" w:eastAsia="Arial" w:hAnsi="Arial"/>
                <w:sz w:val="14"/>
                <w:szCs w:val="14"/>
                <w:color w:val="auto"/>
              </w:rPr>
              <w:t>Consolidated Total</w:t>
            </w:r>
          </w:p>
        </w:tc>
        <w:tc>
          <w:tcPr>
            <w:tcW w:w="3380" w:type="dxa"/>
            <w:vAlign w:val="bottom"/>
          </w:tcPr>
          <w:p>
            <w:pPr>
              <w:spacing w:after="0"/>
              <w:rPr>
                <w:sz w:val="14"/>
                <w:szCs w:val="14"/>
                <w:color w:val="auto"/>
              </w:rPr>
            </w:pPr>
          </w:p>
        </w:tc>
        <w:tc>
          <w:tcPr>
            <w:tcW w:w="15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4,862.2</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80" w:hanging="161"/>
        <w:spacing w:after="0"/>
        <w:tabs>
          <w:tab w:leader="none" w:pos="180" w:val="left"/>
        </w:tabs>
        <w:numPr>
          <w:ilvl w:val="0"/>
          <w:numId w:val="3"/>
        </w:numPr>
        <w:rPr>
          <w:rFonts w:ascii="Arial" w:cs="Arial" w:eastAsia="Arial" w:hAnsi="Arial"/>
          <w:sz w:val="12"/>
          <w:szCs w:val="12"/>
          <w:color w:val="auto"/>
        </w:rPr>
      </w:pPr>
      <w:r>
        <w:rPr>
          <w:rFonts w:ascii="Arial" w:cs="Arial" w:eastAsia="Arial" w:hAnsi="Arial"/>
          <w:sz w:val="14"/>
          <w:szCs w:val="14"/>
          <w:color w:val="auto"/>
        </w:rPr>
        <w:t>Converted from metric tons to gallons at a rate of 264 gallons per metric ton. Marine segment metric tons were 7.7 for the three months ended March 31, 2016 and 2015.</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2019-12-05T18:05:35Z</dcterms:created>
  <dcterms:modified xsi:type="dcterms:W3CDTF">2019-12-05T18:05:35Z</dcterms:modified>
</cp:coreProperties>
</file>