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Report (Date of earliest event reported): February 5, 2020</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WORLD FUEL SERVICES CORPORATION</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215" w:right="25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001-09533</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00" w:space="720"/>
            <w:col w:w="3160"/>
          </w:cols>
          <w:pgMar w:left="240" w:top="215" w:right="259" w:bottom="1440" w:gutter="0" w:footer="0" w:header="0"/>
          <w:type w:val="continuous"/>
        </w:sectPr>
      </w:pPr>
    </w:p>
    <w:p>
      <w:pPr>
        <w:spacing w:after="0" w:line="5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9800 N.W. 41st Street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Miami, Florida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244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40"/>
        <w:spacing w:after="0"/>
        <w:rPr>
          <w:sz w:val="20"/>
          <w:szCs w:val="20"/>
          <w:color w:val="auto"/>
        </w:rPr>
      </w:pPr>
      <w:r>
        <w:rPr>
          <w:rFonts w:ascii="Arial" w:cs="Arial" w:eastAsia="Arial" w:hAnsi="Arial"/>
          <w:sz w:val="16"/>
          <w:szCs w:val="16"/>
          <w:color w:val="auto"/>
        </w:rPr>
        <w:t>(Zip Code)</w:t>
      </w:r>
    </w:p>
    <w:p>
      <w:pPr>
        <w:spacing w:after="0" w:line="416" w:lineRule="exact"/>
        <w:rPr>
          <w:sz w:val="24"/>
          <w:szCs w:val="24"/>
          <w:color w:val="auto"/>
        </w:rPr>
      </w:pPr>
    </w:p>
    <w:p>
      <w:pPr>
        <w:sectPr>
          <w:pgSz w:w="11900" w:h="16838" w:orient="portrait"/>
          <w:cols w:equalWidth="0" w:num="2">
            <w:col w:w="7460" w:space="720"/>
            <w:col w:w="3220"/>
          </w:cols>
          <w:pgMar w:left="240" w:top="215" w:right="259" w:bottom="1440" w:gutter="0" w:footer="0" w:header="0"/>
          <w:type w:val="continuous"/>
        </w:sectPr>
      </w:pPr>
    </w:p>
    <w:p>
      <w:pPr>
        <w:spacing w:after="0" w:line="30" w:lineRule="exact"/>
        <w:rPr>
          <w:sz w:val="24"/>
          <w:szCs w:val="24"/>
          <w:color w:val="auto"/>
        </w:rPr>
      </w:pPr>
    </w:p>
    <w:p>
      <w:pPr>
        <w:jc w:val="center"/>
        <w:ind w:left="3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300" w:hanging="292"/>
        <w:spacing w:after="0" w:line="235"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2"/>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3220" w:type="dxa"/>
            <w:vAlign w:val="bottom"/>
          </w:tcPr>
          <w:p>
            <w:pPr>
              <w:spacing w:after="0"/>
              <w:rPr>
                <w:sz w:val="24"/>
                <w:szCs w:val="24"/>
                <w:color w:val="auto"/>
              </w:rPr>
            </w:pPr>
          </w:p>
        </w:tc>
        <w:tc>
          <w:tcPr>
            <w:tcW w:w="2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38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420" w:type="dxa"/>
            <w:vAlign w:val="bottom"/>
          </w:tcPr>
          <w:p>
            <w:pPr>
              <w:spacing w:after="0"/>
              <w:rPr>
                <w:sz w:val="24"/>
                <w:szCs w:val="24"/>
                <w:color w:val="auto"/>
              </w:rPr>
            </w:pPr>
          </w:p>
        </w:tc>
        <w:tc>
          <w:tcPr>
            <w:tcW w:w="1940" w:type="dxa"/>
            <w:vAlign w:val="bottom"/>
            <w:gridSpan w:val="2"/>
          </w:tcPr>
          <w:p>
            <w:pPr>
              <w:jc w:val="center"/>
              <w:ind w:right="520"/>
              <w:spacing w:after="0"/>
              <w:rPr>
                <w:sz w:val="20"/>
                <w:szCs w:val="20"/>
                <w:color w:val="auto"/>
              </w:rPr>
            </w:pPr>
            <w:r>
              <w:rPr>
                <w:rFonts w:ascii="Arial" w:cs="Arial" w:eastAsia="Arial" w:hAnsi="Arial"/>
                <w:sz w:val="18"/>
                <w:szCs w:val="18"/>
                <w:color w:val="auto"/>
              </w:rPr>
              <w:t>INT</w:t>
            </w:r>
          </w:p>
        </w:tc>
        <w:tc>
          <w:tcPr>
            <w:tcW w:w="5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15" w:right="259" w:bottom="1440" w:gutter="0" w:footer="0" w:header="0"/>
          <w:type w:val="continuous"/>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t>Item 5.02. Departures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February 5, 2020, the Board of Directors (the “Board”) of World Fuel Services Corporation (the “Company”) elected Sharda Cherwoo as a director of the Company. Ms. Cherwoo will serve as a member of the Technology and Operations and Governance committees.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Ms. Cherwoo will receive the standard non-employee director compensation for serving on the Board and its committees, including 1,590 restricted stock units representing a pro-rated portion of the annual equity grant, which will vest on the earlier of: (i) the day prior to the Company’s 2020 annual meeting of shareholders or (ii) May 24, 2020.</w:t>
      </w:r>
    </w:p>
    <w:p>
      <w:pPr>
        <w:spacing w:after="0" w:line="181" w:lineRule="exact"/>
        <w:rPr>
          <w:sz w:val="20"/>
          <w:szCs w:val="20"/>
          <w:color w:val="auto"/>
        </w:rPr>
      </w:pPr>
    </w:p>
    <w:p>
      <w:pPr>
        <w:jc w:val="both"/>
        <w:ind w:right="20" w:firstLine="696"/>
        <w:spacing w:after="0" w:line="277" w:lineRule="auto"/>
        <w:rPr>
          <w:sz w:val="20"/>
          <w:szCs w:val="20"/>
          <w:color w:val="auto"/>
        </w:rPr>
      </w:pPr>
      <w:r>
        <w:rPr>
          <w:rFonts w:ascii="Arial" w:cs="Arial" w:eastAsia="Arial" w:hAnsi="Arial"/>
          <w:sz w:val="18"/>
          <w:szCs w:val="18"/>
          <w:color w:val="auto"/>
        </w:rPr>
        <w:t>The Company also entered into a director indemnification agreement with Ms. Cherwoo, the form of which was previously filed as Exhibit 99.2 to the Company’s Current Report on Form 8-K filed with the Securities and Exchange Commission on February 24, 2003.</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is no arrangement or understanding between Ms. Cherwoo and any other person pursuant to which Ms. Cherwoo was selected as a director of the Company. Ms. Cherwoo is also not a party to any transaction that would require disclosure under Item 404(a) of Regulation S-K.</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copy of the Company’s press release announcing the election of Ms. Cherwoo is attached hereto as Exhibit 99.1 and incorporated herein by reference.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380" w:type="dxa"/>
            <w:vAlign w:val="bottom"/>
            <w:gridSpan w:val="6"/>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040" w:type="dxa"/>
            <w:vAlign w:val="bottom"/>
          </w:tcPr>
          <w:p>
            <w:pPr>
              <w:ind w:left="660"/>
              <w:spacing w:after="0"/>
              <w:rPr>
                <w:sz w:val="20"/>
                <w:szCs w:val="20"/>
                <w:color w:val="auto"/>
              </w:rPr>
            </w:pPr>
            <w:r>
              <w:rPr>
                <w:rFonts w:ascii="Arial" w:cs="Arial" w:eastAsia="Arial" w:hAnsi="Arial"/>
                <w:sz w:val="18"/>
                <w:szCs w:val="18"/>
                <w:color w:val="auto"/>
              </w:rPr>
              <w:t>(d)</w:t>
            </w:r>
          </w:p>
        </w:tc>
        <w:tc>
          <w:tcPr>
            <w:tcW w:w="260" w:type="dxa"/>
            <w:vAlign w:val="bottom"/>
          </w:tcPr>
          <w:p>
            <w:pPr>
              <w:spacing w:after="0"/>
              <w:rPr>
                <w:sz w:val="24"/>
                <w:szCs w:val="24"/>
                <w:color w:val="auto"/>
              </w:rPr>
            </w:pPr>
          </w:p>
        </w:tc>
        <w:tc>
          <w:tcPr>
            <w:tcW w:w="1080" w:type="dxa"/>
            <w:vAlign w:val="bottom"/>
            <w:gridSpan w:val="2"/>
          </w:tcPr>
          <w:p>
            <w:pPr>
              <w:ind w:left="220"/>
              <w:spacing w:after="0"/>
              <w:rPr>
                <w:sz w:val="20"/>
                <w:szCs w:val="20"/>
                <w:color w:val="auto"/>
              </w:rPr>
            </w:pPr>
            <w:r>
              <w:rPr>
                <w:rFonts w:ascii="Arial" w:cs="Arial" w:eastAsia="Arial" w:hAnsi="Arial"/>
                <w:sz w:val="18"/>
                <w:szCs w:val="18"/>
                <w:color w:val="auto"/>
              </w:rPr>
              <w:t>Exhibits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980" w:type="dxa"/>
            <w:vAlign w:val="bottom"/>
          </w:tcPr>
          <w:p>
            <w:pPr>
              <w:spacing w:after="0"/>
              <w:rPr>
                <w:sz w:val="24"/>
                <w:szCs w:val="24"/>
                <w:color w:val="auto"/>
              </w:rPr>
            </w:pPr>
          </w:p>
        </w:tc>
      </w:tr>
      <w:tr>
        <w:trPr>
          <w:trHeight w:val="419"/>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040" w:type="dxa"/>
            <w:vAlign w:val="bottom"/>
            <w:gridSpan w:val="3"/>
          </w:tcPr>
          <w:p>
            <w:pPr>
              <w:ind w:left="220"/>
              <w:spacing w:after="0"/>
              <w:rPr>
                <w:sz w:val="20"/>
                <w:szCs w:val="20"/>
                <w:color w:val="auto"/>
              </w:rPr>
            </w:pPr>
            <w:r>
              <w:rPr>
                <w:rFonts w:ascii="Arial" w:cs="Arial" w:eastAsia="Arial" w:hAnsi="Arial"/>
                <w:sz w:val="18"/>
                <w:szCs w:val="18"/>
                <w:color w:val="auto"/>
              </w:rPr>
              <w:t>Description</w:t>
            </w: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480"/>
        </w:trPr>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Press Release, dated February 5, 2020.</w:t>
            </w:r>
          </w:p>
        </w:tc>
      </w:tr>
      <w:tr>
        <w:trPr>
          <w:trHeight w:val="426"/>
        </w:trPr>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8"/>
          <w:szCs w:val="18"/>
          <w:color w:val="auto"/>
        </w:rPr>
        <w:t>Date: February 11, 2020</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14605</wp:posOffset>
            </wp:positionV>
            <wp:extent cx="27527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 Alexander Lake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t>EXHIBIT INDEX</w:t>
      </w:r>
    </w:p>
    <w:p>
      <w:pPr>
        <w:spacing w:after="0" w:line="2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300" w:val="left"/>
        </w:tabs>
        <w:rPr>
          <w:rFonts w:ascii="Arial" w:cs="Arial" w:eastAsia="Arial" w:hAnsi="Arial"/>
          <w:sz w:val="15"/>
          <w:szCs w:val="15"/>
          <w:u w:val="single" w:color="auto"/>
          <w:color w:val="0000EE"/>
        </w:rPr>
      </w:pPr>
      <w:hyperlink w:anchor="page5">
        <w:r>
          <w:rPr>
            <w:rFonts w:ascii="Arial" w:cs="Arial" w:eastAsia="Arial" w:hAnsi="Arial"/>
            <w:sz w:val="18"/>
            <w:szCs w:val="18"/>
            <w:color w:val="0000EE"/>
          </w:rPr>
          <w:t>99.1</w:t>
        </w:r>
      </w:hyperlink>
      <w:r>
        <w:rPr>
          <w:rFonts w:ascii="Arial" w:cs="Arial" w:eastAsia="Arial" w:hAnsi="Arial"/>
          <w:sz w:val="18"/>
          <w:szCs w:val="18"/>
          <w:color w:val="0000EE"/>
        </w:rPr>
        <w:tab/>
      </w:r>
      <w:hyperlink w:anchor="page5">
        <w:r>
          <w:rPr>
            <w:rFonts w:ascii="Arial" w:cs="Arial" w:eastAsia="Arial" w:hAnsi="Arial"/>
            <w:sz w:val="15"/>
            <w:szCs w:val="15"/>
            <w:u w:val="single" w:color="auto"/>
            <w:color w:val="0000EE"/>
          </w:rPr>
          <w:t>Press Release, dated February 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-10160</wp:posOffset>
            </wp:positionV>
            <wp:extent cx="22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ectPr>
          <w:pgSz w:w="11900" w:h="16838" w:orient="portrait"/>
          <w:cols w:equalWidth="0" w:num="1">
            <w:col w:w="10159"/>
          </w:cols>
          <w:pgMar w:left="300" w:top="36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Names Sharda Cherwoo to the Board of Directors</w:t>
      </w:r>
    </w:p>
    <w:p>
      <w:pPr>
        <w:spacing w:after="0" w:line="227" w:lineRule="exact"/>
        <w:rPr>
          <w:sz w:val="20"/>
          <w:szCs w:val="20"/>
          <w:color w:val="auto"/>
        </w:rPr>
      </w:pPr>
    </w:p>
    <w:p>
      <w:pPr>
        <w:ind w:right="1100"/>
        <w:spacing w:after="0" w:line="251" w:lineRule="auto"/>
        <w:rPr>
          <w:sz w:val="20"/>
          <w:szCs w:val="20"/>
          <w:color w:val="auto"/>
        </w:rPr>
      </w:pPr>
      <w:r>
        <w:rPr>
          <w:rFonts w:ascii="Arial" w:cs="Arial" w:eastAsia="Arial" w:hAnsi="Arial"/>
          <w:sz w:val="22"/>
          <w:szCs w:val="22"/>
          <w:color w:val="auto"/>
        </w:rPr>
        <w:t>MIAMI--(BUSINESS WIRE)--February 5, 2020--World Fuel Services Corporation (NYSE: INT) today announced the appointment of Sharda Cherwoo to the Board of Directors of the company.</w:t>
      </w:r>
    </w:p>
    <w:p>
      <w:pPr>
        <w:spacing w:after="0" w:line="173"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color w:val="auto"/>
        </w:rPr>
        <w:t>“We are extremely pleased to welcome Sharda to our board,” said Michael J. Kasbar, chairman and chief executive officer. “We believe her experience in advising companies on digital transformation initiatives and automation strategies will be invaluable in helping us further advance our initiatives to enhance our value proposition and drive greater scalability and operating leverage.”</w:t>
      </w:r>
    </w:p>
    <w:p>
      <w:pPr>
        <w:spacing w:after="0" w:line="134"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color w:val="auto"/>
        </w:rPr>
        <w:t>Ms. Cherwoo retired as a Senior Partner from Ernst &amp; Young LLP (“EY”) in January 2020, after more than 37 years of service, including 28 years as a Client Service Partner with specialized industry focus in private equity, financial services, health care and emerging and disruptive technology companies. Since October 2015, Ms. Cherwoo launched and spearheaded EY’s Intelligent Automation program, with a focus on strategic direction, governance and risk management. As part of that role, she also directed EY’s investments in robotic process automation (“RPA”) and digital transformation initiatives. She also advised a number of Fortune 500 companies on their intelligent automation strategies, including operating models, digital and talent transformation planning, artificial intelligence and blockchain initiatives. Ms. Cherwoo concurrently served as a Senior Advisory Partner in EY’s Private Equity practice group since 2009 and as a Global Client Service Partner and Global Tax Account Leader since 1991. In those roles, she was responsible for serving select EY clients, advising on digital transformation, RPA initiatives, complex tax accounting and global tax planning, as well as mergers, acquisitions and divestitures and their impact on business and global tax strategies. From 2001 to 2004, Ms. Cherwoo served as the founding Chief Executive Officer of EY’s Global Shared Services operations in Bangalore, India, which was EY’s first global offshoring center for client-facing operations. Prior to that, Ms. Cherwoo held various senior leadership roles and other positions since joining EY in the US in 1982 in the audit practice.</w:t>
      </w:r>
    </w:p>
    <w:p>
      <w:pPr>
        <w:spacing w:after="0" w:line="157" w:lineRule="exact"/>
        <w:rPr>
          <w:sz w:val="20"/>
          <w:szCs w:val="20"/>
          <w:color w:val="auto"/>
        </w:rPr>
      </w:pPr>
    </w:p>
    <w:p>
      <w:pPr>
        <w:ind w:right="340"/>
        <w:spacing w:after="0" w:line="287" w:lineRule="auto"/>
        <w:rPr>
          <w:sz w:val="20"/>
          <w:szCs w:val="20"/>
          <w:color w:val="auto"/>
        </w:rPr>
      </w:pPr>
      <w:r>
        <w:rPr>
          <w:rFonts w:ascii="Arial" w:cs="Arial" w:eastAsia="Arial" w:hAnsi="Arial"/>
          <w:sz w:val="19"/>
          <w:szCs w:val="19"/>
          <w:color w:val="auto"/>
        </w:rPr>
        <w:t>In addition to her strategic, operational and leadership roles, Ms. Cherwoo has been committed to mentoring and bringing innovative ideas to diversity and inclusiveness efforts. In 2018, she was awarded the American Business Association’s Silver Stevie® award for Most Innovative Woman of the Year in Business Services; in 2017, she received the Gold Stevie® Award for Innovation of the Year for her work in RPA and the 2017 Gold Best in Biz award for Innovator of the Year.</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Ms. Cherwoo will serve as a member of the Technology and Operations and Governance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energy procurement advisory services, supply fulfillment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call 305-428-8000 or visit www.wfscorp.com.</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Ira M. Birns, Executive Vice President &amp; Chief Financial Officer</w:t>
      </w:r>
    </w:p>
    <w:p>
      <w:pPr>
        <w:spacing w:after="0" w:line="238" w:lineRule="auto"/>
        <w:rPr>
          <w:sz w:val="20"/>
          <w:szCs w:val="20"/>
          <w:color w:val="auto"/>
        </w:rPr>
      </w:pPr>
      <w:r>
        <w:rPr>
          <w:rFonts w:ascii="Arial" w:cs="Arial" w:eastAsia="Arial" w:hAnsi="Arial"/>
          <w:sz w:val="22"/>
          <w:szCs w:val="22"/>
          <w:color w:val="auto"/>
        </w:rPr>
        <w:t>Glenn Klevitz, Vice President, Treasurer &amp; Investor Relations</w:t>
      </w:r>
    </w:p>
    <w:p>
      <w:pPr>
        <w:spacing w:after="0"/>
        <w:rPr>
          <w:sz w:val="20"/>
          <w:szCs w:val="20"/>
          <w:color w:val="auto"/>
        </w:rPr>
      </w:pPr>
      <w:r>
        <w:rPr>
          <w:rFonts w:ascii="Arial" w:cs="Arial" w:eastAsia="Arial" w:hAnsi="Arial"/>
          <w:sz w:val="22"/>
          <w:szCs w:val="22"/>
          <w:color w:val="auto"/>
        </w:rPr>
        <w:t>(305) 428-8000</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2020-02-11T11:02:37Z</dcterms:created>
  <dcterms:modified xsi:type="dcterms:W3CDTF">2020-02-11T11:02:37Z</dcterms:modified>
</cp:coreProperties>
</file>