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t>UNITED STATES</w:t>
      </w:r>
    </w:p>
    <w:p>
      <w:pPr>
        <w:jc w:val="center"/>
        <w:ind w:right="-20"/>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75565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Date of Report (Date of earliest event reported): July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65405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WORLD FUEL SERVICES CORPORATION</w:t>
      </w: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7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2980" w:type="dxa"/>
            <w:vAlign w:val="bottom"/>
          </w:tcPr>
          <w:p>
            <w:pPr>
              <w:jc w:val="center"/>
              <w:ind w:right="1099"/>
              <w:spacing w:after="0"/>
              <w:rPr>
                <w:sz w:val="20"/>
                <w:szCs w:val="20"/>
                <w:color w:val="auto"/>
              </w:rPr>
            </w:pPr>
            <w:r>
              <w:rPr>
                <w:rFonts w:ascii="Arial" w:cs="Arial" w:eastAsia="Arial" w:hAnsi="Arial"/>
                <w:sz w:val="18"/>
                <w:szCs w:val="18"/>
                <w:b w:val="1"/>
                <w:bCs w:val="1"/>
                <w:color w:val="auto"/>
                <w:w w:val="93"/>
              </w:rPr>
              <w:t>Florida</w:t>
            </w:r>
          </w:p>
        </w:tc>
        <w:tc>
          <w:tcPr>
            <w:tcW w:w="2840" w:type="dxa"/>
            <w:vAlign w:val="bottom"/>
          </w:tcPr>
          <w:p>
            <w:pPr>
              <w:jc w:val="right"/>
              <w:ind w:right="1279"/>
              <w:spacing w:after="0"/>
              <w:rPr>
                <w:sz w:val="20"/>
                <w:szCs w:val="20"/>
                <w:color w:val="auto"/>
              </w:rPr>
            </w:pPr>
            <w:r>
              <w:rPr>
                <w:rFonts w:ascii="Arial" w:cs="Arial" w:eastAsia="Arial" w:hAnsi="Arial"/>
                <w:sz w:val="18"/>
                <w:szCs w:val="18"/>
                <w:b w:val="1"/>
                <w:bCs w:val="1"/>
                <w:color w:val="auto"/>
              </w:rPr>
              <w:t>1-9533</w:t>
            </w:r>
          </w:p>
        </w:tc>
        <w:tc>
          <w:tcPr>
            <w:tcW w:w="2100" w:type="dxa"/>
            <w:vAlign w:val="bottom"/>
          </w:tcPr>
          <w:p>
            <w:pPr>
              <w:jc w:val="center"/>
              <w:ind w:left="919"/>
              <w:spacing w:after="0"/>
              <w:rPr>
                <w:sz w:val="20"/>
                <w:szCs w:val="20"/>
                <w:color w:val="auto"/>
              </w:rPr>
            </w:pPr>
            <w:r>
              <w:rPr>
                <w:rFonts w:ascii="Arial" w:cs="Arial" w:eastAsia="Arial" w:hAnsi="Arial"/>
                <w:sz w:val="18"/>
                <w:szCs w:val="18"/>
                <w:b w:val="1"/>
                <w:bCs w:val="1"/>
                <w:color w:val="auto"/>
                <w:w w:val="89"/>
              </w:rPr>
              <w:t>59-2459427</w:t>
            </w:r>
          </w:p>
        </w:tc>
      </w:tr>
      <w:tr>
        <w:trPr>
          <w:trHeight w:val="135"/>
        </w:trPr>
        <w:tc>
          <w:tcPr>
            <w:tcW w:w="2980" w:type="dxa"/>
            <w:vAlign w:val="bottom"/>
          </w:tcPr>
          <w:p>
            <w:pPr>
              <w:jc w:val="center"/>
              <w:ind w:right="1099"/>
              <w:spacing w:after="0" w:line="135"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jc w:val="center"/>
              <w:ind w:right="319"/>
              <w:spacing w:after="0" w:line="135" w:lineRule="exact"/>
              <w:rPr>
                <w:sz w:val="20"/>
                <w:szCs w:val="20"/>
                <w:color w:val="auto"/>
              </w:rPr>
            </w:pPr>
            <w:r>
              <w:rPr>
                <w:rFonts w:ascii="Arial" w:cs="Arial" w:eastAsia="Arial" w:hAnsi="Arial"/>
                <w:sz w:val="14"/>
                <w:szCs w:val="14"/>
                <w:b w:val="1"/>
                <w:bCs w:val="1"/>
                <w:color w:val="auto"/>
                <w:w w:val="94"/>
              </w:rPr>
              <w:t>(Commission File Number)</w:t>
            </w:r>
          </w:p>
        </w:tc>
        <w:tc>
          <w:tcPr>
            <w:tcW w:w="2100" w:type="dxa"/>
            <w:vAlign w:val="bottom"/>
          </w:tcPr>
          <w:p>
            <w:pPr>
              <w:jc w:val="center"/>
              <w:ind w:left="899"/>
              <w:spacing w:after="0" w:line="13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119"/>
              <w:spacing w:after="0"/>
              <w:rPr>
                <w:sz w:val="20"/>
                <w:szCs w:val="20"/>
                <w:color w:val="auto"/>
              </w:rPr>
            </w:pPr>
            <w:r>
              <w:rPr>
                <w:rFonts w:ascii="Arial" w:cs="Arial" w:eastAsia="Arial" w:hAnsi="Arial"/>
                <w:sz w:val="14"/>
                <w:szCs w:val="14"/>
                <w:b w:val="1"/>
                <w:bCs w:val="1"/>
                <w:color w:val="auto"/>
                <w:w w:val="94"/>
              </w:rPr>
              <w:t>incorporation)</w:t>
            </w:r>
          </w:p>
        </w:tc>
        <w:tc>
          <w:tcPr>
            <w:tcW w:w="2840" w:type="dxa"/>
            <w:vAlign w:val="bottom"/>
          </w:tcPr>
          <w:p>
            <w:pPr>
              <w:spacing w:after="0"/>
              <w:rPr>
                <w:sz w:val="16"/>
                <w:szCs w:val="16"/>
                <w:color w:val="auto"/>
              </w:rPr>
            </w:pPr>
          </w:p>
        </w:tc>
        <w:tc>
          <w:tcPr>
            <w:tcW w:w="2100" w:type="dxa"/>
            <w:vAlign w:val="bottom"/>
          </w:tcPr>
          <w:p>
            <w:pPr>
              <w:jc w:val="center"/>
              <w:ind w:left="899"/>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298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2840" w:type="dxa"/>
            <w:vAlign w:val="bottom"/>
          </w:tcPr>
          <w:p>
            <w:pPr>
              <w:spacing w:after="0"/>
              <w:rPr>
                <w:sz w:val="24"/>
                <w:szCs w:val="24"/>
                <w:color w:val="auto"/>
              </w:rPr>
            </w:pPr>
          </w:p>
        </w:tc>
        <w:tc>
          <w:tcPr>
            <w:tcW w:w="2100" w:type="dxa"/>
            <w:vAlign w:val="bottom"/>
          </w:tcPr>
          <w:p>
            <w:pPr>
              <w:jc w:val="right"/>
              <w:ind w:right="619"/>
              <w:spacing w:after="0"/>
              <w:rPr>
                <w:sz w:val="20"/>
                <w:szCs w:val="20"/>
                <w:color w:val="auto"/>
              </w:rPr>
            </w:pPr>
            <w:r>
              <w:rPr>
                <w:rFonts w:ascii="Arial" w:cs="Arial" w:eastAsia="Arial" w:hAnsi="Arial"/>
                <w:sz w:val="18"/>
                <w:szCs w:val="18"/>
                <w:b w:val="1"/>
                <w:bCs w:val="1"/>
                <w:color w:val="auto"/>
              </w:rPr>
              <w:t>33178</w:t>
            </w:r>
          </w:p>
        </w:tc>
      </w:tr>
      <w:tr>
        <w:trPr>
          <w:trHeight w:val="176"/>
        </w:trPr>
        <w:tc>
          <w:tcPr>
            <w:tcW w:w="2980" w:type="dxa"/>
            <w:vAlign w:val="bottom"/>
          </w:tcPr>
          <w:p>
            <w:pPr>
              <w:jc w:val="center"/>
              <w:ind w:right="99"/>
              <w:spacing w:after="0" w:line="176" w:lineRule="exact"/>
              <w:rPr>
                <w:sz w:val="20"/>
                <w:szCs w:val="20"/>
                <w:color w:val="auto"/>
              </w:rPr>
            </w:pPr>
            <w:r>
              <w:rPr>
                <w:rFonts w:ascii="Arial" w:cs="Arial" w:eastAsia="Arial" w:hAnsi="Arial"/>
                <w:sz w:val="18"/>
                <w:szCs w:val="18"/>
                <w:b w:val="1"/>
                <w:bCs w:val="1"/>
                <w:color w:val="auto"/>
                <w:w w:val="95"/>
              </w:rPr>
              <w:t>Miami, Florida</w:t>
            </w:r>
          </w:p>
        </w:tc>
        <w:tc>
          <w:tcPr>
            <w:tcW w:w="2840" w:type="dxa"/>
            <w:vAlign w:val="bottom"/>
          </w:tcPr>
          <w:p>
            <w:pPr>
              <w:spacing w:after="0"/>
              <w:rPr>
                <w:sz w:val="15"/>
                <w:szCs w:val="15"/>
                <w:color w:val="auto"/>
              </w:rPr>
            </w:pPr>
          </w:p>
        </w:tc>
        <w:tc>
          <w:tcPr>
            <w:tcW w:w="2100" w:type="dxa"/>
            <w:vAlign w:val="bottom"/>
          </w:tcPr>
          <w:p>
            <w:pPr>
              <w:jc w:val="center"/>
              <w:ind w:left="159"/>
              <w:spacing w:after="0" w:line="176" w:lineRule="exact"/>
              <w:rPr>
                <w:sz w:val="20"/>
                <w:szCs w:val="20"/>
                <w:color w:val="auto"/>
              </w:rPr>
            </w:pPr>
            <w:r>
              <w:rPr>
                <w:rFonts w:ascii="Arial" w:cs="Arial" w:eastAsia="Arial" w:hAnsi="Arial"/>
                <w:sz w:val="16"/>
                <w:szCs w:val="16"/>
                <w:b w:val="1"/>
                <w:bCs w:val="1"/>
                <w:color w:val="auto"/>
                <w:w w:val="93"/>
              </w:rPr>
              <w:t>(Zip Code)</w:t>
            </w:r>
          </w:p>
        </w:tc>
      </w:tr>
      <w:tr>
        <w:trPr>
          <w:trHeight w:val="186"/>
        </w:trPr>
        <w:tc>
          <w:tcPr>
            <w:tcW w:w="29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71" w:lineRule="exact"/>
        <w:rPr>
          <w:sz w:val="24"/>
          <w:szCs w:val="24"/>
          <w:color w:val="auto"/>
        </w:rPr>
      </w:pPr>
    </w:p>
    <w:p>
      <w:pPr>
        <w:ind w:right="439"/>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14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442" w:right="1440" w:bottom="1440" w:gutter="0" w:footer="0" w:header="0"/>
        </w:sectPr>
      </w:pPr>
    </w:p>
    <w:bookmarkStart w:id="1" w:name="page2"/>
    <w:bookmarkEnd w:id="1"/>
    <w:p>
      <w:pPr>
        <w:ind w:left="160"/>
        <w:spacing w:after="0"/>
        <w:rPr>
          <w:sz w:val="20"/>
          <w:szCs w:val="20"/>
          <w:color w:val="auto"/>
        </w:rPr>
      </w:pPr>
      <w:r>
        <w:rPr>
          <w:rFonts w:ascii="Arial" w:cs="Arial" w:eastAsia="Arial" w:hAnsi="Arial"/>
          <w:sz w:val="22"/>
          <w:szCs w:val="22"/>
          <w:b w:val="1"/>
          <w:bCs w:val="1"/>
          <w:color w:val="auto"/>
        </w:rPr>
        <w:t>Item 8.01. Other Events</w:t>
      </w:r>
    </w:p>
    <w:p>
      <w:pPr>
        <w:spacing w:after="0" w:line="150" w:lineRule="exact"/>
        <w:rPr>
          <w:sz w:val="20"/>
          <w:szCs w:val="20"/>
          <w:color w:val="auto"/>
        </w:rPr>
      </w:pPr>
    </w:p>
    <w:p>
      <w:pPr>
        <w:jc w:val="both"/>
        <w:ind w:left="160" w:right="139" w:firstLine="324"/>
        <w:spacing w:after="0" w:line="227" w:lineRule="auto"/>
        <w:rPr>
          <w:sz w:val="20"/>
          <w:szCs w:val="20"/>
          <w:color w:val="auto"/>
        </w:rPr>
      </w:pPr>
      <w:r>
        <w:rPr>
          <w:rFonts w:ascii="Arial" w:cs="Arial" w:eastAsia="Arial" w:hAnsi="Arial"/>
          <w:sz w:val="18"/>
          <w:szCs w:val="18"/>
          <w:color w:val="auto"/>
        </w:rPr>
        <w:t>World Fuel Services Corporation (the “Company”) is filing this Form 8-K to provide additional information and details regarding the correction of previously issued financial statements disclosed in its Current Report on Form 8-K filed with the Securities and Exchange Commission on July 28, 2016. During the quarter ended June 30, 2016, the Company identified a correction to its provision for income taxes in certain prior periods due to the accounting for the tax effects of foreign currency translation changes on intercompany loans that are considered to be of a long-term investment nature. The Company determined that it had incorrectly applied the accounting guidance in ASC 740, Income Taxes and recorded a deferred tax asset related to foreign currency translation losses in the provision for income taxes, resulting in the Company reporting a lower provision for income taxes in the periods that were impacted.</w:t>
      </w:r>
    </w:p>
    <w:p>
      <w:pPr>
        <w:spacing w:after="0" w:line="115" w:lineRule="exact"/>
        <w:rPr>
          <w:sz w:val="20"/>
          <w:szCs w:val="20"/>
          <w:color w:val="auto"/>
        </w:rPr>
      </w:pPr>
    </w:p>
    <w:p>
      <w:pPr>
        <w:jc w:val="both"/>
        <w:ind w:left="160" w:right="139" w:firstLine="324"/>
        <w:spacing w:after="0" w:line="227" w:lineRule="auto"/>
        <w:rPr>
          <w:sz w:val="20"/>
          <w:szCs w:val="20"/>
          <w:color w:val="auto"/>
        </w:rPr>
      </w:pPr>
      <w:r>
        <w:rPr>
          <w:rFonts w:ascii="Arial" w:cs="Arial" w:eastAsia="Arial" w:hAnsi="Arial"/>
          <w:sz w:val="18"/>
          <w:szCs w:val="18"/>
          <w:color w:val="auto"/>
        </w:rPr>
        <w:t>In accordance with Staff Accounting Bulletin (“SAB”) No. 99, Materiality, and SAB No. 108, Considering the Effects of Prior Year Misstatements when Quantifying Misstatements in Current Year Financial Statements, management evaluated the materiality of the error from qualitative and quantitative perspectives, and concluded the error was not material to its previously issued annual and interim financial statements. The cumulative amounts of the corrections were approximately $20.0 million, of which approximately $12.5 million was attributable to the year ended December 31, 2015. The cumulative amount of the prior period adjustments would have been material to the Company’s current Statements of Income and Comprehensive Income had it made the correction in the current period and, accordingly the Company will revise its previously issued financial statements prospectively to correct these errors.</w:t>
      </w:r>
    </w:p>
    <w:p>
      <w:pPr>
        <w:spacing w:after="0" w:line="115" w:lineRule="exact"/>
        <w:rPr>
          <w:sz w:val="20"/>
          <w:szCs w:val="20"/>
          <w:color w:val="auto"/>
        </w:rPr>
      </w:pPr>
    </w:p>
    <w:p>
      <w:pPr>
        <w:jc w:val="both"/>
        <w:ind w:left="160" w:right="139" w:firstLine="324"/>
        <w:spacing w:after="0" w:line="213" w:lineRule="auto"/>
        <w:rPr>
          <w:sz w:val="20"/>
          <w:szCs w:val="20"/>
          <w:color w:val="auto"/>
        </w:rPr>
      </w:pPr>
      <w:r>
        <w:rPr>
          <w:rFonts w:ascii="Arial" w:cs="Arial" w:eastAsia="Arial" w:hAnsi="Arial"/>
          <w:sz w:val="20"/>
          <w:szCs w:val="20"/>
          <w:color w:val="auto"/>
        </w:rPr>
        <w:t>The corrections associated with the provision for income taxes line item as well as other immaterial adjustments are reflected below and will also be reflected in the Company’s regularly filed financial reports commencing with its Quarterly Report on Form 10-Q for the three and six months ended June 30, 2016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 w:name="page3"/>
    <w:bookmarkEnd w:id="2"/>
    <w:p>
      <w:pPr>
        <w:ind w:left="160" w:right="139" w:firstLine="648"/>
        <w:spacing w:after="0" w:line="230" w:lineRule="auto"/>
        <w:rPr>
          <w:sz w:val="20"/>
          <w:szCs w:val="20"/>
          <w:color w:val="auto"/>
        </w:rPr>
      </w:pPr>
      <w:r>
        <w:rPr>
          <w:rFonts w:ascii="Arial" w:cs="Arial" w:eastAsia="Arial" w:hAnsi="Arial"/>
          <w:sz w:val="20"/>
          <w:szCs w:val="20"/>
          <w:color w:val="auto"/>
        </w:rPr>
        <w:t>The following table presents the effect of the correction on the previously reported Balance Sheet as of December 31, 2015 and December 31, 2014:</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jc w:val="center"/>
        <w:ind w:right="-20"/>
        <w:spacing w:after="0"/>
        <w:rPr>
          <w:sz w:val="20"/>
          <w:szCs w:val="20"/>
          <w:color w:val="auto"/>
        </w:rPr>
      </w:pPr>
      <w:r>
        <w:rPr>
          <w:rFonts w:ascii="Arial" w:cs="Arial" w:eastAsia="Arial" w:hAnsi="Arial"/>
          <w:sz w:val="18"/>
          <w:szCs w:val="18"/>
          <w:color w:val="auto"/>
        </w:rPr>
        <w:t>(Unaudited - In millions, except per share data)</w:t>
      </w:r>
    </w:p>
    <w:p>
      <w:pPr>
        <w:sectPr>
          <w:pgSz w:w="11900" w:h="16838" w:orient="portrait"/>
          <w:cols w:equalWidth="0" w:num="1">
            <w:col w:w="9019"/>
          </w:cols>
          <w:pgMar w:left="1440" w:top="108" w:right="1440" w:bottom="1440" w:gutter="0" w:footer="0" w:header="0"/>
        </w:sect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2"/>
          <w:szCs w:val="12"/>
          <w:b w:val="1"/>
          <w:bCs w:val="1"/>
          <w:color w:val="auto"/>
        </w:rPr>
        <w:t>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20955</wp:posOffset>
            </wp:positionV>
            <wp:extent cx="1741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1" w:lineRule="exact"/>
        <w:rPr>
          <w:sz w:val="20"/>
          <w:szCs w:val="20"/>
          <w:color w:val="auto"/>
        </w:rPr>
      </w:pPr>
    </w:p>
    <w:p>
      <w:pPr>
        <w:ind w:left="3400"/>
        <w:spacing w:after="0"/>
        <w:tabs>
          <w:tab w:leader="none" w:pos="4300" w:val="left"/>
          <w:tab w:leader="none" w:pos="5500" w:val="left"/>
        </w:tabs>
        <w:rPr>
          <w:sz w:val="20"/>
          <w:szCs w:val="20"/>
          <w:color w:val="auto"/>
        </w:rPr>
      </w:pPr>
      <w:r>
        <w:rPr>
          <w:rFonts w:ascii="Arial" w:cs="Arial" w:eastAsia="Arial" w:hAnsi="Arial"/>
          <w:sz w:val="14"/>
          <w:szCs w:val="14"/>
          <w:b w:val="1"/>
          <w:bCs w:val="1"/>
          <w:color w:val="auto"/>
        </w:rPr>
        <w:t>As Reported</w:t>
        <w:tab/>
        <w:t>Adjustment</w:t>
      </w:r>
      <w:r>
        <w:rPr>
          <w:sz w:val="20"/>
          <w:szCs w:val="20"/>
          <w:color w:val="auto"/>
        </w:rPr>
        <w:tab/>
      </w:r>
      <w:r>
        <w:rPr>
          <w:rFonts w:ascii="Arial" w:cs="Arial" w:eastAsia="Arial" w:hAnsi="Arial"/>
          <w:sz w:val="12"/>
          <w:szCs w:val="12"/>
          <w:b w:val="1"/>
          <w:bCs w:val="1"/>
          <w:color w:val="auto"/>
        </w:rPr>
        <w:t>Revised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ind w:right="199"/>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629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8" w:lineRule="exact"/>
        <w:rPr>
          <w:sz w:val="20"/>
          <w:szCs w:val="20"/>
          <w:color w:val="auto"/>
        </w:rPr>
      </w:pPr>
    </w:p>
    <w:p>
      <w:pPr>
        <w:spacing w:after="0"/>
        <w:tabs>
          <w:tab w:leader="none" w:pos="900" w:val="left"/>
          <w:tab w:leader="none" w:pos="2020" w:val="left"/>
        </w:tabs>
        <w:rPr>
          <w:sz w:val="20"/>
          <w:szCs w:val="20"/>
          <w:color w:val="auto"/>
        </w:rPr>
      </w:pPr>
      <w:r>
        <w:rPr>
          <w:rFonts w:ascii="Arial" w:cs="Arial" w:eastAsia="Arial" w:hAnsi="Arial"/>
          <w:sz w:val="14"/>
          <w:szCs w:val="14"/>
          <w:b w:val="1"/>
          <w:bCs w:val="1"/>
          <w:color w:val="auto"/>
        </w:rPr>
        <w:t>As Reported</w:t>
        <w:tab/>
        <w:t>Adjustment</w:t>
      </w:r>
      <w:r>
        <w:rPr>
          <w:sz w:val="20"/>
          <w:szCs w:val="20"/>
          <w:color w:val="auto"/>
        </w:rPr>
        <w:tab/>
      </w:r>
      <w:r>
        <w:rPr>
          <w:rFonts w:ascii="Arial" w:cs="Arial" w:eastAsia="Arial" w:hAnsi="Arial"/>
          <w:sz w:val="12"/>
          <w:szCs w:val="12"/>
          <w:b w:val="1"/>
          <w:bCs w:val="1"/>
          <w:color w:val="auto"/>
        </w:rPr>
        <w:t>Revised</w:t>
      </w:r>
    </w:p>
    <w:p>
      <w:pPr>
        <w:spacing w:after="0" w:line="10" w:lineRule="exact"/>
        <w:rPr>
          <w:sz w:val="20"/>
          <w:szCs w:val="20"/>
          <w:color w:val="auto"/>
        </w:rPr>
      </w:pPr>
    </w:p>
    <w:p>
      <w:pPr>
        <w:sectPr>
          <w:pgSz w:w="11900" w:h="16838" w:orient="portrait"/>
          <w:cols w:equalWidth="0" w:num="2">
            <w:col w:w="6000" w:space="300"/>
            <w:col w:w="2719"/>
          </w:cols>
          <w:pgMar w:left="1440" w:top="108" w:right="1440" w:bottom="1440" w:gutter="0" w:footer="0" w:header="0"/>
          <w:type w:val="continuous"/>
        </w:sectPr>
      </w:pPr>
    </w:p>
    <w:tbl>
      <w:tblPr>
        <w:tblLayout w:type="fixed"/>
        <w:tblInd w:w="140" w:type="dxa"/>
        <w:tblCellMar>
          <w:top w:w="0" w:type="dxa"/>
          <w:left w:w="0" w:type="dxa"/>
          <w:bottom w:w="0" w:type="dxa"/>
          <w:right w:w="0" w:type="dxa"/>
        </w:tblCellMar>
      </w:tblPr>
      <w:tr>
        <w:trPr>
          <w:trHeight w:val="169"/>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582.5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302.3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1,812.6</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1,812.6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2,306.4</w:t>
            </w: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2,308.2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359.1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437.6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Prepaid expenses</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57.9</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76.9</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derivative assets, net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227.2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303.6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209.8</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246.6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assets held for sale</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Total current assets</w:t>
            </w:r>
          </w:p>
        </w:tc>
        <w:tc>
          <w:tcPr>
            <w:tcW w:w="3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3,254.6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3,246.0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3,673.4</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225.6</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203.4</w:t>
            </w: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675.8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653.3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w w:val="96"/>
              </w:rPr>
              <w:t>Identifiable intangible and other non-current assets</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356.9</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350.9</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Non-current assets held for sale</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36.5</w:t>
            </w: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4,549.4</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(24.1)</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4,881.0</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(2.9)</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Short-term debt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25.5</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17.9</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1,349.6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1,850.1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Customer deposits</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118.3</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138.8</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263.8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232.5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Current liabilities held for sale</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5.6</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1,762.8</w:t>
            </w: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w:t>
            </w: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2,239.3</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746.7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672.0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Non-current income tax liabilities, net</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87.7</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85.5</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25.8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19.3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Non-current liabilities held for sale</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5.0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2,628.0</w:t>
            </w:r>
          </w:p>
        </w:tc>
        <w:tc>
          <w:tcPr>
            <w:tcW w:w="7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3,016.1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4"/>
                <w:szCs w:val="14"/>
                <w:color w:val="auto"/>
              </w:rPr>
              <w:t>World Fuel shareholders' equity:</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06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Preferred stock, $1.00 par value; 100 shares</w:t>
            </w:r>
          </w:p>
        </w:tc>
        <w:tc>
          <w:tcPr>
            <w:tcW w:w="3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authorized, none issued</w:t>
            </w:r>
          </w:p>
        </w:tc>
        <w:tc>
          <w:tcPr>
            <w:tcW w:w="3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60" w:type="dxa"/>
            <w:vAlign w:val="bottom"/>
          </w:tcPr>
          <w:p>
            <w:pPr>
              <w:ind w:left="120"/>
              <w:spacing w:after="0" w:line="108" w:lineRule="exact"/>
              <w:rPr>
                <w:sz w:val="20"/>
                <w:szCs w:val="20"/>
                <w:color w:val="auto"/>
              </w:rPr>
            </w:pPr>
            <w:r>
              <w:rPr>
                <w:rFonts w:ascii="Arial" w:cs="Arial" w:eastAsia="Arial" w:hAnsi="Arial"/>
                <w:sz w:val="12"/>
                <w:szCs w:val="12"/>
                <w:color w:val="auto"/>
              </w:rPr>
              <w:t>Common stock, $0.01 par value; 100,000 shares</w:t>
            </w: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120"/>
              <w:spacing w:after="0" w:line="135" w:lineRule="exact"/>
              <w:rPr>
                <w:sz w:val="20"/>
                <w:szCs w:val="20"/>
                <w:color w:val="auto"/>
              </w:rPr>
            </w:pPr>
            <w:r>
              <w:rPr>
                <w:rFonts w:ascii="Arial" w:cs="Arial" w:eastAsia="Arial" w:hAnsi="Arial"/>
                <w:sz w:val="14"/>
                <w:szCs w:val="14"/>
                <w:color w:val="auto"/>
                <w:w w:val="94"/>
              </w:rPr>
              <w:t>authorized, 70,788 and 72,082 shares issued and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120"/>
              <w:spacing w:after="0" w:line="135" w:lineRule="exact"/>
              <w:rPr>
                <w:sz w:val="20"/>
                <w:szCs w:val="20"/>
                <w:color w:val="auto"/>
              </w:rPr>
            </w:pPr>
            <w:r>
              <w:rPr>
                <w:rFonts w:ascii="Arial" w:cs="Arial" w:eastAsia="Arial" w:hAnsi="Arial"/>
                <w:sz w:val="14"/>
                <w:szCs w:val="14"/>
                <w:color w:val="auto"/>
                <w:w w:val="97"/>
              </w:rPr>
              <w:t>outstanding as of December 31, 2015 and 2014,</w:t>
            </w:r>
          </w:p>
        </w:tc>
        <w:tc>
          <w:tcPr>
            <w:tcW w:w="360" w:type="dxa"/>
            <w:vAlign w:val="bottom"/>
          </w:tcPr>
          <w:p>
            <w:pPr>
              <w:spacing w:after="0"/>
              <w:rPr>
                <w:sz w:val="11"/>
                <w:szCs w:val="11"/>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color w:val="auto"/>
              </w:rPr>
              <w:t>0.7</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color w:val="auto"/>
              </w:rPr>
              <w:t>0.7</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20"/>
              <w:spacing w:after="0"/>
              <w:rPr>
                <w:sz w:val="20"/>
                <w:szCs w:val="20"/>
                <w:color w:val="auto"/>
              </w:rPr>
            </w:pPr>
            <w:r>
              <w:rPr>
                <w:rFonts w:ascii="Arial" w:cs="Arial" w:eastAsia="Arial" w:hAnsi="Arial"/>
                <w:sz w:val="14"/>
                <w:szCs w:val="14"/>
                <w:color w:val="auto"/>
              </w:rPr>
              <w:t>respectively</w:t>
            </w: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in excess of par value</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435.3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496.4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1,588.6</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1,418.5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(113.2)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(60.2)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Total World Fuel shareholders' equity</w:t>
            </w:r>
          </w:p>
        </w:tc>
        <w:tc>
          <w:tcPr>
            <w:tcW w:w="3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1,911.4</w:t>
            </w:r>
          </w:p>
        </w:tc>
        <w:tc>
          <w:tcPr>
            <w:tcW w:w="7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(15.5)</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1,895.9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1,855.4</w:t>
            </w:r>
          </w:p>
        </w:tc>
        <w:tc>
          <w:tcPr>
            <w:tcW w:w="7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(5.5)</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equity</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Total equity</w:t>
            </w: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1,921.4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1,905.9</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1,864.9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equity</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4,549.4</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4,881.0</w:t>
            </w: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type w:val="continuous"/>
        </w:sectPr>
      </w:pPr>
    </w:p>
    <w:bookmarkStart w:id="3" w:name="page4"/>
    <w:bookmarkEnd w:id="3"/>
    <w:p>
      <w:pPr>
        <w:ind w:left="160" w:right="259"/>
        <w:spacing w:after="0" w:line="248" w:lineRule="auto"/>
        <w:rPr>
          <w:sz w:val="20"/>
          <w:szCs w:val="20"/>
          <w:color w:val="auto"/>
        </w:rPr>
      </w:pPr>
      <w:r>
        <w:rPr>
          <w:rFonts w:ascii="Arial" w:cs="Arial" w:eastAsia="Arial" w:hAnsi="Arial"/>
          <w:sz w:val="20"/>
          <w:szCs w:val="20"/>
          <w:color w:val="auto"/>
        </w:rPr>
        <w:t>The following tables present the effect of the correction on the previously reported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As Reported</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Adjustment</w:t>
            </w:r>
          </w:p>
        </w:tc>
        <w:tc>
          <w:tcPr>
            <w:tcW w:w="5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Revised</w:t>
            </w:r>
          </w:p>
        </w:tc>
      </w:tr>
      <w:tr>
        <w:trPr>
          <w:trHeight w:val="169"/>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30,379.7</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5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30,381.4</w:t>
            </w:r>
          </w:p>
        </w:tc>
        <w:tc>
          <w:tcPr>
            <w:tcW w:w="20" w:type="dxa"/>
            <w:vAlign w:val="bottom"/>
          </w:tcPr>
          <w:p>
            <w:pPr>
              <w:spacing w:after="0"/>
              <w:rPr>
                <w:sz w:val="14"/>
                <w:szCs w:val="14"/>
                <w:color w:val="auto"/>
              </w:rPr>
            </w:pPr>
          </w:p>
        </w:tc>
      </w:tr>
      <w:tr>
        <w:trPr>
          <w:trHeight w:val="17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29,519.2</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29,520.4</w:t>
            </w:r>
          </w:p>
        </w:tc>
        <w:tc>
          <w:tcPr>
            <w:tcW w:w="20" w:type="dxa"/>
            <w:vAlign w:val="bottom"/>
          </w:tcPr>
          <w:p>
            <w:pPr>
              <w:spacing w:after="0"/>
              <w:rPr>
                <w:sz w:val="15"/>
                <w:szCs w:val="15"/>
                <w:color w:val="auto"/>
              </w:rPr>
            </w:pPr>
          </w:p>
        </w:tc>
      </w:tr>
      <w:tr>
        <w:trPr>
          <w:trHeight w:val="169"/>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860.5</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861.0</w:t>
            </w:r>
          </w:p>
        </w:tc>
        <w:tc>
          <w:tcPr>
            <w:tcW w:w="20" w:type="dxa"/>
            <w:vAlign w:val="bottom"/>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365.8</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20" w:type="dxa"/>
            <w:vAlign w:val="bottom"/>
          </w:tcPr>
          <w:p>
            <w:pPr>
              <w:spacing w:after="0"/>
              <w:rPr>
                <w:sz w:val="15"/>
                <w:szCs w:val="15"/>
                <w:color w:val="auto"/>
              </w:rPr>
            </w:pPr>
          </w:p>
        </w:tc>
      </w:tr>
      <w:tr>
        <w:trPr>
          <w:trHeight w:val="176"/>
        </w:trPr>
        <w:tc>
          <w:tcPr>
            <w:tcW w:w="466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1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7.5</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5"/>
                <w:szCs w:val="15"/>
                <w:color w:val="auto"/>
              </w:rPr>
            </w:pPr>
          </w:p>
        </w:tc>
      </w:tr>
      <w:tr>
        <w:trPr>
          <w:trHeight w:val="176"/>
        </w:trPr>
        <w:tc>
          <w:tcPr>
            <w:tcW w:w="4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240.0</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20" w:type="dxa"/>
            <w:vAlign w:val="bottom"/>
          </w:tcPr>
          <w:p>
            <w:pPr>
              <w:spacing w:after="0"/>
              <w:rPr>
                <w:sz w:val="15"/>
                <w:szCs w:val="15"/>
                <w:color w:val="auto"/>
              </w:rPr>
            </w:pPr>
          </w:p>
        </w:tc>
      </w:tr>
      <w:tr>
        <w:trPr>
          <w:trHeight w:val="169"/>
        </w:trPr>
        <w:tc>
          <w:tcPr>
            <w:tcW w:w="4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613.3</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w:t>
            </w:r>
          </w:p>
        </w:tc>
        <w:tc>
          <w:tcPr>
            <w:tcW w:w="20" w:type="dxa"/>
            <w:vAlign w:val="bottom"/>
          </w:tcPr>
          <w:p>
            <w:pPr>
              <w:spacing w:after="0"/>
              <w:rPr>
                <w:sz w:val="14"/>
                <w:szCs w:val="14"/>
                <w:color w:val="auto"/>
              </w:rPr>
            </w:pPr>
          </w:p>
        </w:tc>
      </w:tr>
      <w:tr>
        <w:trPr>
          <w:trHeight w:val="169"/>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247.2</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20" w:type="dxa"/>
            <w:vAlign w:val="bottom"/>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(29.9)</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 w:type="dxa"/>
            <w:vAlign w:val="bottom"/>
          </w:tcPr>
          <w:p>
            <w:pPr>
              <w:spacing w:after="0"/>
              <w:rPr>
                <w:sz w:val="15"/>
                <w:szCs w:val="15"/>
                <w:color w:val="auto"/>
              </w:rPr>
            </w:pPr>
          </w:p>
        </w:tc>
      </w:tr>
      <w:tr>
        <w:trPr>
          <w:trHeight w:val="176"/>
        </w:trPr>
        <w:tc>
          <w:tcPr>
            <w:tcW w:w="4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r>
      <w:tr>
        <w:trPr>
          <w:trHeight w:val="169"/>
        </w:trPr>
        <w:tc>
          <w:tcPr>
            <w:tcW w:w="46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(27.9)</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219.3</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217.7</w:t>
            </w:r>
          </w:p>
        </w:tc>
        <w:tc>
          <w:tcPr>
            <w:tcW w:w="20" w:type="dxa"/>
            <w:vAlign w:val="bottom"/>
          </w:tcPr>
          <w:p>
            <w:pPr>
              <w:spacing w:after="0"/>
              <w:rPr>
                <w:sz w:val="14"/>
                <w:szCs w:val="14"/>
                <w:color w:val="auto"/>
              </w:rPr>
            </w:pPr>
          </w:p>
        </w:tc>
      </w:tr>
      <w:tr>
        <w:trPr>
          <w:trHeight w:val="17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36.3</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10.8</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0" w:type="dxa"/>
            <w:vAlign w:val="bottom"/>
          </w:tcPr>
          <w:p>
            <w:pPr>
              <w:spacing w:after="0"/>
              <w:rPr>
                <w:sz w:val="15"/>
                <w:szCs w:val="15"/>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183.0</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170.6</w:t>
            </w:r>
          </w:p>
        </w:tc>
        <w:tc>
          <w:tcPr>
            <w:tcW w:w="20" w:type="dxa"/>
            <w:vAlign w:val="bottom"/>
          </w:tcPr>
          <w:p>
            <w:pPr>
              <w:spacing w:after="0"/>
              <w:rPr>
                <w:sz w:val="14"/>
                <w:szCs w:val="14"/>
                <w:color w:val="auto"/>
              </w:rPr>
            </w:pPr>
          </w:p>
        </w:tc>
      </w:tr>
      <w:tr>
        <w:trPr>
          <w:trHeight w:val="17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(3.9)</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5"/>
                <w:szCs w:val="15"/>
                <w:color w:val="auto"/>
              </w:rPr>
            </w:pPr>
          </w:p>
        </w:tc>
      </w:tr>
      <w:tr>
        <w:trPr>
          <w:trHeight w:val="17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186.9</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w:t>
            </w: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2.66</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(0.17)</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70.2</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2.64</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(0.17)</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70.7</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6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183.0</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20" w:type="dxa"/>
            <w:vAlign w:val="bottom"/>
          </w:tcPr>
          <w:p>
            <w:pPr>
              <w:spacing w:after="0"/>
              <w:rPr>
                <w:sz w:val="15"/>
                <w:szCs w:val="15"/>
                <w:color w:val="auto"/>
              </w:rPr>
            </w:pPr>
          </w:p>
        </w:tc>
      </w:tr>
      <w:tr>
        <w:trPr>
          <w:trHeight w:val="176"/>
        </w:trPr>
        <w:tc>
          <w:tcPr>
            <w:tcW w:w="46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(49.6)</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20" w:type="dxa"/>
            <w:vAlign w:val="bottom"/>
          </w:tcPr>
          <w:p>
            <w:pPr>
              <w:spacing w:after="0"/>
              <w:rPr>
                <w:sz w:val="15"/>
                <w:szCs w:val="15"/>
                <w:color w:val="auto"/>
              </w:rPr>
            </w:pPr>
          </w:p>
        </w:tc>
      </w:tr>
      <w:tr>
        <w:trPr>
          <w:trHeight w:val="176"/>
        </w:trPr>
        <w:tc>
          <w:tcPr>
            <w:tcW w:w="4660" w:type="dxa"/>
            <w:vAlign w:val="bottom"/>
          </w:tcPr>
          <w:p>
            <w:pPr>
              <w:ind w:left="120"/>
              <w:spacing w:after="0"/>
              <w:rPr>
                <w:sz w:val="20"/>
                <w:szCs w:val="20"/>
                <w:color w:val="auto"/>
              </w:rPr>
            </w:pPr>
            <w:r>
              <w:rPr>
                <w:rFonts w:ascii="Arial" w:cs="Arial" w:eastAsia="Arial" w:hAnsi="Arial"/>
                <w:sz w:val="14"/>
                <w:szCs w:val="14"/>
                <w:color w:val="auto"/>
              </w:rPr>
              <w:t>Cash Flow hedge, net</w:t>
            </w:r>
          </w:p>
        </w:tc>
        <w:tc>
          <w:tcPr>
            <w:tcW w:w="1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0.6</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5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169"/>
        </w:trPr>
        <w:tc>
          <w:tcPr>
            <w:tcW w:w="466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(49.0)</w:t>
            </w:r>
          </w:p>
        </w:tc>
        <w:tc>
          <w:tcPr>
            <w:tcW w:w="12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20" w:type="dxa"/>
            <w:vAlign w:val="bottom"/>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4"/>
                <w:szCs w:val="14"/>
                <w:color w:val="auto"/>
              </w:rPr>
              <w:t>Comprehensive income including noncontrolling interest</w:t>
            </w:r>
          </w:p>
        </w:tc>
        <w:tc>
          <w:tcPr>
            <w:tcW w:w="1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134.0</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124.2</w:t>
            </w:r>
          </w:p>
        </w:tc>
        <w:tc>
          <w:tcPr>
            <w:tcW w:w="20" w:type="dxa"/>
            <w:vAlign w:val="bottom"/>
          </w:tcPr>
          <w:p>
            <w:pPr>
              <w:spacing w:after="0"/>
              <w:rPr>
                <w:sz w:val="14"/>
                <w:szCs w:val="14"/>
                <w:color w:val="auto"/>
              </w:rPr>
            </w:pPr>
          </w:p>
        </w:tc>
      </w:tr>
      <w:tr>
        <w:trPr>
          <w:trHeight w:val="17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0.1</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5"/>
                <w:szCs w:val="15"/>
                <w:color w:val="auto"/>
              </w:rPr>
            </w:pPr>
          </w:p>
        </w:tc>
      </w:tr>
      <w:tr>
        <w:trPr>
          <w:trHeight w:val="17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attributable to World Fuel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133.9</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20" w:type="dxa"/>
            <w:vAlign w:val="bottom"/>
          </w:tcPr>
          <w:p>
            <w:pPr>
              <w:spacing w:after="0"/>
              <w:rPr>
                <w:sz w:val="15"/>
                <w:szCs w:val="15"/>
                <w:color w:val="auto"/>
              </w:rPr>
            </w:pPr>
          </w:p>
        </w:tc>
      </w:tr>
      <w:tr>
        <w:trPr>
          <w:trHeight w:val="426"/>
        </w:trPr>
        <w:tc>
          <w:tcPr>
            <w:tcW w:w="4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69"/>
              <w:spacing w:after="0" w:line="102" w:lineRule="exact"/>
              <w:rPr>
                <w:sz w:val="20"/>
                <w:szCs w:val="20"/>
                <w:color w:val="auto"/>
              </w:rPr>
            </w:pPr>
            <w:r>
              <w:rPr>
                <w:rFonts w:ascii="Arial" w:cs="Arial" w:eastAsia="Arial" w:hAnsi="Arial"/>
                <w:sz w:val="11"/>
                <w:szCs w:val="11"/>
                <w:b w:val="1"/>
                <w:bCs w:val="1"/>
                <w:color w:val="auto"/>
              </w:rPr>
              <w:t>As</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8"/>
                <w:szCs w:val="8"/>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Revised</w:t>
            </w:r>
          </w:p>
        </w:tc>
        <w:tc>
          <w:tcPr>
            <w:tcW w:w="10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As Reported</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8"/>
                <w:szCs w:val="8"/>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Reported</w:t>
            </w: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43,386.4</w:t>
            </w:r>
          </w:p>
        </w:tc>
        <w:tc>
          <w:tcPr>
            <w:tcW w:w="9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43,391.8</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41,561.9</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42,572.8</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42,572.8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40,809.1</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40,807.7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813.6</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819.0</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752.8</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319.8</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288.0</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12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11.7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220.9</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188.6</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544.5</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488.3</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269.1</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276.7</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264.5</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Interest expense and other financing costs,</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(25.2)</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(17.3)</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0.4</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269.5</w:t>
            </w:r>
          </w:p>
        </w:tc>
        <w:tc>
          <w:tcPr>
            <w:tcW w:w="9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274.8</w:t>
            </w: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246.7</w:t>
            </w:r>
          </w:p>
        </w:tc>
        <w:tc>
          <w:tcPr>
            <w:tcW w:w="10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51.1</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39.5</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218.4</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207.2</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221.7</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224.5</w:t>
            </w: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203.1</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3.13</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70.8</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71.2</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3.11</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2.83</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71.3</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71.8</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218.4</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207.2</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(30.9)</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120"/>
              <w:spacing w:after="0"/>
              <w:rPr>
                <w:sz w:val="20"/>
                <w:szCs w:val="20"/>
                <w:color w:val="auto"/>
              </w:rPr>
            </w:pPr>
            <w:r>
              <w:rPr>
                <w:rFonts w:ascii="Arial" w:cs="Arial" w:eastAsia="Arial" w:hAnsi="Arial"/>
                <w:sz w:val="14"/>
                <w:szCs w:val="14"/>
                <w:color w:val="auto"/>
              </w:rPr>
              <w:t>Cash Flow hedge, net</w:t>
            </w:r>
          </w:p>
        </w:tc>
        <w:tc>
          <w:tcPr>
            <w:tcW w:w="12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9"/>
        </w:trPr>
        <w:tc>
          <w:tcPr>
            <w:tcW w:w="286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(30.9)</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ind w:left="20"/>
              <w:spacing w:after="0" w:line="102" w:lineRule="exact"/>
              <w:rPr>
                <w:sz w:val="20"/>
                <w:szCs w:val="20"/>
                <w:color w:val="auto"/>
              </w:rPr>
            </w:pPr>
            <w:r>
              <w:rPr>
                <w:rFonts w:ascii="Arial" w:cs="Arial" w:eastAsia="Arial" w:hAnsi="Arial"/>
                <w:sz w:val="11"/>
                <w:szCs w:val="11"/>
                <w:color w:val="auto"/>
              </w:rPr>
              <w:t>Comprehensive income including</w:t>
            </w:r>
          </w:p>
        </w:tc>
        <w:tc>
          <w:tcPr>
            <w:tcW w:w="120" w:type="dxa"/>
            <w:vAlign w:val="bottom"/>
          </w:tcPr>
          <w:p>
            <w:pPr>
              <w:spacing w:after="0"/>
              <w:rPr>
                <w:sz w:val="8"/>
                <w:szCs w:val="8"/>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187.5</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190.3</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193.9</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Comprehensive (loss) income attributable to</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4.1</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c>
          <w:tcPr>
            <w:tcW w:w="2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color w:val="auto"/>
              </w:rPr>
              <w:t>Comprehensive income attributable to World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190.8</w:t>
            </w:r>
          </w:p>
        </w:tc>
        <w:tc>
          <w:tcPr>
            <w:tcW w:w="9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0.6</w:t>
            </w:r>
          </w:p>
        </w:tc>
        <w:tc>
          <w:tcPr>
            <w:tcW w:w="3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191.4</w:t>
            </w:r>
          </w:p>
        </w:tc>
        <w:tc>
          <w:tcPr>
            <w:tcW w:w="16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189.8</w:t>
            </w: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w:t>
            </w:r>
          </w:p>
        </w:tc>
        <w:tc>
          <w:tcPr>
            <w:tcW w:w="2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186.2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Fuel</w:t>
            </w: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2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w w:val="98"/>
              </w:rPr>
              <w:t>As Reported</w:t>
            </w:r>
          </w:p>
        </w:tc>
        <w:tc>
          <w:tcPr>
            <w:tcW w:w="1320" w:type="dxa"/>
            <w:vAlign w:val="bottom"/>
          </w:tcPr>
          <w:p>
            <w:pPr>
              <w:jc w:val="right"/>
              <w:ind w:right="181"/>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Revised</w:t>
            </w:r>
          </w:p>
        </w:tc>
      </w:tr>
      <w:tr>
        <w:trPr>
          <w:trHeight w:val="16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5,192.6</w:t>
            </w:r>
          </w:p>
        </w:tc>
        <w:tc>
          <w:tcPr>
            <w:tcW w:w="1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rPr>
              <w:t>(1.7)</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5,190.9</w:t>
            </w:r>
          </w:p>
        </w:tc>
        <w:tc>
          <w:tcPr>
            <w:tcW w:w="20" w:type="dxa"/>
            <w:vAlign w:val="bottom"/>
          </w:tcPr>
          <w:p>
            <w:pPr>
              <w:spacing w:after="0"/>
              <w:rPr>
                <w:sz w:val="14"/>
                <w:szCs w:val="14"/>
                <w:color w:val="auto"/>
              </w:rPr>
            </w:pPr>
          </w:p>
        </w:tc>
      </w:tr>
      <w:tr>
        <w:trPr>
          <w:trHeight w:val="17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4,968.8</w:t>
            </w: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0.6</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4,969.4</w:t>
            </w:r>
          </w:p>
        </w:tc>
        <w:tc>
          <w:tcPr>
            <w:tcW w:w="20" w:type="dxa"/>
            <w:vAlign w:val="bottom"/>
          </w:tcPr>
          <w:p>
            <w:pPr>
              <w:spacing w:after="0"/>
              <w:rPr>
                <w:sz w:val="15"/>
                <w:szCs w:val="15"/>
                <w:color w:val="auto"/>
              </w:rPr>
            </w:pPr>
          </w:p>
        </w:tc>
      </w:tr>
      <w:tr>
        <w:trPr>
          <w:trHeight w:val="169"/>
        </w:trPr>
        <w:tc>
          <w:tcPr>
            <w:tcW w:w="4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223.8</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w:t>
            </w:r>
          </w:p>
        </w:tc>
        <w:tc>
          <w:tcPr>
            <w:tcW w:w="20" w:type="dxa"/>
            <w:vAlign w:val="bottom"/>
          </w:tcPr>
          <w:p>
            <w:pPr>
              <w:spacing w:after="0"/>
              <w:rPr>
                <w:sz w:val="14"/>
                <w:szCs w:val="14"/>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95.9</w:t>
            </w:r>
          </w:p>
        </w:tc>
        <w:tc>
          <w:tcPr>
            <w:tcW w:w="1320" w:type="dxa"/>
            <w:vAlign w:val="bottom"/>
            <w:shd w:val="clear" w:color="auto" w:fill="CCEEFF"/>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20" w:type="dxa"/>
            <w:vAlign w:val="bottom"/>
          </w:tcPr>
          <w:p>
            <w:pPr>
              <w:spacing w:after="0"/>
              <w:rPr>
                <w:sz w:val="15"/>
                <w:szCs w:val="15"/>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200" w:type="dxa"/>
            <w:vAlign w:val="bottom"/>
          </w:tcPr>
          <w:p>
            <w:pPr>
              <w:spacing w:after="0"/>
              <w:rPr>
                <w:sz w:val="15"/>
                <w:szCs w:val="15"/>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1.5</w:t>
            </w:r>
          </w:p>
        </w:tc>
        <w:tc>
          <w:tcPr>
            <w:tcW w:w="1320" w:type="dxa"/>
            <w:vAlign w:val="bottom"/>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r>
      <w:tr>
        <w:trPr>
          <w:trHeight w:val="176"/>
        </w:trPr>
        <w:tc>
          <w:tcPr>
            <w:tcW w:w="4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63.1</w:t>
            </w:r>
          </w:p>
        </w:tc>
        <w:tc>
          <w:tcPr>
            <w:tcW w:w="1320" w:type="dxa"/>
            <w:vAlign w:val="bottom"/>
            <w:tcBorders>
              <w:bottom w:val="single" w:sz="8" w:color="auto"/>
            </w:tcBorders>
            <w:shd w:val="clear" w:color="auto" w:fill="CCEEFF"/>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20" w:type="dxa"/>
            <w:vAlign w:val="bottom"/>
          </w:tcPr>
          <w:p>
            <w:pPr>
              <w:spacing w:after="0"/>
              <w:rPr>
                <w:sz w:val="15"/>
                <w:szCs w:val="15"/>
                <w:color w:val="auto"/>
              </w:rPr>
            </w:pPr>
          </w:p>
        </w:tc>
      </w:tr>
      <w:tr>
        <w:trPr>
          <w:trHeight w:val="169"/>
        </w:trPr>
        <w:tc>
          <w:tcPr>
            <w:tcW w:w="4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160.5</w:t>
            </w:r>
          </w:p>
        </w:tc>
        <w:tc>
          <w:tcPr>
            <w:tcW w:w="1320" w:type="dxa"/>
            <w:vAlign w:val="bottom"/>
            <w:tcBorders>
              <w:bottom w:val="single" w:sz="8" w:color="auto"/>
            </w:tcBorders>
          </w:tcPr>
          <w:p>
            <w:pPr>
              <w:jc w:val="right"/>
              <w:ind w:right="181"/>
              <w:spacing w:after="0" w:line="17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20" w:type="dxa"/>
            <w:vAlign w:val="bottom"/>
          </w:tcPr>
          <w:p>
            <w:pPr>
              <w:spacing w:after="0"/>
              <w:rPr>
                <w:sz w:val="14"/>
                <w:szCs w:val="14"/>
                <w:color w:val="auto"/>
              </w:rPr>
            </w:pPr>
          </w:p>
        </w:tc>
      </w:tr>
      <w:tr>
        <w:trPr>
          <w:trHeight w:val="169"/>
        </w:trPr>
        <w:tc>
          <w:tcPr>
            <w:tcW w:w="4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63.3</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20" w:type="dxa"/>
            <w:vAlign w:val="bottom"/>
          </w:tcPr>
          <w:p>
            <w:pPr>
              <w:spacing w:after="0"/>
              <w:rPr>
                <w:sz w:val="14"/>
                <w:szCs w:val="14"/>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(7.6)</w:t>
            </w:r>
          </w:p>
        </w:tc>
        <w:tc>
          <w:tcPr>
            <w:tcW w:w="1320" w:type="dxa"/>
            <w:vAlign w:val="bottom"/>
            <w:shd w:val="clear" w:color="auto" w:fill="CCEEFF"/>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5"/>
                <w:szCs w:val="15"/>
                <w:color w:val="auto"/>
              </w:rPr>
            </w:pPr>
          </w:p>
        </w:tc>
      </w:tr>
      <w:tr>
        <w:trPr>
          <w:trHeight w:val="176"/>
        </w:trPr>
        <w:tc>
          <w:tcPr>
            <w:tcW w:w="45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income, net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1.3</w:t>
            </w:r>
          </w:p>
        </w:tc>
        <w:tc>
          <w:tcPr>
            <w:tcW w:w="1320" w:type="dxa"/>
            <w:vAlign w:val="bottom"/>
            <w:tcBorders>
              <w:bottom w:val="single" w:sz="8" w:color="auto"/>
            </w:tcBorders>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r>
      <w:tr>
        <w:trPr>
          <w:trHeight w:val="169"/>
        </w:trPr>
        <w:tc>
          <w:tcPr>
            <w:tcW w:w="45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(6.3)</w:t>
            </w:r>
          </w:p>
        </w:tc>
        <w:tc>
          <w:tcPr>
            <w:tcW w:w="1320" w:type="dxa"/>
            <w:vAlign w:val="bottom"/>
            <w:tcBorders>
              <w:bottom w:val="single" w:sz="8" w:color="auto"/>
            </w:tcBorders>
            <w:shd w:val="clear" w:color="auto" w:fill="CCEEFF"/>
          </w:tcPr>
          <w:p>
            <w:pPr>
              <w:jc w:val="right"/>
              <w:ind w:right="181"/>
              <w:spacing w:after="0" w:line="17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57.1</w:t>
            </w:r>
          </w:p>
        </w:tc>
        <w:tc>
          <w:tcPr>
            <w:tcW w:w="1320" w:type="dxa"/>
            <w:vAlign w:val="bottom"/>
          </w:tcPr>
          <w:p>
            <w:pPr>
              <w:jc w:val="right"/>
              <w:ind w:right="121"/>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14"/>
                <w:szCs w:val="14"/>
                <w:color w:val="auto"/>
              </w:rPr>
            </w:pPr>
          </w:p>
        </w:tc>
      </w:tr>
      <w:tr>
        <w:trPr>
          <w:trHeight w:val="17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4.8</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0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52.3</w:t>
            </w:r>
          </w:p>
        </w:tc>
        <w:tc>
          <w:tcPr>
            <w:tcW w:w="1320" w:type="dxa"/>
            <w:vAlign w:val="bottom"/>
          </w:tcPr>
          <w:p>
            <w:pPr>
              <w:jc w:val="right"/>
              <w:ind w:right="121"/>
              <w:spacing w:after="0"/>
              <w:rPr>
                <w:sz w:val="20"/>
                <w:szCs w:val="20"/>
                <w:color w:val="auto"/>
              </w:rPr>
            </w:pPr>
            <w:r>
              <w:rPr>
                <w:rFonts w:ascii="Arial" w:cs="Arial" w:eastAsia="Arial" w:hAnsi="Arial"/>
                <w:sz w:val="14"/>
                <w:szCs w:val="14"/>
                <w:color w:val="auto"/>
              </w:rPr>
              <w:t>(0.8)</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14"/>
                <w:szCs w:val="14"/>
                <w:color w:val="auto"/>
              </w:rPr>
            </w:pPr>
          </w:p>
        </w:tc>
      </w:tr>
      <w:tr>
        <w:trPr>
          <w:trHeight w:val="17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(0.1)</w:t>
            </w:r>
          </w:p>
        </w:tc>
        <w:tc>
          <w:tcPr>
            <w:tcW w:w="1320" w:type="dxa"/>
            <w:vAlign w:val="bottom"/>
            <w:tcBorders>
              <w:bottom w:val="single" w:sz="8" w:color="auto"/>
            </w:tcBorders>
            <w:shd w:val="clear" w:color="auto" w:fill="CCEEFF"/>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r>
      <w:tr>
        <w:trPr>
          <w:trHeight w:val="17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52.4</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(0.8)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0.75</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69.5</w:t>
            </w:r>
          </w:p>
        </w:tc>
        <w:tc>
          <w:tcPr>
            <w:tcW w:w="1320" w:type="dxa"/>
            <w:vAlign w:val="bottom"/>
            <w:tcBorders>
              <w:bottom w:val="single" w:sz="8" w:color="auto"/>
            </w:tcBorders>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0.75</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70.0</w:t>
            </w:r>
          </w:p>
        </w:tc>
        <w:tc>
          <w:tcPr>
            <w:tcW w:w="1320" w:type="dxa"/>
            <w:vAlign w:val="bottom"/>
            <w:tcBorders>
              <w:bottom w:val="single" w:sz="8" w:color="auto"/>
            </w:tcBorders>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52.3</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4"/>
                <w:szCs w:val="14"/>
                <w:color w:val="auto"/>
              </w:rPr>
              <w:t>(0.8)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2.5</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rPr>
              <w:t>Cash Flow hedge, net of income tax benefit: 2016 -$0.2</w:t>
            </w:r>
          </w:p>
        </w:tc>
        <w:tc>
          <w:tcPr>
            <w:tcW w:w="200" w:type="dxa"/>
            <w:vAlign w:val="bottom"/>
          </w:tcPr>
          <w:p>
            <w:pPr>
              <w:spacing w:after="0"/>
              <w:rPr>
                <w:sz w:val="15"/>
                <w:szCs w:val="15"/>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(1.7)</w:t>
            </w:r>
          </w:p>
        </w:tc>
        <w:tc>
          <w:tcPr>
            <w:tcW w:w="1320" w:type="dxa"/>
            <w:vAlign w:val="bottom"/>
          </w:tcPr>
          <w:p>
            <w:pPr>
              <w:jc w:val="right"/>
              <w:ind w:right="181"/>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169"/>
        </w:trPr>
        <w:tc>
          <w:tcPr>
            <w:tcW w:w="458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0.8</w:t>
            </w:r>
          </w:p>
        </w:tc>
        <w:tc>
          <w:tcPr>
            <w:tcW w:w="132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4"/>
                <w:szCs w:val="14"/>
                <w:color w:val="auto"/>
              </w:rPr>
              <w:t>0.2</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including noncontrolling interest</w:t>
            </w:r>
          </w:p>
        </w:tc>
        <w:tc>
          <w:tcPr>
            <w:tcW w:w="20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53.1</w:t>
            </w:r>
          </w:p>
        </w:tc>
        <w:tc>
          <w:tcPr>
            <w:tcW w:w="1320" w:type="dxa"/>
            <w:vAlign w:val="bottom"/>
          </w:tcPr>
          <w:p>
            <w:pPr>
              <w:jc w:val="right"/>
              <w:ind w:right="121"/>
              <w:spacing w:after="0"/>
              <w:rPr>
                <w:sz w:val="20"/>
                <w:szCs w:val="20"/>
                <w:color w:val="auto"/>
              </w:rPr>
            </w:pPr>
            <w:r>
              <w:rPr>
                <w:rFonts w:ascii="Arial" w:cs="Arial" w:eastAsia="Arial" w:hAnsi="Arial"/>
                <w:sz w:val="14"/>
                <w:szCs w:val="14"/>
                <w:color w:val="auto"/>
              </w:rPr>
              <w:t>(0.6)</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w:t>
            </w:r>
          </w:p>
        </w:tc>
        <w:tc>
          <w:tcPr>
            <w:tcW w:w="20" w:type="dxa"/>
            <w:vAlign w:val="bottom"/>
          </w:tcPr>
          <w:p>
            <w:pPr>
              <w:spacing w:after="0"/>
              <w:rPr>
                <w:sz w:val="14"/>
                <w:szCs w:val="14"/>
                <w:color w:val="auto"/>
              </w:rPr>
            </w:pPr>
          </w:p>
        </w:tc>
      </w:tr>
      <w:tr>
        <w:trPr>
          <w:trHeight w:val="17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1.5</w:t>
            </w:r>
          </w:p>
        </w:tc>
        <w:tc>
          <w:tcPr>
            <w:tcW w:w="1320" w:type="dxa"/>
            <w:vAlign w:val="bottom"/>
            <w:tcBorders>
              <w:bottom w:val="single" w:sz="8" w:color="auto"/>
            </w:tcBorders>
            <w:shd w:val="clear" w:color="auto" w:fill="CCEEFF"/>
          </w:tcPr>
          <w:p>
            <w:pPr>
              <w:jc w:val="right"/>
              <w:ind w:right="181"/>
              <w:spacing w:after="0" w:line="17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r>
      <w:tr>
        <w:trPr>
          <w:trHeight w:val="17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attributable to World Fuel</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51.6</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(0.6)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20" w:type="dxa"/>
            <w:vAlign w:val="bottom"/>
          </w:tcPr>
          <w:p>
            <w:pPr>
              <w:spacing w:after="0"/>
              <w:rPr>
                <w:sz w:val="15"/>
                <w:szCs w:val="15"/>
                <w:color w:val="auto"/>
              </w:rPr>
            </w:pPr>
          </w:p>
        </w:tc>
      </w:tr>
      <w:tr>
        <w:trPr>
          <w:trHeight w:val="237"/>
        </w:trPr>
        <w:tc>
          <w:tcPr>
            <w:tcW w:w="4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96"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89"/>
              <w:spacing w:after="0" w:line="102" w:lineRule="exact"/>
              <w:rPr>
                <w:sz w:val="20"/>
                <w:szCs w:val="20"/>
                <w:color w:val="auto"/>
              </w:rPr>
            </w:pPr>
            <w:r>
              <w:rPr>
                <w:rFonts w:ascii="Arial" w:cs="Arial" w:eastAsia="Arial" w:hAnsi="Arial"/>
                <w:sz w:val="11"/>
                <w:szCs w:val="11"/>
                <w:b w:val="1"/>
                <w:bCs w:val="1"/>
                <w:color w:val="auto"/>
              </w:rPr>
              <w:t>As</w:t>
            </w: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8"/>
                <w:szCs w:val="8"/>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Revised</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0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8"/>
                <w:szCs w:val="8"/>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w w:val="91"/>
              </w:rPr>
              <w:t>Reported</w:t>
            </w: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7,810.7</w:t>
            </w:r>
          </w:p>
        </w:tc>
        <w:tc>
          <w:tcPr>
            <w:tcW w:w="1000" w:type="dxa"/>
            <w:vAlign w:val="bottom"/>
            <w:tcBorders>
              <w:top w:val="single" w:sz="8" w:color="auto"/>
            </w:tcBorders>
            <w:shd w:val="clear" w:color="auto" w:fill="CCEEFF"/>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7,810.7</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23,647.8</w:t>
            </w:r>
          </w:p>
        </w:tc>
        <w:tc>
          <w:tcPr>
            <w:tcW w:w="1000" w:type="dxa"/>
            <w:vAlign w:val="bottom"/>
            <w:tcBorders>
              <w:top w:val="single" w:sz="8" w:color="auto"/>
            </w:tcBorders>
            <w:shd w:val="clear" w:color="auto" w:fill="CCEEFF"/>
          </w:tcPr>
          <w:p>
            <w:pPr>
              <w:jc w:val="right"/>
              <w:ind w:right="83"/>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7,584.0</w:t>
            </w:r>
          </w:p>
        </w:tc>
        <w:tc>
          <w:tcPr>
            <w:tcW w:w="100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7,584.0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23,015.2</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226.7</w:t>
            </w:r>
          </w:p>
        </w:tc>
        <w:tc>
          <w:tcPr>
            <w:tcW w:w="1000" w:type="dxa"/>
            <w:vAlign w:val="bottom"/>
            <w:tcBorders>
              <w:bottom w:val="single" w:sz="8" w:color="auto"/>
            </w:tcBorders>
            <w:shd w:val="clear" w:color="auto" w:fill="CCEEFF"/>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2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632.6</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94.2</w:t>
            </w:r>
          </w:p>
        </w:tc>
        <w:tc>
          <w:tcPr>
            <w:tcW w:w="1000" w:type="dxa"/>
            <w:vAlign w:val="bottom"/>
            <w:shd w:val="clear" w:color="auto" w:fill="CCEEFF"/>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270.5</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12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1000" w:type="dxa"/>
            <w:vAlign w:val="bottom"/>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1000" w:type="dxa"/>
            <w:vAlign w:val="bottom"/>
          </w:tcPr>
          <w:p>
            <w:pPr>
              <w:jc w:val="right"/>
              <w:ind w:right="83"/>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64.5</w:t>
            </w:r>
          </w:p>
        </w:tc>
        <w:tc>
          <w:tcPr>
            <w:tcW w:w="1000" w:type="dxa"/>
            <w:vAlign w:val="bottom"/>
            <w:tcBorders>
              <w:bottom w:val="single" w:sz="8" w:color="auto"/>
            </w:tcBorders>
            <w:shd w:val="clear" w:color="auto" w:fill="CCEEFF"/>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2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177.6</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160.3</w:t>
            </w:r>
          </w:p>
        </w:tc>
        <w:tc>
          <w:tcPr>
            <w:tcW w:w="1000" w:type="dxa"/>
            <w:vAlign w:val="bottom"/>
            <w:tcBorders>
              <w:bottom w:val="single" w:sz="8" w:color="auto"/>
            </w:tcBorders>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453.3</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66.4</w:t>
            </w:r>
          </w:p>
        </w:tc>
        <w:tc>
          <w:tcPr>
            <w:tcW w:w="1000" w:type="dxa"/>
            <w:vAlign w:val="bottom"/>
            <w:tcBorders>
              <w:bottom w:val="single" w:sz="8" w:color="auto"/>
            </w:tcBorders>
            <w:shd w:val="clear" w:color="auto" w:fill="CCEEFF"/>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179.3</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Interest expense and other financing costs,</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00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000" w:type="dxa"/>
            <w:vAlign w:val="bottom"/>
            <w:vMerge w:val="restart"/>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w:t>
            </w:r>
          </w:p>
        </w:tc>
        <w:tc>
          <w:tcPr>
            <w:tcW w:w="100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auto"/>
            </w:tcBorders>
          </w:tcPr>
          <w:p>
            <w:pPr>
              <w:jc w:val="right"/>
              <w:ind w:right="83"/>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c>
          <w:tcPr>
            <w:tcW w:w="1000" w:type="dxa"/>
            <w:vAlign w:val="bottom"/>
            <w:shd w:val="clear" w:color="auto" w:fill="CCEEFF"/>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0" w:type="dxa"/>
            <w:vAlign w:val="bottom"/>
            <w:shd w:val="clear" w:color="auto" w:fill="CCEEFF"/>
          </w:tcPr>
          <w:p>
            <w:pPr>
              <w:jc w:val="right"/>
              <w:ind w:right="83"/>
              <w:spacing w:after="0" w:line="17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60.4</w:t>
            </w:r>
          </w:p>
        </w:tc>
        <w:tc>
          <w:tcPr>
            <w:tcW w:w="1000" w:type="dxa"/>
            <w:vAlign w:val="bottom"/>
            <w:tcBorders>
              <w:top w:val="single" w:sz="8" w:color="auto"/>
            </w:tcBorders>
          </w:tcPr>
          <w:p>
            <w:pPr>
              <w:jc w:val="right"/>
              <w:ind w:right="76"/>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158.3</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color w:val="auto"/>
              </w:rPr>
              <w:t>(3.7)</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11.8</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5.9</w:t>
            </w: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26.8</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Pr>
          <w:p>
            <w:pPr>
              <w:spacing w:after="0"/>
              <w:rPr>
                <w:sz w:val="14"/>
                <w:szCs w:val="14"/>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48.6</w:t>
            </w: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(5.9)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131.5</w:t>
            </w:r>
          </w:p>
        </w:tc>
        <w:tc>
          <w:tcPr>
            <w:tcW w:w="1000" w:type="dxa"/>
            <w:vAlign w:val="bottom"/>
          </w:tcPr>
          <w:p>
            <w:pPr>
              <w:jc w:val="right"/>
              <w:ind w:right="23"/>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Net loss attributable to noncontrolling interest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0" w:type="dxa"/>
            <w:vAlign w:val="bottom"/>
            <w:shd w:val="clear" w:color="auto" w:fill="CCEEFF"/>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49.6</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(5.9)</w:t>
            </w: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135.1</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color w:val="auto"/>
              </w:rPr>
              <w:t>(10.6)</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0.71</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0.62</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(0.15)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70.0</w:t>
            </w:r>
          </w:p>
        </w:tc>
        <w:tc>
          <w:tcPr>
            <w:tcW w:w="100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70.5</w:t>
            </w:r>
          </w:p>
        </w:tc>
        <w:tc>
          <w:tcPr>
            <w:tcW w:w="1000" w:type="dxa"/>
            <w:vAlign w:val="bottom"/>
            <w:tcBorders>
              <w:bottom w:val="single" w:sz="8" w:color="auto"/>
            </w:tcBorders>
          </w:tcPr>
          <w:p>
            <w:pPr>
              <w:jc w:val="right"/>
              <w:ind w:right="83"/>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0.71</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0.62</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(0.15)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70.3</w:t>
            </w:r>
          </w:p>
        </w:tc>
        <w:tc>
          <w:tcPr>
            <w:tcW w:w="100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71.0</w:t>
            </w:r>
          </w:p>
        </w:tc>
        <w:tc>
          <w:tcPr>
            <w:tcW w:w="1000" w:type="dxa"/>
            <w:vAlign w:val="bottom"/>
            <w:tcBorders>
              <w:bottom w:val="single" w:sz="8" w:color="auto"/>
            </w:tcBorders>
          </w:tcPr>
          <w:p>
            <w:pPr>
              <w:jc w:val="right"/>
              <w:ind w:right="83"/>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9019"/>
          </w:cols>
          <w:pgMar w:left="1440" w:top="96" w:right="1440" w:bottom="1440" w:gutter="0" w:footer="0" w:header="0"/>
        </w:sectPr>
      </w:pPr>
    </w:p>
    <w:tbl>
      <w:tblPr>
        <w:tblLayout w:type="fixed"/>
        <w:tblInd w:w="140" w:type="dxa"/>
        <w:tblCellMar>
          <w:top w:w="0" w:type="dxa"/>
          <w:left w:w="0" w:type="dxa"/>
          <w:bottom w:w="0" w:type="dxa"/>
          <w:right w:w="0" w:type="dxa"/>
        </w:tblCellMar>
      </w:tblPr>
      <w:tr>
        <w:trPr>
          <w:trHeight w:val="176"/>
        </w:trPr>
        <w:tc>
          <w:tcPr>
            <w:tcW w:w="27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
              <w:spacing w:after="0" w:line="141" w:lineRule="exact"/>
              <w:rPr>
                <w:sz w:val="20"/>
                <w:szCs w:val="20"/>
                <w:color w:val="auto"/>
              </w:rPr>
            </w:pPr>
            <w:r>
              <w:rPr>
                <w:rFonts w:ascii="Arial" w:cs="Arial" w:eastAsia="Arial" w:hAnsi="Arial"/>
                <w:sz w:val="14"/>
                <w:szCs w:val="14"/>
                <w:color w:val="auto"/>
                <w:w w:val="99"/>
              </w:rPr>
              <w:t>Net income including noncontrolling interest</w:t>
            </w:r>
          </w:p>
        </w:tc>
        <w:tc>
          <w:tcPr>
            <w:tcW w:w="36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48"/>
              <w:spacing w:after="0" w:line="141" w:lineRule="exact"/>
              <w:rPr>
                <w:sz w:val="20"/>
                <w:szCs w:val="20"/>
                <w:color w:val="auto"/>
              </w:rPr>
            </w:pPr>
            <w:r>
              <w:rPr>
                <w:rFonts w:ascii="Arial" w:cs="Arial" w:eastAsia="Arial" w:hAnsi="Arial"/>
                <w:sz w:val="14"/>
                <w:szCs w:val="14"/>
                <w:color w:val="auto"/>
              </w:rPr>
              <w:t>48.6</w:t>
            </w:r>
          </w:p>
        </w:tc>
        <w:tc>
          <w:tcPr>
            <w:tcW w:w="740" w:type="dxa"/>
            <w:vAlign w:val="bottom"/>
          </w:tcPr>
          <w:p>
            <w:pPr>
              <w:jc w:val="right"/>
              <w:ind w:right="41"/>
              <w:spacing w:after="0" w:line="141" w:lineRule="exact"/>
              <w:rPr>
                <w:sz w:val="20"/>
                <w:szCs w:val="20"/>
                <w:color w:val="auto"/>
              </w:rPr>
            </w:pPr>
            <w:r>
              <w:rPr>
                <w:rFonts w:ascii="Arial" w:cs="Arial" w:eastAsia="Arial" w:hAnsi="Arial"/>
                <w:sz w:val="14"/>
                <w:szCs w:val="14"/>
                <w:color w:val="auto"/>
              </w:rPr>
              <w:t>(5.9)</w:t>
            </w:r>
          </w:p>
        </w:tc>
        <w:tc>
          <w:tcPr>
            <w:tcW w:w="380" w:type="dxa"/>
            <w:vAlign w:val="bottom"/>
          </w:tcPr>
          <w:p>
            <w:pPr>
              <w:jc w:val="right"/>
              <w:ind w:right="128"/>
              <w:spacing w:after="0" w:line="141"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120"/>
              <w:spacing w:after="0" w:line="141" w:lineRule="exact"/>
              <w:rPr>
                <w:sz w:val="20"/>
                <w:szCs w:val="20"/>
                <w:color w:val="auto"/>
              </w:rPr>
            </w:pPr>
            <w:r>
              <w:rPr>
                <w:rFonts w:ascii="Arial" w:cs="Arial" w:eastAsia="Arial" w:hAnsi="Arial"/>
                <w:sz w:val="14"/>
                <w:szCs w:val="14"/>
                <w:color w:val="auto"/>
              </w:rPr>
              <w:t>Foreign currency translation adjustments</w:t>
            </w:r>
          </w:p>
        </w:tc>
        <w:tc>
          <w:tcPr>
            <w:tcW w:w="360" w:type="dxa"/>
            <w:vAlign w:val="bottom"/>
          </w:tcPr>
          <w:p>
            <w:pPr>
              <w:spacing w:after="0"/>
              <w:rPr>
                <w:sz w:val="12"/>
                <w:szCs w:val="12"/>
                <w:color w:val="auto"/>
              </w:rPr>
            </w:pPr>
          </w:p>
        </w:tc>
        <w:tc>
          <w:tcPr>
            <w:tcW w:w="860" w:type="dxa"/>
            <w:vAlign w:val="bottom"/>
          </w:tcPr>
          <w:p>
            <w:pPr>
              <w:jc w:val="right"/>
              <w:ind w:right="288"/>
              <w:spacing w:after="0" w:line="141" w:lineRule="exact"/>
              <w:rPr>
                <w:sz w:val="20"/>
                <w:szCs w:val="20"/>
                <w:color w:val="auto"/>
              </w:rPr>
            </w:pPr>
            <w:r>
              <w:rPr>
                <w:rFonts w:ascii="Arial" w:cs="Arial" w:eastAsia="Arial" w:hAnsi="Arial"/>
                <w:sz w:val="14"/>
                <w:szCs w:val="14"/>
                <w:color w:val="auto"/>
              </w:rPr>
              <w:t>(31.0)</w:t>
            </w:r>
          </w:p>
        </w:tc>
        <w:tc>
          <w:tcPr>
            <w:tcW w:w="740" w:type="dxa"/>
            <w:vAlign w:val="bottom"/>
          </w:tcPr>
          <w:p>
            <w:pPr>
              <w:jc w:val="right"/>
              <w:ind w:right="81"/>
              <w:spacing w:after="0" w:line="141" w:lineRule="exact"/>
              <w:rPr>
                <w:sz w:val="20"/>
                <w:szCs w:val="20"/>
                <w:color w:val="auto"/>
              </w:rPr>
            </w:pPr>
            <w:r>
              <w:rPr>
                <w:rFonts w:ascii="Arial" w:cs="Arial" w:eastAsia="Arial" w:hAnsi="Arial"/>
                <w:sz w:val="14"/>
                <w:szCs w:val="14"/>
                <w:color w:val="auto"/>
              </w:rPr>
              <w:t>3.6</w:t>
            </w:r>
          </w:p>
        </w:tc>
        <w:tc>
          <w:tcPr>
            <w:tcW w:w="38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4"/>
                <w:szCs w:val="14"/>
                <w:color w:val="auto"/>
                <w:w w:val="96"/>
              </w:rPr>
              <w:t>Cash Flow hedge, net of income tax benefit</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4"/>
                <w:szCs w:val="14"/>
                <w:color w:val="auto"/>
                <w:w w:val="95"/>
              </w:rPr>
              <w:t>of $0.7 for the three and nine months ended</w:t>
            </w:r>
          </w:p>
        </w:tc>
        <w:tc>
          <w:tcPr>
            <w:tcW w:w="360" w:type="dxa"/>
            <w:vAlign w:val="bottom"/>
          </w:tcPr>
          <w:p>
            <w:pPr>
              <w:spacing w:after="0"/>
              <w:rPr>
                <w:sz w:val="11"/>
                <w:szCs w:val="11"/>
                <w:color w:val="auto"/>
              </w:rPr>
            </w:pP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color w:val="auto"/>
              </w:rPr>
              <w:t>(1.1)</w:t>
            </w:r>
          </w:p>
        </w:tc>
        <w:tc>
          <w:tcPr>
            <w:tcW w:w="740" w:type="dxa"/>
            <w:vAlign w:val="bottom"/>
            <w:vMerge w:val="restart"/>
          </w:tcPr>
          <w:p>
            <w:pPr>
              <w:jc w:val="right"/>
              <w:ind w:right="8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September 30,2015, respectively</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color w:val="auto"/>
              </w:rPr>
              <w:t>(32.1)</w:t>
            </w:r>
          </w:p>
        </w:tc>
        <w:tc>
          <w:tcPr>
            <w:tcW w:w="740" w:type="dxa"/>
            <w:vAlign w:val="bottom"/>
          </w:tcPr>
          <w:p>
            <w:pPr>
              <w:jc w:val="right"/>
              <w:ind w:right="81"/>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02"/>
        </w:trPr>
        <w:tc>
          <w:tcPr>
            <w:tcW w:w="274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color w:val="auto"/>
              </w:rPr>
              <w:t>Comprehensive income including</w:t>
            </w:r>
          </w:p>
        </w:tc>
        <w:tc>
          <w:tcPr>
            <w:tcW w:w="3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16.5</w:t>
            </w:r>
          </w:p>
        </w:tc>
        <w:tc>
          <w:tcPr>
            <w:tcW w:w="7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color w:val="auto"/>
              </w:rPr>
              <w:t>(2.3)</w:t>
            </w:r>
          </w:p>
        </w:tc>
        <w:tc>
          <w:tcPr>
            <w:tcW w:w="3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4"/>
                <w:szCs w:val="14"/>
                <w:color w:val="auto"/>
              </w:rPr>
              <w:t>noncontrolling interest</w:t>
            </w:r>
          </w:p>
        </w:tc>
        <w:tc>
          <w:tcPr>
            <w:tcW w:w="3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4"/>
                <w:szCs w:val="14"/>
                <w:color w:val="auto"/>
                <w:w w:val="98"/>
              </w:rPr>
              <w:t>Comprehensive income (loss) attributable to</w:t>
            </w:r>
          </w:p>
        </w:tc>
        <w:tc>
          <w:tcPr>
            <w:tcW w:w="360" w:type="dxa"/>
            <w:vAlign w:val="bottom"/>
          </w:tcPr>
          <w:p>
            <w:pPr>
              <w:spacing w:after="0"/>
              <w:rPr>
                <w:sz w:val="11"/>
                <w:szCs w:val="11"/>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color w:val="auto"/>
              </w:rPr>
              <w:t>1.1</w:t>
            </w:r>
          </w:p>
        </w:tc>
        <w:tc>
          <w:tcPr>
            <w:tcW w:w="740" w:type="dxa"/>
            <w:vAlign w:val="bottom"/>
            <w:vMerge w:val="restart"/>
          </w:tcPr>
          <w:p>
            <w:pPr>
              <w:jc w:val="right"/>
              <w:ind w:right="41"/>
              <w:spacing w:after="0"/>
              <w:rPr>
                <w:sz w:val="20"/>
                <w:szCs w:val="20"/>
                <w:color w:val="auto"/>
              </w:rPr>
            </w:pPr>
            <w:r>
              <w:rPr>
                <w:rFonts w:ascii="Arial" w:cs="Arial" w:eastAsia="Arial" w:hAnsi="Arial"/>
                <w:sz w:val="14"/>
                <w:szCs w:val="14"/>
                <w:color w:val="auto"/>
              </w:rPr>
              <w:t>(2.3)</w:t>
            </w:r>
          </w:p>
        </w:tc>
        <w:tc>
          <w:tcPr>
            <w:tcW w:w="3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74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color w:val="auto"/>
              </w:rPr>
              <w:t>Comprehensive income attributable to World</w:t>
            </w:r>
          </w:p>
        </w:tc>
        <w:tc>
          <w:tcPr>
            <w:tcW w:w="3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15.4</w:t>
            </w:r>
          </w:p>
        </w:tc>
        <w:tc>
          <w:tcPr>
            <w:tcW w:w="7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Fuel</w:t>
            </w:r>
          </w:p>
        </w:tc>
        <w:tc>
          <w:tcPr>
            <w:tcW w:w="3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-1259840</wp:posOffset>
            </wp:positionV>
            <wp:extent cx="553974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9740" cy="11176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-1036955</wp:posOffset>
            </wp:positionV>
            <wp:extent cx="553974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9740" cy="11176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-668020</wp:posOffset>
            </wp:positionV>
            <wp:extent cx="553974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9740" cy="12001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-368300</wp:posOffset>
            </wp:positionV>
            <wp:extent cx="55397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9740" cy="17145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-8255</wp:posOffset>
            </wp:positionV>
            <wp:extent cx="553974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9740" cy="12001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377190</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131.5</w:t>
            </w:r>
          </w:p>
        </w:tc>
        <w:tc>
          <w:tcPr>
            <w:tcW w:w="780" w:type="dxa"/>
            <w:vAlign w:val="bottom"/>
          </w:tcPr>
          <w:p>
            <w:pPr>
              <w:jc w:val="right"/>
              <w:ind w:right="24"/>
              <w:spacing w:after="0"/>
              <w:rPr>
                <w:sz w:val="20"/>
                <w:szCs w:val="20"/>
                <w:color w:val="auto"/>
              </w:rPr>
            </w:pPr>
            <w:r>
              <w:rPr>
                <w:rFonts w:ascii="Arial" w:cs="Arial" w:eastAsia="Arial" w:hAnsi="Arial"/>
                <w:sz w:val="14"/>
                <w:szCs w:val="14"/>
                <w:color w:val="auto"/>
              </w:rPr>
              <w:t>(10.5)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121.0</w:t>
            </w:r>
          </w:p>
        </w:tc>
        <w:tc>
          <w:tcPr>
            <w:tcW w:w="20" w:type="dxa"/>
            <w:vAlign w:val="bottom"/>
          </w:tcPr>
          <w:p>
            <w:pPr>
              <w:spacing w:after="0"/>
              <w:rPr>
                <w:sz w:val="14"/>
                <w:szCs w:val="14"/>
                <w:color w:val="auto"/>
              </w:rPr>
            </w:pPr>
          </w:p>
        </w:tc>
      </w:tr>
      <w:tr>
        <w:trPr>
          <w:trHeight w:val="211"/>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280" w:type="dxa"/>
            <w:vAlign w:val="bottom"/>
          </w:tcPr>
          <w:p>
            <w:pPr>
              <w:spacing w:after="0"/>
              <w:rPr>
                <w:sz w:val="15"/>
                <w:szCs w:val="15"/>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(42.8)</w:t>
            </w: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(38.0)</w:t>
            </w:r>
          </w:p>
        </w:tc>
      </w:tr>
      <w:tr>
        <w:trPr>
          <w:trHeight w:val="390"/>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w:t>
            </w:r>
          </w:p>
        </w:tc>
      </w:tr>
      <w:tr>
        <w:trPr>
          <w:trHeight w:val="169"/>
        </w:trPr>
        <w:tc>
          <w:tcPr>
            <w:tcW w:w="28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(43.9)</w:t>
            </w:r>
          </w:p>
        </w:tc>
        <w:tc>
          <w:tcPr>
            <w:tcW w:w="780" w:type="dxa"/>
            <w:vAlign w:val="bottom"/>
          </w:tcPr>
          <w:p>
            <w:pPr>
              <w:jc w:val="right"/>
              <w:ind w:right="84"/>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(39.1)</w:t>
            </w:r>
          </w:p>
        </w:tc>
      </w:tr>
      <w:tr>
        <w:trPr>
          <w:trHeight w:val="279"/>
        </w:trPr>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87.6</w:t>
            </w: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color w:val="auto"/>
              </w:rPr>
              <w:t>(5.7)</w:t>
            </w: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20" w:type="dxa"/>
            <w:vAlign w:val="bottom"/>
          </w:tcPr>
          <w:p>
            <w:pPr>
              <w:spacing w:after="0"/>
              <w:rPr>
                <w:sz w:val="24"/>
                <w:szCs w:val="24"/>
                <w:color w:val="auto"/>
              </w:rPr>
            </w:pPr>
          </w:p>
        </w:tc>
      </w:tr>
      <w:tr>
        <w:trPr>
          <w:trHeight w:val="255"/>
        </w:trPr>
        <w:tc>
          <w:tcPr>
            <w:tcW w:w="280" w:type="dxa"/>
            <w:vAlign w:val="bottom"/>
          </w:tcPr>
          <w:p>
            <w:pPr>
              <w:spacing w:after="0"/>
              <w:rPr>
                <w:sz w:val="22"/>
                <w:szCs w:val="22"/>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1.0</w:t>
            </w:r>
          </w:p>
        </w:tc>
        <w:tc>
          <w:tcPr>
            <w:tcW w:w="780" w:type="dxa"/>
            <w:vAlign w:val="bottom"/>
          </w:tcPr>
          <w:p>
            <w:pPr>
              <w:jc w:val="right"/>
              <w:ind w:right="24"/>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71"/>
        </w:trPr>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86.6</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color w:val="auto"/>
              </w:rPr>
              <w:t>(3.5)</w:t>
            </w: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20" w:type="dxa"/>
            <w:vAlign w:val="bottom"/>
          </w:tcPr>
          <w:p>
            <w:pPr>
              <w:spacing w:after="0"/>
              <w:rPr>
                <w:sz w:val="23"/>
                <w:szCs w:val="23"/>
                <w:color w:val="auto"/>
              </w:rPr>
            </w:pPr>
          </w:p>
        </w:tc>
      </w:tr>
    </w:tbl>
    <w:p>
      <w:pPr>
        <w:sectPr>
          <w:pgSz w:w="11900" w:h="16838" w:orient="portrait"/>
          <w:cols w:equalWidth="0" w:num="2">
            <w:col w:w="5760" w:space="260"/>
            <w:col w:w="2999"/>
          </w:cols>
          <w:pgMar w:left="1440" w:top="96"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102"/>
        </w:trPr>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ind w:right="69"/>
              <w:spacing w:after="0" w:line="102" w:lineRule="exact"/>
              <w:rPr>
                <w:sz w:val="20"/>
                <w:szCs w:val="20"/>
                <w:color w:val="auto"/>
              </w:rPr>
            </w:pPr>
            <w:r>
              <w:rPr>
                <w:rFonts w:ascii="Arial" w:cs="Arial" w:eastAsia="Arial" w:hAnsi="Arial"/>
                <w:sz w:val="11"/>
                <w:szCs w:val="11"/>
                <w:b w:val="1"/>
                <w:bCs w:val="1"/>
                <w:color w:val="auto"/>
              </w:rPr>
              <w:t>As</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8"/>
                <w:szCs w:val="8"/>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Revised</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93"/>
              </w:rPr>
              <w:t>As Reported</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8"/>
                <w:szCs w:val="8"/>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Reported</w:t>
            </w: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8,496.4</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8,496.4</w:t>
            </w: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15,837.1</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15,837.1</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8,306.0</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8,306.0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15,431.3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15,433.1</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190.4</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404.0</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87.5</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176.2</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176.2</w:t>
            </w:r>
          </w:p>
        </w:tc>
        <w:tc>
          <w:tcPr>
            <w:tcW w:w="0" w:type="dxa"/>
            <w:vAlign w:val="bottom"/>
          </w:tcPr>
          <w:p>
            <w:pPr>
              <w:spacing w:after="0"/>
              <w:rPr>
                <w:sz w:val="1"/>
                <w:szCs w:val="1"/>
                <w:color w:val="auto"/>
              </w:rPr>
            </w:pPr>
          </w:p>
        </w:tc>
      </w:tr>
      <w:tr>
        <w:trPr>
          <w:trHeight w:val="176"/>
        </w:trPr>
        <w:tc>
          <w:tcPr>
            <w:tcW w:w="304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10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148.8</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292.8</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41.6</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Interest expense and other financing costs, net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(expense) income, net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33.6</w:t>
            </w: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98.0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28.4</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82.9</w:t>
            </w:r>
          </w:p>
        </w:tc>
        <w:tc>
          <w:tcPr>
            <w:tcW w:w="920" w:type="dxa"/>
            <w:vAlign w:val="bottom"/>
          </w:tcPr>
          <w:p>
            <w:pPr>
              <w:jc w:val="right"/>
              <w:spacing w:after="0"/>
              <w:rPr>
                <w:sz w:val="20"/>
                <w:szCs w:val="20"/>
                <w:color w:val="auto"/>
              </w:rPr>
            </w:pPr>
            <w:r>
              <w:rPr>
                <w:rFonts w:ascii="Arial" w:cs="Arial" w:eastAsia="Arial" w:hAnsi="Arial"/>
                <w:sz w:val="14"/>
                <w:szCs w:val="14"/>
                <w:color w:val="auto"/>
              </w:rPr>
              <w:t>(4.6)</w:t>
            </w:r>
          </w:p>
        </w:tc>
        <w:tc>
          <w:tcPr>
            <w:tcW w:w="3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3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29.9</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85.5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0.42</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70.7</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70.7</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0.42</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71.2</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28.4</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82.9</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02"/>
        </w:trPr>
        <w:tc>
          <w:tcPr>
            <w:tcW w:w="30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Comprehensive income including noncontrolling</w:t>
            </w:r>
          </w:p>
        </w:tc>
        <w:tc>
          <w:tcPr>
            <w:tcW w:w="1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50.4</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40" w:type="dxa"/>
            <w:vAlign w:val="bottom"/>
          </w:tcPr>
          <w:p>
            <w:pPr>
              <w:ind w:left="20"/>
              <w:spacing w:after="0" w:line="108" w:lineRule="exact"/>
              <w:rPr>
                <w:sz w:val="20"/>
                <w:szCs w:val="20"/>
                <w:color w:val="auto"/>
              </w:rPr>
            </w:pPr>
            <w:r>
              <w:rPr>
                <w:rFonts w:ascii="Arial" w:cs="Arial" w:eastAsia="Arial" w:hAnsi="Arial"/>
                <w:sz w:val="12"/>
                <w:szCs w:val="12"/>
                <w:color w:val="auto"/>
              </w:rPr>
              <w:t>Comprehensive loss attributable to noncontrolling</w:t>
            </w:r>
          </w:p>
        </w:tc>
        <w:tc>
          <w:tcPr>
            <w:tcW w:w="100" w:type="dxa"/>
            <w:vAlign w:val="bottom"/>
          </w:tcPr>
          <w:p>
            <w:pPr>
              <w:spacing w:after="0"/>
              <w:rPr>
                <w:sz w:val="9"/>
                <w:szCs w:val="9"/>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(1.2)</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9"/>
                <w:szCs w:val="9"/>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Comprehensive income attributable to World Fuel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51.6</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439"/>
        </w:trPr>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As Reported</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Revised</w:t>
            </w:r>
          </w:p>
        </w:tc>
      </w:tr>
      <w:tr>
        <w:trPr>
          <w:trHeight w:val="16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7,340.7</w:t>
            </w:r>
          </w:p>
        </w:tc>
        <w:tc>
          <w:tcPr>
            <w:tcW w:w="11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7,340.7</w:t>
            </w:r>
          </w:p>
        </w:tc>
        <w:tc>
          <w:tcPr>
            <w:tcW w:w="20" w:type="dxa"/>
            <w:vAlign w:val="bottom"/>
          </w:tcPr>
          <w:p>
            <w:pPr>
              <w:spacing w:after="0"/>
              <w:rPr>
                <w:sz w:val="14"/>
                <w:szCs w:val="14"/>
                <w:color w:val="auto"/>
              </w:rPr>
            </w:pPr>
          </w:p>
        </w:tc>
      </w:tr>
      <w:tr>
        <w:trPr>
          <w:trHeight w:val="17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7,125.3</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7,127.1</w:t>
            </w:r>
          </w:p>
        </w:tc>
        <w:tc>
          <w:tcPr>
            <w:tcW w:w="20" w:type="dxa"/>
            <w:vAlign w:val="bottom"/>
          </w:tcPr>
          <w:p>
            <w:pPr>
              <w:spacing w:after="0"/>
              <w:rPr>
                <w:sz w:val="15"/>
                <w:szCs w:val="15"/>
                <w:color w:val="auto"/>
              </w:rPr>
            </w:pPr>
          </w:p>
        </w:tc>
      </w:tr>
      <w:tr>
        <w:trPr>
          <w:trHeight w:val="169"/>
        </w:trPr>
        <w:tc>
          <w:tcPr>
            <w:tcW w:w="4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215.4</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20" w:type="dxa"/>
            <w:vAlign w:val="bottom"/>
          </w:tcPr>
          <w:p>
            <w:pPr>
              <w:spacing w:after="0"/>
              <w:rPr>
                <w:sz w:val="14"/>
                <w:szCs w:val="14"/>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88.6</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20" w:type="dxa"/>
            <w:vAlign w:val="bottom"/>
          </w:tcPr>
          <w:p>
            <w:pPr>
              <w:spacing w:after="0"/>
              <w:rPr>
                <w:sz w:val="15"/>
                <w:szCs w:val="15"/>
                <w:color w:val="auto"/>
              </w:rPr>
            </w:pPr>
          </w:p>
        </w:tc>
      </w:tr>
      <w:tr>
        <w:trPr>
          <w:trHeight w:val="176"/>
        </w:trPr>
        <w:tc>
          <w:tcPr>
            <w:tcW w:w="486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240" w:type="dxa"/>
            <w:vAlign w:val="bottom"/>
          </w:tcPr>
          <w:p>
            <w:pPr>
              <w:spacing w:after="0"/>
              <w:rPr>
                <w:sz w:val="15"/>
                <w:szCs w:val="15"/>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r>
      <w:tr>
        <w:trPr>
          <w:trHeight w:val="176"/>
        </w:trPr>
        <w:tc>
          <w:tcPr>
            <w:tcW w:w="48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54.0</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20" w:type="dxa"/>
            <w:vAlign w:val="bottom"/>
          </w:tcPr>
          <w:p>
            <w:pPr>
              <w:spacing w:after="0"/>
              <w:rPr>
                <w:sz w:val="15"/>
                <w:szCs w:val="15"/>
                <w:color w:val="auto"/>
              </w:rPr>
            </w:pPr>
          </w:p>
        </w:tc>
      </w:tr>
      <w:tr>
        <w:trPr>
          <w:trHeight w:val="169"/>
        </w:trPr>
        <w:tc>
          <w:tcPr>
            <w:tcW w:w="4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143.9</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w:t>
            </w:r>
          </w:p>
        </w:tc>
        <w:tc>
          <w:tcPr>
            <w:tcW w:w="20" w:type="dxa"/>
            <w:vAlign w:val="bottom"/>
          </w:tcPr>
          <w:p>
            <w:pPr>
              <w:spacing w:after="0"/>
              <w:rPr>
                <w:sz w:val="14"/>
                <w:szCs w:val="14"/>
                <w:color w:val="auto"/>
              </w:rPr>
            </w:pPr>
          </w:p>
        </w:tc>
      </w:tr>
      <w:tr>
        <w:trPr>
          <w:trHeight w:val="169"/>
        </w:trPr>
        <w:tc>
          <w:tcPr>
            <w:tcW w:w="4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71.5</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4"/>
                <w:szCs w:val="14"/>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5"/>
                <w:szCs w:val="15"/>
                <w:color w:val="auto"/>
              </w:rPr>
            </w:pPr>
          </w:p>
        </w:tc>
      </w:tr>
      <w:tr>
        <w:trPr>
          <w:trHeight w:val="176"/>
        </w:trPr>
        <w:tc>
          <w:tcPr>
            <w:tcW w:w="4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0.3</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r>
      <w:tr>
        <w:trPr>
          <w:trHeight w:val="169"/>
        </w:trPr>
        <w:tc>
          <w:tcPr>
            <w:tcW w:w="48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64.5</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60.6</w:t>
            </w:r>
          </w:p>
        </w:tc>
        <w:tc>
          <w:tcPr>
            <w:tcW w:w="20" w:type="dxa"/>
            <w:vAlign w:val="bottom"/>
          </w:tcPr>
          <w:p>
            <w:pPr>
              <w:spacing w:after="0"/>
              <w:rPr>
                <w:sz w:val="14"/>
                <w:szCs w:val="14"/>
                <w:color w:val="auto"/>
              </w:rPr>
            </w:pPr>
          </w:p>
        </w:tc>
      </w:tr>
      <w:tr>
        <w:trPr>
          <w:trHeight w:val="176"/>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9.9</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5"/>
                <w:szCs w:val="15"/>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54.6</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4"/>
                <w:szCs w:val="14"/>
                <w:color w:val="auto"/>
              </w:rPr>
            </w:pPr>
          </w:p>
        </w:tc>
      </w:tr>
      <w:tr>
        <w:trPr>
          <w:trHeight w:val="176"/>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r>
      <w:tr>
        <w:trPr>
          <w:trHeight w:val="17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55.6</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0.79</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(0.08)</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70.7</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0.78</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(0.08)</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71.4</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8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54.6</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5"/>
                <w:szCs w:val="15"/>
                <w:color w:val="auto"/>
              </w:rPr>
            </w:pPr>
          </w:p>
        </w:tc>
      </w:tr>
      <w:tr>
        <w:trPr>
          <w:trHeight w:val="176"/>
        </w:trPr>
        <w:tc>
          <w:tcPr>
            <w:tcW w:w="48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8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(33.8)</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5"/>
                <w:szCs w:val="15"/>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(33.8)</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(32.0)</w:t>
            </w:r>
          </w:p>
        </w:tc>
      </w:tr>
      <w:tr>
        <w:trPr>
          <w:trHeight w:val="16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including noncontrolling interest</w:t>
            </w: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20.8</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r>
      <w:tr>
        <w:trPr>
          <w:trHeight w:val="17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r>
      <w:tr>
        <w:trPr>
          <w:trHeight w:val="176"/>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World Fuel</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19.6</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5"/>
                <w:szCs w:val="15"/>
                <w:color w:val="auto"/>
              </w:rPr>
            </w:pPr>
          </w:p>
        </w:tc>
      </w:tr>
      <w:tr>
        <w:trPr>
          <w:trHeight w:val="412"/>
        </w:trPr>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6"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color w:val="auto"/>
        </w:rPr>
        <w:t>SIGNATURES</w:t>
      </w:r>
    </w:p>
    <w:p>
      <w:pPr>
        <w:spacing w:after="0" w:line="22" w:lineRule="exact"/>
        <w:rPr>
          <w:sz w:val="20"/>
          <w:szCs w:val="20"/>
          <w:color w:val="auto"/>
        </w:rPr>
      </w:pPr>
    </w:p>
    <w:p>
      <w:pPr>
        <w:ind w:left="160" w:right="139" w:firstLine="648"/>
        <w:spacing w:after="0" w:line="22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160"/>
        <w:spacing w:after="0"/>
        <w:tabs>
          <w:tab w:leader="none" w:pos="4160" w:val="left"/>
        </w:tabs>
        <w:rPr>
          <w:sz w:val="20"/>
          <w:szCs w:val="20"/>
          <w:color w:val="auto"/>
        </w:rPr>
      </w:pPr>
      <w:r>
        <w:rPr>
          <w:rFonts w:ascii="Arial" w:cs="Arial" w:eastAsia="Arial" w:hAnsi="Arial"/>
          <w:sz w:val="20"/>
          <w:szCs w:val="20"/>
          <w:color w:val="auto"/>
        </w:rPr>
        <w:t>Date: July 29, 2016</w:t>
      </w:r>
      <w:r>
        <w:rPr>
          <w:sz w:val="20"/>
          <w:szCs w:val="20"/>
          <w:color w:val="auto"/>
        </w:rPr>
        <w:tab/>
      </w:r>
      <w:r>
        <w:rPr>
          <w:rFonts w:ascii="Arial" w:cs="Arial" w:eastAsia="Arial" w:hAnsi="Arial"/>
          <w:sz w:val="18"/>
          <w:szCs w:val="18"/>
          <w:b w:val="1"/>
          <w:bCs w:val="1"/>
          <w:color w:val="auto"/>
        </w:rPr>
        <w:t>World Fuel Services Corporation</w:t>
      </w:r>
    </w:p>
    <w:p>
      <w:pPr>
        <w:spacing w:after="0" w:line="143"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/s/ Ira M. Birns</w:t>
      </w:r>
    </w:p>
    <w:p>
      <w:pPr>
        <w:ind w:left="4180"/>
        <w:spacing w:after="0" w:line="197" w:lineRule="auto"/>
        <w:rPr>
          <w:sz w:val="20"/>
          <w:szCs w:val="20"/>
          <w:color w:val="auto"/>
        </w:rPr>
      </w:pPr>
      <w:r>
        <w:rPr>
          <w:rFonts w:ascii="Arial" w:cs="Arial" w:eastAsia="Arial" w:hAnsi="Arial"/>
          <w:sz w:val="20"/>
          <w:szCs w:val="20"/>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-118745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343535</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2019-12-05T18:41:16Z</dcterms:created>
  <dcterms:modified xsi:type="dcterms:W3CDTF">2019-12-05T18:41:16Z</dcterms:modified>
</cp:coreProperties>
</file>