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120650</wp:posOffset>
            </wp:positionV>
            <wp:extent cx="149161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39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148590</wp:posOffset>
            </wp:positionV>
            <wp:extent cx="149161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4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February 11,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142240</wp:posOffset>
            </wp:positionV>
            <wp:extent cx="149161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WORLD FUEL SERVICES CORPORATION</w:t>
      </w:r>
    </w:p>
    <w:p>
      <w:pPr>
        <w:spacing w:after="0" w:line="45" w:lineRule="exact"/>
        <w:rPr>
          <w:sz w:val="24"/>
          <w:szCs w:val="24"/>
          <w:color w:val="auto"/>
        </w:rPr>
      </w:pPr>
    </w:p>
    <w:tbl>
      <w:tblPr>
        <w:tblLayout w:type="fixed"/>
        <w:tblInd w:w="76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p>
        </w:tc>
        <w:tc>
          <w:tcPr>
            <w:tcW w:w="410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(Exact name of registrant as specified in its charter)</w:t>
            </w:r>
          </w:p>
        </w:tc>
        <w:tc>
          <w:tcPr>
            <w:tcW w:w="2380" w:type="dxa"/>
            <w:vAlign w:val="bottom"/>
          </w:tcPr>
          <w:p>
            <w:pPr>
              <w:spacing w:after="0"/>
              <w:rPr>
                <w:sz w:val="20"/>
                <w:szCs w:val="20"/>
                <w:color w:val="auto"/>
              </w:rPr>
            </w:pPr>
          </w:p>
        </w:tc>
      </w:tr>
      <w:tr>
        <w:trPr>
          <w:trHeight w:val="207"/>
        </w:trPr>
        <w:tc>
          <w:tcPr>
            <w:tcW w:w="3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100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446"/>
        </w:trPr>
        <w:tc>
          <w:tcPr>
            <w:tcW w:w="3000" w:type="dxa"/>
            <w:vAlign w:val="bottom"/>
          </w:tcPr>
          <w:p>
            <w:pPr>
              <w:jc w:val="center"/>
              <w:ind w:right="650"/>
              <w:spacing w:after="0"/>
              <w:rPr>
                <w:sz w:val="20"/>
                <w:szCs w:val="20"/>
                <w:color w:val="auto"/>
              </w:rPr>
            </w:pPr>
            <w:r>
              <w:rPr>
                <w:rFonts w:ascii="Arial" w:cs="Arial" w:eastAsia="Arial" w:hAnsi="Arial"/>
                <w:sz w:val="18"/>
                <w:szCs w:val="18"/>
                <w:b w:val="1"/>
                <w:bCs w:val="1"/>
                <w:color w:val="auto"/>
                <w:w w:val="96"/>
              </w:rPr>
              <w:t>Florida</w:t>
            </w:r>
          </w:p>
        </w:tc>
        <w:tc>
          <w:tcPr>
            <w:tcW w:w="3100" w:type="dxa"/>
            <w:vAlign w:val="bottom"/>
            <w:gridSpan w:val="2"/>
          </w:tcPr>
          <w:p>
            <w:pPr>
              <w:jc w:val="center"/>
              <w:ind w:left="730"/>
              <w:spacing w:after="0"/>
              <w:rPr>
                <w:sz w:val="20"/>
                <w:szCs w:val="20"/>
                <w:color w:val="auto"/>
              </w:rPr>
            </w:pPr>
            <w:r>
              <w:rPr>
                <w:rFonts w:ascii="Arial" w:cs="Arial" w:eastAsia="Arial" w:hAnsi="Arial"/>
                <w:sz w:val="18"/>
                <w:szCs w:val="18"/>
                <w:b w:val="1"/>
                <w:bCs w:val="1"/>
                <w:color w:val="auto"/>
                <w:w w:val="92"/>
              </w:rPr>
              <w:t>1-9533</w:t>
            </w:r>
          </w:p>
        </w:tc>
        <w:tc>
          <w:tcPr>
            <w:tcW w:w="1000" w:type="dxa"/>
            <w:vAlign w:val="bottom"/>
          </w:tcPr>
          <w:p>
            <w:pPr>
              <w:spacing w:after="0"/>
              <w:rPr>
                <w:sz w:val="24"/>
                <w:szCs w:val="24"/>
                <w:color w:val="auto"/>
              </w:rPr>
            </w:pPr>
          </w:p>
        </w:tc>
        <w:tc>
          <w:tcPr>
            <w:tcW w:w="2380" w:type="dxa"/>
            <w:vAlign w:val="bottom"/>
          </w:tcPr>
          <w:p>
            <w:pPr>
              <w:jc w:val="center"/>
              <w:ind w:left="890"/>
              <w:spacing w:after="0"/>
              <w:rPr>
                <w:sz w:val="20"/>
                <w:szCs w:val="20"/>
                <w:color w:val="auto"/>
              </w:rPr>
            </w:pPr>
            <w:r>
              <w:rPr>
                <w:rFonts w:ascii="Arial" w:cs="Arial" w:eastAsia="Arial" w:hAnsi="Arial"/>
                <w:sz w:val="18"/>
                <w:szCs w:val="18"/>
                <w:b w:val="1"/>
                <w:bCs w:val="1"/>
                <w:color w:val="auto"/>
                <w:w w:val="91"/>
              </w:rPr>
              <w:t>59-2459427</w:t>
            </w:r>
          </w:p>
        </w:tc>
      </w:tr>
      <w:tr>
        <w:trPr>
          <w:trHeight w:val="225"/>
        </w:trPr>
        <w:tc>
          <w:tcPr>
            <w:tcW w:w="3000" w:type="dxa"/>
            <w:vAlign w:val="bottom"/>
          </w:tcPr>
          <w:p>
            <w:pPr>
              <w:jc w:val="center"/>
              <w:ind w:right="650"/>
              <w:spacing w:after="0"/>
              <w:rPr>
                <w:sz w:val="20"/>
                <w:szCs w:val="20"/>
                <w:color w:val="auto"/>
              </w:rPr>
            </w:pPr>
            <w:r>
              <w:rPr>
                <w:rFonts w:ascii="Arial" w:cs="Arial" w:eastAsia="Arial" w:hAnsi="Arial"/>
                <w:sz w:val="18"/>
                <w:szCs w:val="18"/>
                <w:b w:val="1"/>
                <w:bCs w:val="1"/>
                <w:color w:val="auto"/>
                <w:w w:val="91"/>
              </w:rPr>
              <w:t>(State or other jurisdiction of</w:t>
            </w:r>
          </w:p>
        </w:tc>
        <w:tc>
          <w:tcPr>
            <w:tcW w:w="800" w:type="dxa"/>
            <w:vAlign w:val="bottom"/>
          </w:tcPr>
          <w:p>
            <w:pPr>
              <w:spacing w:after="0"/>
              <w:rPr>
                <w:sz w:val="19"/>
                <w:szCs w:val="19"/>
                <w:color w:val="auto"/>
              </w:rPr>
            </w:pPr>
          </w:p>
        </w:tc>
        <w:tc>
          <w:tcPr>
            <w:tcW w:w="3300" w:type="dxa"/>
            <w:vAlign w:val="bottom"/>
            <w:gridSpan w:val="2"/>
          </w:tcPr>
          <w:p>
            <w:pPr>
              <w:jc w:val="center"/>
              <w:ind w:right="1000"/>
              <w:spacing w:after="0"/>
              <w:rPr>
                <w:sz w:val="20"/>
                <w:szCs w:val="20"/>
                <w:color w:val="auto"/>
              </w:rPr>
            </w:pPr>
            <w:r>
              <w:rPr>
                <w:rFonts w:ascii="Arial" w:cs="Arial" w:eastAsia="Arial" w:hAnsi="Arial"/>
                <w:sz w:val="18"/>
                <w:szCs w:val="18"/>
                <w:b w:val="1"/>
                <w:bCs w:val="1"/>
                <w:color w:val="auto"/>
                <w:w w:val="91"/>
              </w:rPr>
              <w:t>(Commission File Number)</w:t>
            </w:r>
          </w:p>
        </w:tc>
        <w:tc>
          <w:tcPr>
            <w:tcW w:w="2380" w:type="dxa"/>
            <w:vAlign w:val="bottom"/>
          </w:tcPr>
          <w:p>
            <w:pPr>
              <w:jc w:val="center"/>
              <w:ind w:left="8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3000" w:type="dxa"/>
            <w:vAlign w:val="bottom"/>
          </w:tcPr>
          <w:p>
            <w:pPr>
              <w:jc w:val="center"/>
              <w:ind w:right="670"/>
              <w:spacing w:after="0"/>
              <w:rPr>
                <w:sz w:val="20"/>
                <w:szCs w:val="20"/>
                <w:color w:val="auto"/>
              </w:rPr>
            </w:pPr>
            <w:r>
              <w:rPr>
                <w:rFonts w:ascii="Arial" w:cs="Arial" w:eastAsia="Arial" w:hAnsi="Arial"/>
                <w:sz w:val="18"/>
                <w:szCs w:val="18"/>
                <w:b w:val="1"/>
                <w:bCs w:val="1"/>
                <w:color w:val="auto"/>
                <w:w w:val="91"/>
              </w:rPr>
              <w:t>incorporation)</w:t>
            </w:r>
          </w:p>
        </w:tc>
        <w:tc>
          <w:tcPr>
            <w:tcW w:w="8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380" w:type="dxa"/>
            <w:vAlign w:val="bottom"/>
          </w:tcPr>
          <w:p>
            <w:pPr>
              <w:jc w:val="center"/>
              <w:ind w:left="890"/>
              <w:spacing w:after="0"/>
              <w:rPr>
                <w:sz w:val="20"/>
                <w:szCs w:val="20"/>
                <w:color w:val="auto"/>
              </w:rPr>
            </w:pPr>
            <w:r>
              <w:rPr>
                <w:rFonts w:ascii="Arial" w:cs="Arial" w:eastAsia="Arial" w:hAnsi="Arial"/>
                <w:sz w:val="18"/>
                <w:szCs w:val="18"/>
                <w:b w:val="1"/>
                <w:bCs w:val="1"/>
                <w:color w:val="auto"/>
                <w:w w:val="92"/>
              </w:rPr>
              <w:t>Identification No.)</w:t>
            </w:r>
          </w:p>
        </w:tc>
      </w:tr>
      <w:tr>
        <w:trPr>
          <w:trHeight w:val="941"/>
        </w:trPr>
        <w:tc>
          <w:tcPr>
            <w:tcW w:w="3000" w:type="dxa"/>
            <w:vAlign w:val="bottom"/>
          </w:tcPr>
          <w:p>
            <w:pPr>
              <w:jc w:val="center"/>
              <w:ind w:left="1090"/>
              <w:spacing w:after="0"/>
              <w:rPr>
                <w:sz w:val="20"/>
                <w:szCs w:val="20"/>
                <w:color w:val="auto"/>
              </w:rPr>
            </w:pPr>
            <w:r>
              <w:rPr>
                <w:rFonts w:ascii="Arial" w:cs="Arial" w:eastAsia="Arial" w:hAnsi="Arial"/>
                <w:sz w:val="18"/>
                <w:szCs w:val="18"/>
                <w:b w:val="1"/>
                <w:bCs w:val="1"/>
                <w:color w:val="auto"/>
                <w:w w:val="88"/>
              </w:rPr>
              <w:t>9800 N.W. 41</w:t>
            </w:r>
            <w:r>
              <w:rPr>
                <w:rFonts w:ascii="Arial" w:cs="Arial" w:eastAsia="Arial" w:hAnsi="Arial"/>
                <w:sz w:val="30"/>
                <w:szCs w:val="30"/>
                <w:b w:val="1"/>
                <w:bCs w:val="1"/>
                <w:color w:val="auto"/>
                <w:w w:val="88"/>
                <w:vertAlign w:val="superscript"/>
              </w:rPr>
              <w:t>st</w:t>
            </w:r>
            <w:r>
              <w:rPr>
                <w:rFonts w:ascii="Arial" w:cs="Arial" w:eastAsia="Arial" w:hAnsi="Arial"/>
                <w:sz w:val="18"/>
                <w:szCs w:val="18"/>
                <w:b w:val="1"/>
                <w:bCs w:val="1"/>
                <w:color w:val="auto"/>
                <w:w w:val="88"/>
              </w:rPr>
              <w:t xml:space="preserve"> Street</w:t>
            </w:r>
          </w:p>
        </w:tc>
        <w:tc>
          <w:tcPr>
            <w:tcW w:w="8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34"/>
        </w:trPr>
        <w:tc>
          <w:tcPr>
            <w:tcW w:w="3000" w:type="dxa"/>
            <w:vAlign w:val="bottom"/>
          </w:tcPr>
          <w:p>
            <w:pPr>
              <w:jc w:val="center"/>
              <w:ind w:left="1110"/>
              <w:spacing w:after="0"/>
              <w:rPr>
                <w:sz w:val="20"/>
                <w:szCs w:val="20"/>
                <w:color w:val="auto"/>
              </w:rPr>
            </w:pPr>
            <w:r>
              <w:rPr>
                <w:rFonts w:ascii="Arial" w:cs="Arial" w:eastAsia="Arial" w:hAnsi="Arial"/>
                <w:sz w:val="18"/>
                <w:szCs w:val="18"/>
                <w:b w:val="1"/>
                <w:bCs w:val="1"/>
                <w:color w:val="auto"/>
                <w:w w:val="95"/>
              </w:rPr>
              <w:t>Miami, Florida</w:t>
            </w:r>
          </w:p>
        </w:tc>
        <w:tc>
          <w:tcPr>
            <w:tcW w:w="8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380" w:type="dxa"/>
            <w:vAlign w:val="bottom"/>
          </w:tcPr>
          <w:p>
            <w:pPr>
              <w:jc w:val="right"/>
              <w:ind w:right="1350"/>
              <w:spacing w:after="0"/>
              <w:rPr>
                <w:sz w:val="20"/>
                <w:szCs w:val="20"/>
                <w:color w:val="auto"/>
              </w:rPr>
            </w:pPr>
            <w:r>
              <w:rPr>
                <w:rFonts w:ascii="Arial" w:cs="Arial" w:eastAsia="Arial" w:hAnsi="Arial"/>
                <w:sz w:val="18"/>
                <w:szCs w:val="18"/>
                <w:b w:val="1"/>
                <w:bCs w:val="1"/>
                <w:color w:val="auto"/>
              </w:rPr>
              <w:t>33178</w:t>
            </w:r>
          </w:p>
        </w:tc>
      </w:tr>
      <w:tr>
        <w:trPr>
          <w:trHeight w:val="243"/>
        </w:trPr>
        <w:tc>
          <w:tcPr>
            <w:tcW w:w="7100" w:type="dxa"/>
            <w:vAlign w:val="bottom"/>
            <w:gridSpan w:val="4"/>
          </w:tcPr>
          <w:p>
            <w:pPr>
              <w:jc w:val="center"/>
              <w:ind w:right="292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380" w:type="dxa"/>
            <w:vAlign w:val="bottom"/>
          </w:tcPr>
          <w:p>
            <w:pPr>
              <w:jc w:val="center"/>
              <w:ind w:right="890"/>
              <w:spacing w:after="0"/>
              <w:rPr>
                <w:sz w:val="20"/>
                <w:szCs w:val="20"/>
                <w:color w:val="auto"/>
              </w:rPr>
            </w:pPr>
            <w:r>
              <w:rPr>
                <w:rFonts w:ascii="Arial" w:cs="Arial" w:eastAsia="Arial" w:hAnsi="Arial"/>
                <w:sz w:val="18"/>
                <w:szCs w:val="18"/>
                <w:b w:val="1"/>
                <w:bCs w:val="1"/>
                <w:color w:val="auto"/>
                <w:w w:val="94"/>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4340225</wp:posOffset>
            </wp:positionH>
            <wp:positionV relativeFrom="paragraph">
              <wp:posOffset>-1504315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-1504315</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(305) 428-8000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142240</wp:posOffset>
            </wp:positionV>
            <wp:extent cx="149161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ind w:left="16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sz w:val="24"/>
          <w:szCs w:val="24"/>
          <w:color w:val="auto"/>
        </w:rPr>
      </w:pPr>
    </w:p>
    <w:p>
      <w:pPr>
        <w:ind w:left="16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185" w:lineRule="exact"/>
        <w:rPr>
          <w:sz w:val="24"/>
          <w:szCs w:val="24"/>
          <w:color w:val="auto"/>
        </w:rPr>
      </w:pPr>
    </w:p>
    <w:p>
      <w:pPr>
        <w:ind w:left="16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185" w:lineRule="exact"/>
        <w:rPr>
          <w:sz w:val="24"/>
          <w:szCs w:val="24"/>
          <w:color w:val="auto"/>
        </w:rPr>
      </w:pPr>
    </w:p>
    <w:p>
      <w:pPr>
        <w:ind w:left="16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439420</wp:posOffset>
            </wp:positionV>
            <wp:extent cx="727202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949" w:right="35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20" w:lineRule="exact"/>
        <w:rPr>
          <w:sz w:val="20"/>
          <w:szCs w:val="20"/>
          <w:color w:val="auto"/>
        </w:rPr>
      </w:pPr>
    </w:p>
    <w:p>
      <w:pPr>
        <w:jc w:val="both"/>
        <w:ind w:right="220" w:firstLine="405"/>
        <w:spacing w:after="0" w:line="264" w:lineRule="auto"/>
        <w:rPr>
          <w:sz w:val="20"/>
          <w:szCs w:val="20"/>
          <w:color w:val="auto"/>
        </w:rPr>
      </w:pPr>
      <w:r>
        <w:rPr>
          <w:rFonts w:ascii="Arial" w:cs="Arial" w:eastAsia="Arial" w:hAnsi="Arial"/>
          <w:sz w:val="18"/>
          <w:szCs w:val="18"/>
          <w:color w:val="auto"/>
        </w:rPr>
        <w:t>World Fuel Services Corporation announced today that a wholly-owned subsidiary of the company has signed a definitive agreement to acquire from certain ExxonMobil affiliates their aviation fueling operations at 83 international airport locations. A copy of the press release is attached hereto as Exhibit 99.1.</w:t>
      </w:r>
    </w:p>
    <w:p>
      <w:pPr>
        <w:spacing w:after="0" w:line="141"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860" w:type="dxa"/>
            <w:vAlign w:val="bottom"/>
          </w:tcPr>
          <w:p>
            <w:pPr>
              <w:ind w:left="420"/>
              <w:spacing w:after="0"/>
              <w:rPr>
                <w:sz w:val="20"/>
                <w:szCs w:val="20"/>
                <w:color w:val="auto"/>
              </w:rPr>
            </w:pPr>
            <w:r>
              <w:rPr>
                <w:rFonts w:ascii="Arial" w:cs="Arial" w:eastAsia="Arial" w:hAnsi="Arial"/>
                <w:sz w:val="22"/>
                <w:szCs w:val="22"/>
                <w:color w:val="auto"/>
              </w:rPr>
              <w:t>(d)</w:t>
            </w:r>
          </w:p>
        </w:tc>
        <w:tc>
          <w:tcPr>
            <w:tcW w:w="2020" w:type="dxa"/>
            <w:vAlign w:val="bottom"/>
            <w:gridSpan w:val="3"/>
          </w:tcPr>
          <w:p>
            <w:pPr>
              <w:ind w:left="180"/>
              <w:spacing w:after="0"/>
              <w:rPr>
                <w:sz w:val="20"/>
                <w:szCs w:val="20"/>
                <w:color w:val="auto"/>
              </w:rPr>
            </w:pPr>
            <w:r>
              <w:rPr>
                <w:rFonts w:ascii="Arial" w:cs="Arial" w:eastAsia="Arial" w:hAnsi="Arial"/>
                <w:sz w:val="22"/>
                <w:szCs w:val="22"/>
                <w:color w:val="auto"/>
              </w:rPr>
              <w:t>Exhibits</w:t>
            </w:r>
          </w:p>
        </w:tc>
        <w:tc>
          <w:tcPr>
            <w:tcW w:w="880" w:type="dxa"/>
            <w:vAlign w:val="bottom"/>
          </w:tcPr>
          <w:p>
            <w:pPr>
              <w:spacing w:after="0"/>
              <w:rPr>
                <w:sz w:val="23"/>
                <w:szCs w:val="23"/>
                <w:color w:val="auto"/>
              </w:rPr>
            </w:pPr>
          </w:p>
        </w:tc>
        <w:tc>
          <w:tcPr>
            <w:tcW w:w="7660" w:type="dxa"/>
            <w:vAlign w:val="bottom"/>
          </w:tcPr>
          <w:p>
            <w:pPr>
              <w:spacing w:after="0"/>
              <w:rPr>
                <w:sz w:val="23"/>
                <w:szCs w:val="23"/>
                <w:color w:val="auto"/>
              </w:rPr>
            </w:pPr>
          </w:p>
        </w:tc>
      </w:tr>
      <w:tr>
        <w:trPr>
          <w:trHeight w:val="395"/>
        </w:trPr>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r>
      <w:tr>
        <w:trPr>
          <w:trHeight w:val="264"/>
        </w:trPr>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99.1</w:t>
            </w:r>
          </w:p>
        </w:tc>
        <w:tc>
          <w:tcPr>
            <w:tcW w:w="620" w:type="dxa"/>
            <w:vAlign w:val="bottom"/>
          </w:tcPr>
          <w:p>
            <w:pPr>
              <w:spacing w:after="0"/>
              <w:rPr>
                <w:sz w:val="22"/>
                <w:szCs w:val="22"/>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Press Release, dated February 11, 2016.</w:t>
            </w:r>
          </w:p>
        </w:tc>
      </w:tr>
      <w:tr>
        <w:trPr>
          <w:trHeight w:val="230"/>
        </w:trPr>
        <w:tc>
          <w:tcPr>
            <w:tcW w:w="860" w:type="dxa"/>
            <w:vAlign w:val="bottom"/>
            <w:tcBorders>
              <w:bottom w:val="single" w:sz="8" w:color="9A9A9A"/>
            </w:tcBorders>
          </w:tcPr>
          <w:p>
            <w:pPr>
              <w:spacing w:after="0"/>
              <w:rPr>
                <w:sz w:val="19"/>
                <w:szCs w:val="19"/>
                <w:color w:val="auto"/>
              </w:rPr>
            </w:pPr>
          </w:p>
        </w:tc>
        <w:tc>
          <w:tcPr>
            <w:tcW w:w="520" w:type="dxa"/>
            <w:vAlign w:val="bottom"/>
            <w:tcBorders>
              <w:bottom w:val="single" w:sz="8" w:color="9A9A9A"/>
            </w:tcBorders>
          </w:tcPr>
          <w:p>
            <w:pPr>
              <w:spacing w:after="0"/>
              <w:rPr>
                <w:sz w:val="19"/>
                <w:szCs w:val="19"/>
                <w:color w:val="auto"/>
              </w:rPr>
            </w:pPr>
          </w:p>
        </w:tc>
        <w:tc>
          <w:tcPr>
            <w:tcW w:w="880" w:type="dxa"/>
            <w:vAlign w:val="bottom"/>
            <w:tcBorders>
              <w:bottom w:val="single" w:sz="8" w:color="9A9A9A"/>
            </w:tcBorders>
          </w:tcPr>
          <w:p>
            <w:pPr>
              <w:spacing w:after="0"/>
              <w:rPr>
                <w:sz w:val="19"/>
                <w:szCs w:val="19"/>
                <w:color w:val="auto"/>
              </w:rPr>
            </w:pPr>
          </w:p>
        </w:tc>
        <w:tc>
          <w:tcPr>
            <w:tcW w:w="620" w:type="dxa"/>
            <w:vAlign w:val="bottom"/>
            <w:tcBorders>
              <w:bottom w:val="single" w:sz="8" w:color="9A9A9A"/>
            </w:tcBorders>
          </w:tcPr>
          <w:p>
            <w:pPr>
              <w:spacing w:after="0"/>
              <w:rPr>
                <w:sz w:val="19"/>
                <w:szCs w:val="19"/>
                <w:color w:val="auto"/>
              </w:rPr>
            </w:pPr>
          </w:p>
        </w:tc>
        <w:tc>
          <w:tcPr>
            <w:tcW w:w="880" w:type="dxa"/>
            <w:vAlign w:val="bottom"/>
            <w:tcBorders>
              <w:bottom w:val="single" w:sz="8" w:color="9A9A9A"/>
            </w:tcBorders>
          </w:tcPr>
          <w:p>
            <w:pPr>
              <w:spacing w:after="0"/>
              <w:rPr>
                <w:sz w:val="19"/>
                <w:szCs w:val="19"/>
                <w:color w:val="auto"/>
              </w:rPr>
            </w:pPr>
          </w:p>
        </w:tc>
        <w:tc>
          <w:tcPr>
            <w:tcW w:w="7660" w:type="dxa"/>
            <w:vAlign w:val="bottom"/>
            <w:tcBorders>
              <w:bottom w:val="single" w:sz="8" w:color="9A9A9A"/>
            </w:tcBorders>
          </w:tcPr>
          <w:p>
            <w:pPr>
              <w:spacing w:after="0"/>
              <w:rPr>
                <w:sz w:val="19"/>
                <w:szCs w:val="19"/>
                <w:color w:val="auto"/>
              </w:rPr>
            </w:pPr>
          </w:p>
        </w:tc>
      </w:tr>
      <w:tr>
        <w:trPr>
          <w:trHeight w:val="21"/>
        </w:trPr>
        <w:tc>
          <w:tcPr>
            <w:tcW w:w="86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76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jc w:val="center"/>
        <w:ind w:right="-7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spacing w:after="0"/>
        <w:tabs>
          <w:tab w:leader="none" w:pos="560" w:val="left"/>
          <w:tab w:leader="none" w:pos="5700" w:val="left"/>
        </w:tabs>
        <w:rPr>
          <w:sz w:val="20"/>
          <w:szCs w:val="20"/>
          <w:color w:val="auto"/>
        </w:rPr>
      </w:pPr>
      <w:r>
        <w:rPr>
          <w:rFonts w:ascii="Arial" w:cs="Arial" w:eastAsia="Arial" w:hAnsi="Arial"/>
          <w:sz w:val="18"/>
          <w:szCs w:val="18"/>
          <w:color w:val="auto"/>
        </w:rPr>
        <w:t>Date:</w:t>
        <w:tab/>
        <w:t>February 11, 2016</w:t>
      </w:r>
      <w:r>
        <w:rPr>
          <w:sz w:val="20"/>
          <w:szCs w:val="20"/>
          <w:color w:val="auto"/>
        </w:rPr>
        <w:tab/>
      </w:r>
      <w:r>
        <w:rPr>
          <w:rFonts w:ascii="Arial" w:cs="Arial" w:eastAsia="Arial" w:hAnsi="Arial"/>
          <w:sz w:val="16"/>
          <w:szCs w:val="16"/>
          <w:b w:val="1"/>
          <w:bCs w:val="1"/>
          <w:color w:val="auto"/>
        </w:rPr>
        <w:t>World Fuel Services Corporation</w:t>
      </w:r>
    </w:p>
    <w:p>
      <w:pPr>
        <w:spacing w:after="0" w:line="28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 Alexander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 Alexander Lake</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General Counsel and</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700"/>
          </w:cols>
          <w:pgMar w:left="240" w:top="121" w:right="9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75"/>
        </w:trPr>
        <w:tc>
          <w:tcPr>
            <w:tcW w:w="17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540" w:type="dxa"/>
            <w:vAlign w:val="bottom"/>
          </w:tcPr>
          <w:p>
            <w:pPr>
              <w:ind w:left="2040"/>
              <w:spacing w:after="0"/>
              <w:rPr>
                <w:sz w:val="20"/>
                <w:szCs w:val="20"/>
                <w:color w:val="auto"/>
              </w:rPr>
            </w:pPr>
            <w:r>
              <w:rPr>
                <w:rFonts w:ascii="Arial" w:cs="Arial" w:eastAsia="Arial" w:hAnsi="Arial"/>
                <w:sz w:val="22"/>
                <w:szCs w:val="22"/>
                <w:color w:val="auto"/>
              </w:rPr>
              <w:t>EXHIBIT INDEX</w:t>
            </w:r>
          </w:p>
        </w:tc>
      </w:tr>
      <w:tr>
        <w:trPr>
          <w:trHeight w:val="686"/>
        </w:trPr>
        <w:tc>
          <w:tcPr>
            <w:tcW w:w="1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w:t>
            </w:r>
          </w:p>
        </w:tc>
        <w:tc>
          <w:tcPr>
            <w:tcW w:w="1160" w:type="dxa"/>
            <w:vAlign w:val="bottom"/>
          </w:tcPr>
          <w:p>
            <w:pPr>
              <w:spacing w:after="0"/>
              <w:rPr>
                <w:sz w:val="24"/>
                <w:szCs w:val="24"/>
                <w:color w:val="auto"/>
              </w:rPr>
            </w:pPr>
          </w:p>
        </w:tc>
        <w:tc>
          <w:tcPr>
            <w:tcW w:w="8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r>
      <w:tr>
        <w:trPr>
          <w:trHeight w:val="230"/>
        </w:trPr>
        <w:tc>
          <w:tcPr>
            <w:tcW w:w="1720" w:type="dxa"/>
            <w:vAlign w:val="bottom"/>
          </w:tcPr>
          <w:p>
            <w:pPr>
              <w:spacing w:after="0"/>
              <w:rPr>
                <w:sz w:val="20"/>
                <w:szCs w:val="20"/>
                <w:color w:val="auto"/>
              </w:rPr>
            </w:pPr>
            <w:r>
              <w:rPr>
                <w:rFonts w:ascii="Arial" w:cs="Arial" w:eastAsia="Arial" w:hAnsi="Arial"/>
                <w:sz w:val="18"/>
                <w:szCs w:val="18"/>
                <w:color w:val="auto"/>
              </w:rPr>
              <w:t>99.1</w:t>
            </w:r>
          </w:p>
        </w:tc>
        <w:tc>
          <w:tcPr>
            <w:tcW w:w="116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Press Release, dated February 11, 2016.</w:t>
            </w:r>
          </w:p>
        </w:tc>
      </w:tr>
    </w:tbl>
    <w:p>
      <w:pPr>
        <w:sectPr>
          <w:pgSz w:w="11900" w:h="16838" w:orient="portrait"/>
          <w:cols w:equalWidth="0" w:num="1">
            <w:col w:w="11420"/>
          </w:cols>
          <w:pgMar w:left="240" w:top="118" w:right="239" w:bottom="1440" w:gutter="0" w:footer="0" w:header="0"/>
        </w:sectPr>
      </w:pPr>
    </w:p>
    <w:bookmarkStart w:id="4" w:name="page5"/>
    <w:bookmarkEnd w:id="4"/>
    <w:p>
      <w:pPr>
        <w:ind w:left="10300"/>
        <w:spacing w:after="0"/>
        <w:rPr>
          <w:sz w:val="20"/>
          <w:szCs w:val="20"/>
          <w:color w:val="auto"/>
        </w:rPr>
      </w:pPr>
      <w:r>
        <w:rPr>
          <w:rFonts w:ascii="Arial" w:cs="Arial" w:eastAsia="Arial" w:hAnsi="Arial"/>
          <w:sz w:val="19"/>
          <w:szCs w:val="19"/>
          <w:b w:val="1"/>
          <w:bCs w:val="1"/>
          <w:color w:val="auto"/>
        </w:rPr>
        <w:t>Exhibit 99.1</w:t>
      </w:r>
    </w:p>
    <w:p>
      <w:pPr>
        <w:spacing w:after="0" w:line="241" w:lineRule="exact"/>
        <w:rPr>
          <w:sz w:val="20"/>
          <w:szCs w:val="20"/>
          <w:color w:val="auto"/>
        </w:rPr>
      </w:pPr>
    </w:p>
    <w:p>
      <w:pPr>
        <w:ind w:left="400"/>
        <w:spacing w:after="0"/>
        <w:rPr>
          <w:sz w:val="20"/>
          <w:szCs w:val="20"/>
          <w:color w:val="auto"/>
        </w:rPr>
      </w:pPr>
      <w:r>
        <w:rPr>
          <w:rFonts w:ascii="Arial" w:cs="Arial" w:eastAsia="Arial" w:hAnsi="Arial"/>
          <w:sz w:val="19"/>
          <w:szCs w:val="19"/>
          <w:b w:val="1"/>
          <w:bCs w:val="1"/>
          <w:color w:val="auto"/>
        </w:rPr>
        <w:t>World Fuel Services Corporation to Acquire ExxonMobil Fueling Operations at 83 International Airport Locations</w:t>
      </w:r>
    </w:p>
    <w:p>
      <w:pPr>
        <w:spacing w:after="0" w:line="247" w:lineRule="exact"/>
        <w:rPr>
          <w:sz w:val="20"/>
          <w:szCs w:val="20"/>
          <w:color w:val="auto"/>
        </w:rPr>
      </w:pPr>
    </w:p>
    <w:p>
      <w:pPr>
        <w:ind w:right="20"/>
        <w:spacing w:after="0" w:line="234" w:lineRule="auto"/>
        <w:rPr>
          <w:sz w:val="20"/>
          <w:szCs w:val="20"/>
          <w:color w:val="auto"/>
        </w:rPr>
      </w:pPr>
      <w:r>
        <w:rPr>
          <w:rFonts w:ascii="Arial" w:cs="Arial" w:eastAsia="Arial" w:hAnsi="Arial"/>
          <w:sz w:val="22"/>
          <w:szCs w:val="22"/>
          <w:color w:val="auto"/>
        </w:rPr>
        <w:t>MIAMI--(BUSINESS WIRE)--February 11, 2016--World Fuel Services Corporation (NYSE:INT) announced today that a wholly-owned subsidiary of the company has signed a definitive agreement to acquire from certain ExxonMobil affiliates their aviation fueling operations at 83 airports in Canada, the United Kingdom, Germany, Italy, Australia and New Zealand. Further, an additional three locations in France are expected to be added to the definitive agreement subject to certain required reviews associated with such transaction. The portfolio services the business and commercial aviation sectors and is comprised of certain related on-airport assets and operations. World Fuel will also enter a long-term agreement with Imperial Oil to become a wholesale distributor for general aviation fuel in Canada.</w:t>
      </w:r>
    </w:p>
    <w:p>
      <w:pPr>
        <w:spacing w:after="0" w:line="19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The total purchase price, including the French locations, of approximately US$260 million is expected to be fully funded with cash-on-hand.</w:t>
      </w:r>
    </w:p>
    <w:p>
      <w:pPr>
        <w:spacing w:after="0" w:line="173" w:lineRule="exact"/>
        <w:rPr>
          <w:sz w:val="20"/>
          <w:szCs w:val="20"/>
          <w:color w:val="auto"/>
        </w:rPr>
      </w:pPr>
    </w:p>
    <w:p>
      <w:pPr>
        <w:ind w:right="120"/>
        <w:spacing w:after="0" w:line="328" w:lineRule="auto"/>
        <w:rPr>
          <w:sz w:val="20"/>
          <w:szCs w:val="20"/>
          <w:color w:val="auto"/>
        </w:rPr>
      </w:pPr>
      <w:r>
        <w:rPr>
          <w:rFonts w:ascii="Arial" w:cs="Arial" w:eastAsia="Arial" w:hAnsi="Arial"/>
          <w:sz w:val="19"/>
          <w:szCs w:val="19"/>
          <w:color w:val="auto"/>
        </w:rPr>
        <w:t>The transaction will close in phases, with the majority of locations expected to close during the second half of 2016. The transaction is subject to customary regulatory consents and closing conditions, including securing appropriate third party consents.</w:t>
      </w:r>
    </w:p>
    <w:p>
      <w:pPr>
        <w:spacing w:after="0" w:line="105" w:lineRule="exact"/>
        <w:rPr>
          <w:sz w:val="20"/>
          <w:szCs w:val="20"/>
          <w:color w:val="auto"/>
        </w:rPr>
      </w:pPr>
    </w:p>
    <w:p>
      <w:pPr>
        <w:ind w:right="320"/>
        <w:spacing w:after="0"/>
        <w:rPr>
          <w:sz w:val="20"/>
          <w:szCs w:val="20"/>
          <w:color w:val="auto"/>
        </w:rPr>
      </w:pPr>
      <w:r>
        <w:rPr>
          <w:rFonts w:ascii="Arial" w:cs="Arial" w:eastAsia="Arial" w:hAnsi="Arial"/>
          <w:sz w:val="22"/>
          <w:szCs w:val="22"/>
          <w:color w:val="auto"/>
        </w:rPr>
        <w:t>“This acquisition represents a strategic expansion of our global aviation network, further embedding us in the supply chain, by acquiring best-in-class aircraft fueling operations in multiple key international markets,” stated Michael J. Kasbar, chairman and chief executive officer of World Fuel Services Corporation.</w:t>
      </w:r>
    </w:p>
    <w:p>
      <w:pPr>
        <w:spacing w:after="0" w:line="186" w:lineRule="exact"/>
        <w:rPr>
          <w:sz w:val="20"/>
          <w:szCs w:val="20"/>
          <w:color w:val="auto"/>
        </w:rPr>
      </w:pPr>
    </w:p>
    <w:p>
      <w:pPr>
        <w:ind w:right="260"/>
        <w:spacing w:after="0"/>
        <w:rPr>
          <w:sz w:val="20"/>
          <w:szCs w:val="20"/>
          <w:color w:val="auto"/>
        </w:rPr>
      </w:pPr>
      <w:r>
        <w:rPr>
          <w:rFonts w:ascii="Arial" w:cs="Arial" w:eastAsia="Arial" w:hAnsi="Arial"/>
          <w:sz w:val="22"/>
          <w:szCs w:val="22"/>
          <w:color w:val="auto"/>
        </w:rPr>
        <w:t>“Our strong cash flow profile should enable us to fund this acquisition with cash-on-hand, leaving our existing liquidity facilities available to fund organic growth and additional strategic investments,” said Ira M. Birns, executive vice president and chief financial officer.</w:t>
      </w:r>
    </w:p>
    <w:p>
      <w:pPr>
        <w:spacing w:after="0" w:line="186" w:lineRule="exact"/>
        <w:rPr>
          <w:sz w:val="20"/>
          <w:szCs w:val="20"/>
          <w:color w:val="auto"/>
        </w:rPr>
      </w:pPr>
    </w:p>
    <w:p>
      <w:pPr>
        <w:ind w:right="80"/>
        <w:spacing w:after="0"/>
        <w:rPr>
          <w:sz w:val="20"/>
          <w:szCs w:val="20"/>
          <w:color w:val="auto"/>
        </w:rPr>
      </w:pPr>
      <w:r>
        <w:rPr>
          <w:rFonts w:ascii="Arial" w:cs="Arial" w:eastAsia="Arial" w:hAnsi="Arial"/>
          <w:sz w:val="22"/>
          <w:szCs w:val="22"/>
          <w:color w:val="auto"/>
        </w:rPr>
        <w:t>Excluding the impact of one-time acquisition-related expenses and amortization of acquired intangible assets of approximately $10 million and $7 million respectively, the transaction, including the French locations, is expected to be $0.32 to $0.36 accretive to earnings on a Non-GAAP basis in the first twelve months after full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7272020"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u w:val="single" w:color="auto"/>
          <w:color w:val="auto"/>
        </w:rPr>
        <w:t>Non-GAAP Financial Measures</w:t>
      </w:r>
    </w:p>
    <w:p>
      <w:pPr>
        <w:spacing w:after="0" w:line="207"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color w:val="auto"/>
        </w:rPr>
        <w:t>This press release includes selected financial information that has not been prepared in accordance with accounting principles generally accepted in the United States (“GAAP”). Specifically, we have used non-GAAP accretion to earnings per share, which excludes one-time acquisition-related expenses and amortization of acquired intangible assets, primarily because we do not believe they are reflective of the company’s core operating results. We believe that this non-GAAP financial measure, when considered in conjunction with our financial information prepared in accordance with GAAP, is useful to investors to further aid in evaluating the ongoing financial performance of the Company and to provide greater transparency as supplemental information to our GAAP results. Non-GAAP financial measures should not be considered in isolation from, or as a substitute for, financial information prepared in accordance with GAAP. In addition, our presentation of non-GAAP accretion may not be comparable to the presentation of such metric by other companies. Investors are encouraged to review the reconciliation of this non-GAAP measure to its most directly comparable GAAP financial measure contained in this press release.</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Information Relating to Forward-Looking Statements</w:t>
      </w:r>
    </w:p>
    <w:p>
      <w:pPr>
        <w:spacing w:after="0" w:line="206"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color w:val="auto"/>
        </w:rPr>
        <w:t>This release includes forward-looking statements within the meaning of the Private Securities Litigation Reform Act of 1995, including statements regarding our expectations about the effect of the acquisition on our aviation segment, the addition of the locations in France, our liquidity and our expectations regarding the effect of the transaction on our earnings, the timing for closing and funding of the purchase price. These forward-looking statements are qualified in their entirety by cautionary statements and risk factor disclosures contained in the company’s Securities and Exchange Commission (“SEC”) filings, including the company’s Annual Report on Form 10-K filed with the SEC on February 12, 2015. Actual results may differ materially from any forward-looking statements due to risks and uncertainties, including, but not limited to: our ability to obtain required consents and satisfy closing conditions, our ability to effectively integrate and derive benefits from the acquisition, our ability to capitalize on new market opportunities, potential liabilities, limited indemnities and the extent of any insurance coverage, the outcome of pending litigation and other proceedings, the impact of quarterly fluctuations in results, the creditworthiness of our customers and counterparties and our ability to collect accounts receivable, environmental and other risks associated with the storage, transportation and delivery of petroleum products, our failure to effectively hedge certain financial risks associated with the use of derivatives, non-performance by counterparties or customers on derivatives contracts, loss of, or reduced sales, to a significant government customer, uninsured losses, the failure of fuel and other products we sell to meet specifications, fluctuations in world oil prices or foreign currency, changes in political, economic, regulatory, or environmental conditions, adverse conditions in the markets or industries in which we or our customers and suppliers operate, the impact of natural disasters, adverse results in legal disputes, unanticipated tax liabilities, our ability to retain and attract senior management and other key employees and other risks detailed from time to time in the company’s SEC filings. New risks emerge from time to time and it is not possible for management to predict all such risk factors or to assess the impact of such risks on our business. Accordingly, we undertake no obligation to publicly update or revise any forward-looking statements, whether as a result of new information, changes in expectations, future events, or otherwise.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World Fuel Services Corporation</w:t>
      </w:r>
    </w:p>
    <w:p>
      <w:pPr>
        <w:spacing w:after="0" w:line="206"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Headquartered in Miami, Florida, World Fuel Services is a global fuel logistics, transaction management and payment processing company, principally engaged in the distribution of fuel and related products and services in the aviation, marine and land transportation industries. World Fuel Services sells fuel and delivers services to its clients at more than 8,000 locations in more than 200 countries and territories worldwide.</w:t>
      </w:r>
    </w:p>
    <w:p>
      <w:pPr>
        <w:spacing w:after="0" w:line="185" w:lineRule="exact"/>
        <w:rPr>
          <w:sz w:val="20"/>
          <w:szCs w:val="20"/>
          <w:color w:val="auto"/>
        </w:rPr>
      </w:pPr>
    </w:p>
    <w:p>
      <w:pPr>
        <w:ind w:right="40"/>
        <w:spacing w:after="0" w:line="234" w:lineRule="auto"/>
        <w:rPr>
          <w:sz w:val="20"/>
          <w:szCs w:val="20"/>
          <w:color w:val="auto"/>
        </w:rPr>
      </w:pPr>
      <w:r>
        <w:rPr>
          <w:rFonts w:ascii="Arial" w:cs="Arial" w:eastAsia="Arial" w:hAnsi="Arial"/>
          <w:sz w:val="22"/>
          <w:szCs w:val="22"/>
          <w:color w:val="auto"/>
        </w:rPr>
        <w:t xml:space="preserve">The company's global team of market makers provides deep domain expertise in all aspects of aviation, marine and land fuel management. Aviation customers include commercial airlines, cargo carriers, private aircraft and fixed base operators (FBOs), as well as the United States and foreign governments. World Fuel Services' marine customers include international container and tanker fleets, cruise lines and time-charter operators, as well as the United States and foreign governments. Land customers include petroleum distributors, retail petroleum operators, and industrial, commercial, residential and government accounts. The company also offers transaction management services which consist of card payment solutions and merchant processing services to customers in the aviation, marine and land transportation industries. For more information, call 305-428-8000 or visit </w:t>
      </w:r>
      <w:r>
        <w:rPr>
          <w:rFonts w:ascii="Arial" w:cs="Arial" w:eastAsia="Arial" w:hAnsi="Arial"/>
          <w:sz w:val="22"/>
          <w:szCs w:val="22"/>
          <w:u w:val="single" w:color="auto"/>
          <w:color w:val="auto"/>
        </w:rPr>
        <w:t>www.wfscorp.com</w:t>
      </w:r>
      <w:r>
        <w:rPr>
          <w:rFonts w:ascii="Arial" w:cs="Arial" w:eastAsia="Arial" w:hAnsi="Arial"/>
          <w:sz w:val="22"/>
          <w:szCs w:val="22"/>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World Fuel Services Corporation</w:t>
      </w:r>
    </w:p>
    <w:p>
      <w:pPr>
        <w:spacing w:after="0" w:line="230" w:lineRule="auto"/>
        <w:rPr>
          <w:sz w:val="20"/>
          <w:szCs w:val="20"/>
          <w:color w:val="auto"/>
        </w:rPr>
      </w:pPr>
      <w:r>
        <w:rPr>
          <w:rFonts w:ascii="Arial" w:cs="Arial" w:eastAsia="Arial" w:hAnsi="Arial"/>
          <w:sz w:val="22"/>
          <w:szCs w:val="22"/>
          <w:color w:val="auto"/>
        </w:rPr>
        <w:t>Ira M. Birns, Executive Vice President &amp; Chief Financial Officer</w:t>
      </w:r>
    </w:p>
    <w:p>
      <w:pPr>
        <w:spacing w:after="0" w:line="231"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Glenn Klevitz, 305-428-8000</w:t>
      </w:r>
    </w:p>
    <w:p>
      <w:pPr>
        <w:spacing w:after="0"/>
        <w:rPr>
          <w:sz w:val="20"/>
          <w:szCs w:val="20"/>
          <w:color w:val="auto"/>
        </w:rPr>
      </w:pPr>
      <w:r>
        <w:rPr>
          <w:rFonts w:ascii="Arial" w:cs="Arial" w:eastAsia="Arial" w:hAnsi="Arial"/>
          <w:sz w:val="22"/>
          <w:szCs w:val="22"/>
          <w:color w:val="auto"/>
        </w:rPr>
        <w:t>Vice President, Assistant Treasurer</w:t>
      </w:r>
    </w:p>
    <w:sectPr>
      <w:pgSz w:w="11900" w:h="16838" w:orient="portrait"/>
      <w:cols w:equalWidth="0" w:num="1">
        <w:col w:w="11400"/>
      </w:cols>
      <w:pgMar w:left="240" w:top="11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2019-12-05T18:34:16Z</dcterms:created>
  <dcterms:modified xsi:type="dcterms:W3CDTF">2019-12-05T18:34:16Z</dcterms:modified>
</cp:coreProperties>
</file>