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100" w:right="1900" w:hanging="3004"/>
        <w:spacing w:after="0" w:line="501" w:lineRule="auto"/>
        <w:tabs>
          <w:tab w:leader="none" w:pos="3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81"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6"/>
              </w:rPr>
              <w:t>Florida</w:t>
            </w:r>
          </w:p>
        </w:tc>
        <w:tc>
          <w:tcPr>
            <w:tcW w:w="32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(State or other jurisdiction of</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incorporation or organization)</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12"/>
                <w:szCs w:val="12"/>
                <w:b w:val="1"/>
                <w:bCs w:val="1"/>
                <w:color w:val="auto"/>
                <w:w w:val="91"/>
              </w:rPr>
              <w:t>st</w:t>
            </w:r>
            <w:r>
              <w:rPr>
                <w:rFonts w:ascii="Arial" w:cs="Arial" w:eastAsia="Arial" w:hAnsi="Arial"/>
                <w:sz w:val="18"/>
                <w:szCs w:val="18"/>
                <w:b w:val="1"/>
                <w:bCs w:val="1"/>
                <w:color w:val="auto"/>
                <w:w w:val="91"/>
              </w:rPr>
              <w:t xml:space="preserve"> Street</w:t>
            </w:r>
          </w:p>
        </w:tc>
        <w:tc>
          <w:tcPr>
            <w:tcW w:w="3240" w:type="dxa"/>
            <w:vAlign w:val="bottom"/>
          </w:tcPr>
          <w:p>
            <w:pPr>
              <w:spacing w:after="0"/>
              <w:rPr>
                <w:sz w:val="24"/>
                <w:szCs w:val="24"/>
                <w:color w:val="auto"/>
              </w:rPr>
            </w:pPr>
          </w:p>
        </w:tc>
      </w:t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Miami, Florida</w:t>
            </w: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jc w:val="center"/>
              <w:ind w:left="1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75"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00" w:firstLine="243"/>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left="260"/>
        <w:spacing w:after="0"/>
        <w:rPr>
          <w:sz w:val="20"/>
          <w:szCs w:val="20"/>
          <w:color w:val="auto"/>
        </w:rPr>
      </w:pPr>
      <w:r>
        <w:rPr>
          <w:rFonts w:ascii="Arial" w:cs="Arial" w:eastAsia="Arial" w:hAnsi="Arial"/>
          <w:sz w:val="17"/>
          <w:szCs w:val="17"/>
          <w:color w:val="auto"/>
        </w:rPr>
        <w:t>The registrant had a total of 67,231,043 shares of common stock, par value $0.01 per share, issued and outstanding as of October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0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66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7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2018 and December 31, 2017</w:t>
              </w:r>
            </w:hyperlink>
          </w:p>
        </w:tc>
        <w:tc>
          <w:tcPr>
            <w:tcW w:w="3580" w:type="dxa"/>
            <w:vAlign w:val="bottom"/>
            <w:gridSpan w:val="5"/>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320" w:type="dxa"/>
            <w:vAlign w:val="bottom"/>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for the Three and Nine Months ended September 30, 2018 and</w:t>
              </w:r>
            </w:hyperlink>
          </w:p>
        </w:tc>
        <w:tc>
          <w:tcPr>
            <w:tcW w:w="3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7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Shareholders’ Equity for the Nine Months ended September 30, 2018 and 2017</w:t>
              </w:r>
            </w:hyperlink>
          </w:p>
        </w:tc>
        <w:tc>
          <w:tcPr>
            <w:tcW w:w="1580" w:type="dxa"/>
            <w:vAlign w:val="bottom"/>
            <w:gridSpan w:val="2"/>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September 30, 2018 and 2017</w:t>
              </w:r>
            </w:hyperlink>
          </w:p>
        </w:tc>
        <w:tc>
          <w:tcPr>
            <w:tcW w:w="2260" w:type="dxa"/>
            <w:vAlign w:val="bottom"/>
            <w:gridSpan w:val="3"/>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Consolidated Financial Statements</w:t>
              </w:r>
            </w:hyperlink>
          </w:p>
        </w:tc>
        <w:tc>
          <w:tcPr>
            <w:tcW w:w="5900" w:type="dxa"/>
            <w:vAlign w:val="bottom"/>
            <w:gridSpan w:val="8"/>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40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860" w:type="dxa"/>
            <w:vAlign w:val="bottom"/>
            <w:gridSpan w:val="4"/>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40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7540" w:type="dxa"/>
            <w:vAlign w:val="bottom"/>
            <w:gridSpan w:val="10"/>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520"/>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Other Information</w:t>
              </w:r>
            </w:hyperlink>
          </w:p>
        </w:tc>
        <w:tc>
          <w:tcPr>
            <w:tcW w:w="892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7980" w:type="dxa"/>
            <w:vAlign w:val="bottom"/>
            <w:gridSpan w:val="11"/>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Unregistered Sales of Equity Securities and Use of Proceeds</w:t>
              </w:r>
            </w:hyperlink>
          </w:p>
        </w:tc>
        <w:tc>
          <w:tcPr>
            <w:tcW w:w="4960" w:type="dxa"/>
            <w:vAlign w:val="bottom"/>
            <w:gridSpan w:val="7"/>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932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3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20"/>
        </w:trPr>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0"/>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91"/>
              </w:rPr>
              <w:t>World Fuel Services Corporation</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1"/>
              </w:rPr>
              <w:t>(Unaudited - In millions, except per share data)</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2"/>
                <w:szCs w:val="22"/>
                <w:color w:val="auto"/>
              </w:rPr>
            </w:pPr>
          </w:p>
        </w:tc>
        <w:tc>
          <w:tcPr>
            <w:tcW w:w="1520" w:type="dxa"/>
            <w:vAlign w:val="bottom"/>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372.3</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3,106.9</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2,705.6</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679.3</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505.0</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78.9</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64.4</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258.9</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241.9</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4,327.9</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3,940.4</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338.8</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329.8</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845.5</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485.7</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472.1</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6,008.0</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5,587.8</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35.7</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25.6</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2,785.9</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105.9</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108.3</w:t>
            </w:r>
          </w:p>
        </w:tc>
      </w:tr>
      <w:tr>
        <w:trPr>
          <w:trHeight w:val="270"/>
        </w:trPr>
        <w:tc>
          <w:tcPr>
            <w:tcW w:w="76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344.9</w:t>
            </w:r>
          </w:p>
        </w:tc>
      </w:tr>
      <w:tr>
        <w:trPr>
          <w:trHeight w:val="264"/>
        </w:trPr>
        <w:tc>
          <w:tcPr>
            <w:tcW w:w="7660" w:type="dxa"/>
            <w:vAlign w:val="bottom"/>
            <w:gridSpan w:val="3"/>
          </w:tcPr>
          <w:p>
            <w:pPr>
              <w:ind w:left="2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3,283.4</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2,718.6</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884.6</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186.9</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202.4</w:t>
            </w:r>
          </w:p>
        </w:tc>
      </w:tr>
      <w:tr>
        <w:trPr>
          <w:trHeight w:val="270"/>
        </w:trPr>
        <w:tc>
          <w:tcPr>
            <w:tcW w:w="76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r>
      <w:tr>
        <w:trPr>
          <w:trHeight w:val="30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4,226.8</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3,849.8</w:t>
            </w:r>
          </w:p>
        </w:tc>
      </w:tr>
      <w:tr>
        <w:trPr>
          <w:trHeight w:val="25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World Fuel shareholders' equity:</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4"/>
              </w:rPr>
              <w:t>Common stock, $0.01 par value; 100.0 shares authorized, 67.0 and 67.7 issued and outstanding as of September 30, 2018 and</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4"/>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December 31, 2017, respectively</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Capital in excess of par value</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340.8</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354.9</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1,492.8</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(156.7)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World Fuel shareholders' equity</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1,765.2</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1,721.9</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1,781.2</w:t>
            </w:r>
          </w:p>
        </w:tc>
        <w:tc>
          <w:tcPr>
            <w:tcW w:w="5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1,738.0</w:t>
            </w:r>
          </w:p>
        </w:tc>
      </w:tr>
      <w:tr>
        <w:trPr>
          <w:trHeight w:val="26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6,008.0</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5,587.8</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For the Three Months Ended</w:t>
      </w:r>
    </w:p>
    <w:p>
      <w:pPr>
        <w:spacing w:after="0" w:line="121"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23495</wp:posOffset>
            </wp:positionV>
            <wp:extent cx="1981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03" w:lineRule="exact"/>
        <w:rPr>
          <w:sz w:val="20"/>
          <w:szCs w:val="20"/>
          <w:color w:val="auto"/>
        </w:rPr>
      </w:pPr>
    </w:p>
    <w:p>
      <w:pPr>
        <w:ind w:left="5880"/>
        <w:spacing w:after="0"/>
        <w:tabs>
          <w:tab w:leader="none" w:pos="74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560"/>
        <w:spacing w:after="0"/>
        <w:rPr>
          <w:sz w:val="20"/>
          <w:szCs w:val="20"/>
          <w:color w:val="auto"/>
        </w:rPr>
      </w:pPr>
      <w:r>
        <w:rPr>
          <w:rFonts w:ascii="Arial" w:cs="Arial" w:eastAsia="Arial" w:hAnsi="Arial"/>
          <w:sz w:val="13"/>
          <w:szCs w:val="13"/>
          <w:b w:val="1"/>
          <w:bCs w:val="1"/>
          <w:color w:val="auto"/>
        </w:rPr>
        <w:t>For the Nine Months Ended</w:t>
      </w:r>
    </w:p>
    <w:p>
      <w:pPr>
        <w:spacing w:after="0" w:line="121"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23495</wp:posOffset>
            </wp:positionV>
            <wp:extent cx="1852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48" w:lineRule="exact"/>
        <w:rPr>
          <w:sz w:val="20"/>
          <w:szCs w:val="20"/>
          <w:color w:val="auto"/>
        </w:rPr>
      </w:pPr>
    </w:p>
    <w:p>
      <w:pPr>
        <w:sectPr>
          <w:pgSz w:w="11900" w:h="16838" w:orient="portrait"/>
          <w:cols w:equalWidth="0" w:num="2">
            <w:col w:w="8360" w:space="720"/>
            <w:col w:w="23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5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60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10,429.5</w:t>
            </w:r>
          </w:p>
        </w:tc>
        <w:tc>
          <w:tcPr>
            <w:tcW w:w="6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8,543.0</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29,761.7</w:t>
            </w:r>
          </w:p>
        </w:tc>
        <w:tc>
          <w:tcPr>
            <w:tcW w:w="48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24,823.4</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10,162.8</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8,303.1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29,005.4</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24,121.1</w:t>
            </w:r>
          </w:p>
        </w:tc>
      </w:tr>
      <w:tr>
        <w:trPr>
          <w:trHeight w:val="264"/>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266.7</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756.3</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702.3</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117.9</w:t>
            </w: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342.0</w:t>
            </w: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314.5</w:t>
            </w:r>
          </w:p>
        </w:tc>
      </w:tr>
      <w:tr>
        <w:trPr>
          <w:trHeight w:val="264"/>
        </w:trPr>
        <w:tc>
          <w:tcPr>
            <w:tcW w:w="5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70.6</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217.8</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225.0</w:t>
            </w:r>
          </w:p>
        </w:tc>
      </w:tr>
      <w:tr>
        <w:trPr>
          <w:trHeight w:val="264"/>
        </w:trPr>
        <w:tc>
          <w:tcPr>
            <w:tcW w:w="5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188.5</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559.8</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539.5</w:t>
            </w:r>
          </w:p>
        </w:tc>
      </w:tr>
      <w:tr>
        <w:trPr>
          <w:trHeight w:val="264"/>
        </w:trPr>
        <w:tc>
          <w:tcPr>
            <w:tcW w:w="51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78.2</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196.4</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6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6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(42.2)</w:t>
            </w:r>
          </w:p>
        </w:tc>
      </w:tr>
      <w:tr>
        <w:trPr>
          <w:trHeight w:val="270"/>
        </w:trPr>
        <w:tc>
          <w:tcPr>
            <w:tcW w:w="5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6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6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4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64"/>
        </w:trPr>
        <w:tc>
          <w:tcPr>
            <w:tcW w:w="5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61.8</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142.0</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23.0</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42.7</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92.2</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38.7</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99.2</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World Fuel</w:t>
            </w:r>
          </w:p>
        </w:tc>
        <w:tc>
          <w:tcPr>
            <w:tcW w:w="6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38.2</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98.1</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6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0.57</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67.5</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67.5</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6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0.56</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67.7</w:t>
            </w: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67.8</w:t>
            </w: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68.6</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6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38.7</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99.2</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23.4</w:t>
            </w: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6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6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4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29.8</w:t>
            </w:r>
          </w:p>
        </w:tc>
      </w:tr>
      <w:tr>
        <w:trPr>
          <w:trHeight w:val="163"/>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Cash flow hedges, net of income tax benefit of $3.5 and $5.5 for the three months</w:t>
            </w:r>
          </w:p>
        </w:tc>
        <w:tc>
          <w:tcPr>
            <w:tcW w:w="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49"/>
        </w:trPr>
        <w:tc>
          <w:tcPr>
            <w:tcW w:w="5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ended September 30, 2018 and 2017, respectively, and net of income tax benefit of</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9"/>
        </w:trPr>
        <w:tc>
          <w:tcPr>
            <w:tcW w:w="5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$5.2 and income tax expense of $1.1 for the nine months ended September 30, 2018</w:t>
            </w: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88"/>
        </w:trPr>
        <w:tc>
          <w:tcPr>
            <w:tcW w:w="5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and 2017, respectively</w:t>
            </w: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5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(loss) including noncontrolling interest</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28.5</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67.8</w:t>
            </w: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0.1</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World Fuel</w:t>
            </w:r>
          </w:p>
        </w:tc>
        <w:tc>
          <w:tcPr>
            <w:tcW w:w="6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28.4</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69.1</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50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94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0"/>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94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World Fuel</w:t>
            </w:r>
          </w:p>
        </w:tc>
        <w:tc>
          <w:tcPr>
            <w:tcW w:w="180" w:type="dxa"/>
            <w:vAlign w:val="bottom"/>
          </w:tcPr>
          <w:p>
            <w:pPr>
              <w:spacing w:after="0"/>
              <w:rPr>
                <w:sz w:val="12"/>
                <w:szCs w:val="12"/>
                <w:color w:val="auto"/>
              </w:rPr>
            </w:pPr>
          </w:p>
        </w:tc>
        <w:tc>
          <w:tcPr>
            <w:tcW w:w="102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0"/>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680" w:type="dxa"/>
            <w:vAlign w:val="bottom"/>
          </w:tcPr>
          <w:p>
            <w:pPr>
              <w:jc w:val="right"/>
              <w:ind w:right="110"/>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80" w:type="dxa"/>
            <w:vAlign w:val="bottom"/>
          </w:tcPr>
          <w:p>
            <w:pPr>
              <w:spacing w:after="0"/>
              <w:rPr>
                <w:sz w:val="9"/>
                <w:szCs w:val="9"/>
                <w:color w:val="auto"/>
              </w:rPr>
            </w:pPr>
          </w:p>
        </w:tc>
        <w:tc>
          <w:tcPr>
            <w:tcW w:w="94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180" w:type="dxa"/>
            <w:vAlign w:val="bottom"/>
          </w:tcPr>
          <w:p>
            <w:pPr>
              <w:spacing w:after="0"/>
              <w:rPr>
                <w:sz w:val="9"/>
                <w:szCs w:val="9"/>
                <w:color w:val="auto"/>
              </w:rPr>
            </w:pPr>
          </w:p>
        </w:tc>
        <w:tc>
          <w:tcPr>
            <w:tcW w:w="1020" w:type="dxa"/>
            <w:vAlign w:val="bottom"/>
          </w:tcPr>
          <w:p>
            <w:pPr>
              <w:jc w:val="center"/>
              <w:ind w:right="90"/>
              <w:spacing w:after="0" w:line="110" w:lineRule="exact"/>
              <w:rPr>
                <w:sz w:val="20"/>
                <w:szCs w:val="20"/>
                <w:color w:val="auto"/>
              </w:rPr>
            </w:pPr>
            <w:r>
              <w:rPr>
                <w:rFonts w:ascii="Arial" w:cs="Arial" w:eastAsia="Arial" w:hAnsi="Arial"/>
                <w:sz w:val="12"/>
                <w:szCs w:val="12"/>
                <w:b w:val="1"/>
                <w:bCs w:val="1"/>
                <w:color w:val="auto"/>
                <w:w w:val="96"/>
              </w:rPr>
              <w:t>Interest</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December 31, 2017</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67.7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1,492.8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(126.5)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1,721.9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1,738.0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98.1</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98.1</w:t>
            </w:r>
          </w:p>
        </w:tc>
        <w:tc>
          <w:tcPr>
            <w:tcW w:w="18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(12.1)</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w w:val="97"/>
              </w:rPr>
              <w:t>Amortization of share-based payment awards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8.0</w:t>
            </w:r>
          </w:p>
        </w:tc>
        <w:tc>
          <w:tcPr>
            <w:tcW w:w="18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common stock related to share-</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based payment awards</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00"/>
              <w:spacing w:after="0" w:line="149" w:lineRule="exact"/>
              <w:rPr>
                <w:sz w:val="20"/>
                <w:szCs w:val="20"/>
                <w:color w:val="auto"/>
              </w:rPr>
            </w:pPr>
            <w:r>
              <w:rPr>
                <w:rFonts w:ascii="Arial" w:cs="Arial" w:eastAsia="Arial" w:hAnsi="Arial"/>
                <w:sz w:val="14"/>
                <w:szCs w:val="14"/>
                <w:color w:val="auto"/>
                <w:w w:val="98"/>
              </w:rPr>
              <w:t>employees to satisfy the required withholding</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(30.2)</w:t>
            </w:r>
          </w:p>
        </w:tc>
        <w:tc>
          <w:tcPr>
            <w:tcW w:w="1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(30.2)</w:t>
            </w:r>
          </w:p>
        </w:tc>
        <w:tc>
          <w:tcPr>
            <w:tcW w:w="1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5"/>
              </w:rPr>
              <w:t>Reclassification of certain tax effects from U.S.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Tax Reform</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Balance as of September 30, 2018</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340.8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1,580.4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(156.7)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1,765.2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1,781.2</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50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94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50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30"/>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940" w:type="dxa"/>
            <w:vAlign w:val="bottom"/>
          </w:tcPr>
          <w:p>
            <w:pPr>
              <w:jc w:val="center"/>
              <w:ind w:right="91"/>
              <w:spacing w:after="0" w:line="140" w:lineRule="exact"/>
              <w:rPr>
                <w:sz w:val="20"/>
                <w:szCs w:val="20"/>
                <w:color w:val="auto"/>
              </w:rPr>
            </w:pPr>
            <w:r>
              <w:rPr>
                <w:rFonts w:ascii="Arial" w:cs="Arial" w:eastAsia="Arial" w:hAnsi="Arial"/>
                <w:sz w:val="13"/>
                <w:szCs w:val="13"/>
                <w:b w:val="1"/>
                <w:bCs w:val="1"/>
                <w:color w:val="auto"/>
                <w:w w:val="92"/>
              </w:rPr>
              <w:t>World Fuel</w:t>
            </w:r>
          </w:p>
        </w:tc>
        <w:tc>
          <w:tcPr>
            <w:tcW w:w="180" w:type="dxa"/>
            <w:vAlign w:val="bottom"/>
          </w:tcPr>
          <w:p>
            <w:pPr>
              <w:spacing w:after="0"/>
              <w:rPr>
                <w:sz w:val="12"/>
                <w:szCs w:val="12"/>
                <w:color w:val="auto"/>
              </w:rPr>
            </w:pPr>
          </w:p>
        </w:tc>
        <w:tc>
          <w:tcPr>
            <w:tcW w:w="102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30"/>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680" w:type="dxa"/>
            <w:vAlign w:val="bottom"/>
          </w:tcPr>
          <w:p>
            <w:pPr>
              <w:jc w:val="right"/>
              <w:ind w:right="110"/>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80" w:type="dxa"/>
            <w:vAlign w:val="bottom"/>
          </w:tcPr>
          <w:p>
            <w:pPr>
              <w:spacing w:after="0"/>
              <w:rPr>
                <w:sz w:val="9"/>
                <w:szCs w:val="9"/>
                <w:color w:val="auto"/>
              </w:rPr>
            </w:pPr>
          </w:p>
        </w:tc>
        <w:tc>
          <w:tcPr>
            <w:tcW w:w="940" w:type="dxa"/>
            <w:vAlign w:val="bottom"/>
          </w:tcPr>
          <w:p>
            <w:pPr>
              <w:jc w:val="center"/>
              <w:ind w:right="91"/>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180" w:type="dxa"/>
            <w:vAlign w:val="bottom"/>
          </w:tcPr>
          <w:p>
            <w:pPr>
              <w:spacing w:after="0"/>
              <w:rPr>
                <w:sz w:val="9"/>
                <w:szCs w:val="9"/>
                <w:color w:val="auto"/>
              </w:rPr>
            </w:pPr>
          </w:p>
        </w:tc>
        <w:tc>
          <w:tcPr>
            <w:tcW w:w="1020" w:type="dxa"/>
            <w:vAlign w:val="bottom"/>
          </w:tcPr>
          <w:p>
            <w:pPr>
              <w:jc w:val="center"/>
              <w:ind w:right="90"/>
              <w:spacing w:after="0" w:line="110" w:lineRule="exact"/>
              <w:rPr>
                <w:sz w:val="20"/>
                <w:szCs w:val="20"/>
                <w:color w:val="auto"/>
              </w:rPr>
            </w:pPr>
            <w:r>
              <w:rPr>
                <w:rFonts w:ascii="Arial" w:cs="Arial" w:eastAsia="Arial" w:hAnsi="Arial"/>
                <w:sz w:val="12"/>
                <w:szCs w:val="12"/>
                <w:b w:val="1"/>
                <w:bCs w:val="1"/>
                <w:color w:val="auto"/>
                <w:w w:val="96"/>
              </w:rPr>
              <w:t>Interest</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Balance as of December 31, 2016</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399.9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1,679.3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1,925.0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1,940.0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22.8</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22.8</w:t>
            </w:r>
          </w:p>
        </w:tc>
        <w:tc>
          <w:tcPr>
            <w:tcW w:w="18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22"/>
                <w:szCs w:val="22"/>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(8.2)</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7"/>
              </w:rPr>
              <w:t>Amortization of share-based payment awards</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15.3</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15.3</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3080" w:type="dxa"/>
            <w:vAlign w:val="bottom"/>
          </w:tcPr>
          <w:p>
            <w:pPr>
              <w:ind w:left="300"/>
              <w:spacing w:after="0" w:line="157" w:lineRule="exact"/>
              <w:rPr>
                <w:sz w:val="20"/>
                <w:szCs w:val="20"/>
                <w:color w:val="auto"/>
              </w:rPr>
            </w:pPr>
            <w:r>
              <w:rPr>
                <w:rFonts w:ascii="Arial" w:cs="Arial" w:eastAsia="Arial" w:hAnsi="Arial"/>
                <w:sz w:val="14"/>
                <w:szCs w:val="14"/>
                <w:color w:val="auto"/>
                <w:w w:val="94"/>
              </w:rPr>
              <w:t>Cancellation of common stock related to share-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300"/>
              <w:spacing w:after="0"/>
              <w:rPr>
                <w:sz w:val="20"/>
                <w:szCs w:val="20"/>
                <w:color w:val="auto"/>
              </w:rPr>
            </w:pPr>
            <w:r>
              <w:rPr>
                <w:rFonts w:ascii="Arial" w:cs="Arial" w:eastAsia="Arial" w:hAnsi="Arial"/>
                <w:sz w:val="14"/>
                <w:szCs w:val="14"/>
                <w:color w:val="auto"/>
              </w:rPr>
              <w:t>based payment awards</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8"/>
              </w:rPr>
              <w:t>employees to satisfy the required withholding</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7"/>
              </w:rPr>
              <w:t>taxes related to share-based payment awards</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3080" w:type="dxa"/>
            <w:vAlign w:val="bottom"/>
          </w:tcPr>
          <w:p>
            <w:pPr>
              <w:ind w:left="30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(61.9)</w:t>
            </w:r>
          </w:p>
        </w:tc>
        <w:tc>
          <w:tcPr>
            <w:tcW w:w="2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(61.9)</w:t>
            </w:r>
          </w:p>
        </w:tc>
        <w:tc>
          <w:tcPr>
            <w:tcW w:w="18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Other comprehensive income</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30.0</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30.0</w:t>
            </w: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Balance as of September 30, 2017</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349.3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1,693.9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1,919.0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1,935.8</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Nine Months Ended</w:t>
      </w:r>
    </w:p>
    <w:p>
      <w:pPr>
        <w:spacing w:after="0" w:line="10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75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99.2</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59.0</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64.1</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76.9</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Deferred income tax benefit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losses, net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Other</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157"/>
        </w:trPr>
        <w:tc>
          <w:tcPr>
            <w:tcW w:w="7660" w:type="dxa"/>
            <w:vAlign w:val="bottom"/>
          </w:tcPr>
          <w:p>
            <w:pPr>
              <w:ind w:left="380"/>
              <w:spacing w:after="0" w:line="157" w:lineRule="exact"/>
              <w:rPr>
                <w:sz w:val="20"/>
                <w:szCs w:val="20"/>
                <w:color w:val="auto"/>
              </w:rPr>
            </w:pPr>
            <w:r>
              <w:rPr>
                <w:rFonts w:ascii="Arial" w:cs="Arial" w:eastAsia="Arial" w:hAnsi="Arial"/>
                <w:sz w:val="14"/>
                <w:szCs w:val="14"/>
                <w:color w:val="auto"/>
                <w:w w:val="99"/>
              </w:rPr>
              <w:t>Accounts receivable, net (reduced by beneficial interests received in exchange for accounts receivables sold of $109.3</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49"/>
        </w:trPr>
        <w:tc>
          <w:tcPr>
            <w:tcW w:w="7660" w:type="dxa"/>
            <w:vAlign w:val="bottom"/>
          </w:tcPr>
          <w:p>
            <w:pPr>
              <w:ind w:left="380"/>
              <w:spacing w:after="0" w:line="149" w:lineRule="exact"/>
              <w:rPr>
                <w:sz w:val="20"/>
                <w:szCs w:val="20"/>
                <w:color w:val="auto"/>
              </w:rPr>
            </w:pPr>
            <w:r>
              <w:rPr>
                <w:rFonts w:ascii="Arial" w:cs="Arial" w:eastAsia="Arial" w:hAnsi="Arial"/>
                <w:sz w:val="14"/>
                <w:szCs w:val="14"/>
                <w:color w:val="auto"/>
                <w:w w:val="97"/>
              </w:rPr>
              <w:t>million and $82.1 million for the three months ended September 30, 2018 and 2017, respectively, and $353.0 million and</w:t>
            </w: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8"/>
        </w:trPr>
        <w:tc>
          <w:tcPr>
            <w:tcW w:w="7660" w:type="dxa"/>
            <w:vAlign w:val="bottom"/>
          </w:tcPr>
          <w:p>
            <w:pPr>
              <w:ind w:left="380"/>
              <w:spacing w:after="0"/>
              <w:rPr>
                <w:sz w:val="20"/>
                <w:szCs w:val="20"/>
                <w:color w:val="auto"/>
              </w:rPr>
            </w:pPr>
            <w:r>
              <w:rPr>
                <w:rFonts w:ascii="Arial" w:cs="Arial" w:eastAsia="Arial" w:hAnsi="Arial"/>
                <w:sz w:val="14"/>
                <w:szCs w:val="14"/>
                <w:color w:val="auto"/>
              </w:rPr>
              <w:t>$239.2 million for the nine months ended September 30, 2018 and 2017, respectively.)</w:t>
            </w:r>
          </w:p>
        </w:tc>
        <w:tc>
          <w:tcPr>
            <w:tcW w:w="114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(775.5)</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(492.6)</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Prepaid expenses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(36.9)</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554.0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253.7</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Customer deposits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6.4</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r>
      <w:tr>
        <w:trPr>
          <w:trHeight w:val="264"/>
        </w:trPr>
        <w:tc>
          <w:tcPr>
            <w:tcW w:w="76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adjustments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(415.2)</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operating activities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(316.0)</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357.5</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236.3</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investing activities, net</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provided by investing activities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299.0</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103.4</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Borrowings of debt</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4,663.5</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3,500.1</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(4,841.2)</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(3,492.6)</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Dividends paid on common stock</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63"/>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Purchases of common stock tendered by employees to satisfy the required withholding taxes related to share-based payment</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94"/>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5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Purchases of common stock</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(212.0)</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Net decrease in cash and cash equivalents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(230.3)</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(152.6)</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372.3</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698.6</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142.1</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546.0</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25" w:right="259" w:bottom="9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935"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$4.1 million as of September 30,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Beneficial interests obtained in exchange for accounts receivable sold were $353.0 million and $239.2 million as of September 30, 2018 and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11"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("10-Q Report") as “World Fuel,” “we,” “our” and “us.”</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marine and land transportation industries.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prepared the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2017 Annual Report on Form 10-K (“2017 10-K Report”). Certain amounts in the consolidated financial statements and associated notes may not add due to rounding. All percentages have been calculated using unrounded amounts.</w:t>
      </w:r>
    </w:p>
    <w:p>
      <w:pPr>
        <w:spacing w:after="0" w:line="193"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There have been no significant changes, other than those related to the adopted new accounting standards below, in the Company's accounting policies from those disclosed in our 2017 10</w:t>
      </w:r>
      <w:r>
        <w:rPr>
          <w:rFonts w:ascii="MS PGothic" w:cs="MS PGothic" w:eastAsia="MS PGothic" w:hAnsi="MS PGothic"/>
          <w:sz w:val="17"/>
          <w:szCs w:val="17"/>
          <w:color w:val="auto"/>
        </w:rPr>
        <w:t>‑</w:t>
      </w:r>
      <w:r>
        <w:rPr>
          <w:rFonts w:ascii="Arial" w:cs="Arial" w:eastAsia="Arial" w:hAnsi="Arial"/>
          <w:sz w:val="17"/>
          <w:szCs w:val="17"/>
          <w:color w:val="auto"/>
        </w:rPr>
        <w:t>K Report. The significant accounting policies we use for quarterly financial reporting are disclosed in Note 1 of the “Notes to the Consolidated Financial Statements” included in our 2017 10</w:t>
      </w:r>
      <w:r>
        <w:rPr>
          <w:rFonts w:ascii="MS PGothic" w:cs="MS PGothic" w:eastAsia="MS PGothic" w:hAnsi="MS PGothic"/>
          <w:sz w:val="17"/>
          <w:szCs w:val="17"/>
          <w:color w:val="auto"/>
        </w:rPr>
        <w:t>‑</w:t>
      </w:r>
      <w:r>
        <w:rPr>
          <w:rFonts w:ascii="Arial" w:cs="Arial" w:eastAsia="Arial" w:hAnsi="Arial"/>
          <w:sz w:val="17"/>
          <w:szCs w:val="17"/>
          <w:color w:val="auto"/>
        </w:rPr>
        <w:t>K Report, and in the adopted accounting standards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Revenue Recognition (Topic 606): Revenue from Contracts with Customers. </w:t>
      </w:r>
      <w:r>
        <w:rPr>
          <w:rFonts w:ascii="Arial" w:cs="Arial" w:eastAsia="Arial" w:hAnsi="Arial"/>
          <w:sz w:val="16"/>
          <w:szCs w:val="16"/>
          <w:color w:val="auto"/>
        </w:rPr>
        <w:t>In May 2014, ASU 2014-09 was issued. Under this ASU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amendments, we recognize the amount of revenue when delivery is made and our customer obtains control, and we are entitled to compensation for performance completed. The updated standard replaced most existing revenue recognition guidance in U.S. GAAP. We adopted this standard as of January 1, 2018 using the modified retrospective adoption approach, and elected to apply it only to those contracts that were not considered completed contracts as of this adoption date. This approach required us to recognize the cumulative effect of initially applying the new standard as an adjustment to the opening balance of retained earnings. This cumulative adjustment did not have a material impact on our financial statements.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Statement - Reporting Comprehensive Income (Topic 220). </w:t>
      </w:r>
      <w:r>
        <w:rPr>
          <w:rFonts w:ascii="Arial" w:cs="Arial" w:eastAsia="Arial" w:hAnsi="Arial"/>
          <w:sz w:val="18"/>
          <w:szCs w:val="18"/>
          <w:color w:val="auto"/>
        </w:rPr>
        <w:t>In February 2018, ASU 2018-02, Reclassification of Certain Tax Effects from</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was issued. ASU 2018-02 provides the option to reclassify stranded tax effects within AOCI to retained earnings in each period in which the effect of the change in the U.S. federal corporate tax rate in the U.S. Tax Cuts and Jobs Act ("Tax Reform Act") is recorded. ASU 2018-02 is effective for fiscal years beginning after December 15, 2018, and interim periods within those years. Early adoption is permitted. This updated standard allows for adoption in the period of adoption or retrospectively to each period in which the effect of the change in the U.S. federal corporate income tax rate in the Tax Reform Act is recognized. We adopted this updated standard in the first quarter of 2018, and subsequently reclassified the tax rate disparity to retained earnings.</w:t>
      </w:r>
    </w:p>
    <w:p>
      <w:pPr>
        <w:spacing w:after="0" w:line="18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Intangibles-Goodwill and Other-Internal-Use Software (Subtopic 350-40)</w:t>
      </w:r>
      <w:r>
        <w:rPr>
          <w:rFonts w:ascii="Arial" w:cs="Arial" w:eastAsia="Arial" w:hAnsi="Arial"/>
          <w:sz w:val="16"/>
          <w:szCs w:val="16"/>
          <w:color w:val="auto"/>
        </w:rPr>
        <w:t>. In August 2018, ASU 2018-15, Customer’s Accounting for Implementation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in a Cloud Computing Arrangement That Is a Service Contract, was issued. The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standard also requires the entity (customer) to expense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capitalized implementation costs over the term of the hosting arrangement. We early adopted this updated standard, which did not have a material impact on our consolidated financial statements.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(Topic 740). </w:t>
      </w:r>
      <w:r>
        <w:rPr>
          <w:rFonts w:ascii="Arial" w:cs="Arial" w:eastAsia="Arial" w:hAnsi="Arial"/>
          <w:sz w:val="18"/>
          <w:szCs w:val="18"/>
          <w:color w:val="auto"/>
        </w:rPr>
        <w:t>In March 2018, ASU 2018-05, Amendments to SEC Paragraphs Pursuant to SEC Staff Accounting Bulletin No. 118,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2018-05 amends certain SEC material in Topic 740 for the income tax accounting implications of the recently issued U.S. Tax Cuts and Jobs Act ("Tax Reform Act"). We have adopted these amendments and where the accounting under Topic 740 is incomplete for certain specific income tax effects of the Tax Reform Act, we reported provisional amounts.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 The update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with the objective of adding guidance to assist entities with evaluating whether transactions should be accounted for as acquisitions (or disposals) of businesses after adoption. This standard was effective at the beginning of our 2018 fiscal year and did not have a material impact on our consolidated financial statements and disclosures.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Derivatives and Hedging (Topic 815): Targeted Improvements to Accounting for Hedging Activities. </w:t>
      </w:r>
      <w:r>
        <w:rPr>
          <w:rFonts w:ascii="Arial" w:cs="Arial" w:eastAsia="Arial" w:hAnsi="Arial"/>
          <w:sz w:val="17"/>
          <w:szCs w:val="17"/>
          <w:color w:val="auto"/>
        </w:rPr>
        <w:t>In August 2017, ASU 2017-12 was issued. The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targeted at simplifying hedge accounting requirements, creating more transparency around how economic results are presented and disclosed on the consolidated financial statements and accompanying footnote disclosures. We early adopted this updated standard, which did not have a material impact on our consolidated financial statements. We have provided updated disclosures in </w:t>
      </w:r>
      <w:r>
        <w:rPr>
          <w:rFonts w:ascii="Arial" w:cs="Arial" w:eastAsia="Arial" w:hAnsi="Arial"/>
          <w:sz w:val="17"/>
          <w:szCs w:val="17"/>
          <w:i w:val="1"/>
          <w:iCs w:val="1"/>
          <w:color w:val="auto"/>
        </w:rPr>
        <w:t>Note 3. Derivatives.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Cash Flows: Statement of Cash Flows (Topic 230): Classification of Certain Cash Receipts and Cash Payments. </w:t>
      </w:r>
      <w:r>
        <w:rPr>
          <w:rFonts w:ascii="Arial" w:cs="Arial" w:eastAsia="Arial" w:hAnsi="Arial"/>
          <w:sz w:val="16"/>
          <w:szCs w:val="16"/>
          <w:color w:val="auto"/>
        </w:rPr>
        <w:t>In August 2016, ASU 2016-15 was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The ASU provides guidance on classification of eight specific cash flows items. This standard is effective at the beginning of our 2018 fiscal year and we have provided an updated line item attributable to retained beneficial interests associated with our receivables purchase agreements on our consolidated statements of cash flows. The adoption resulted in a $236.3 million retrospective reclassification of the beneficial interest received in exchange for accounts receivable sales for the nine months ended September 30, 2017 from cash flows from operating activities to cash flows from investing activities.</w:t>
      </w:r>
    </w:p>
    <w:p>
      <w:pPr>
        <w:spacing w:after="0" w:line="1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Taxes (Topic 740): Intra-Entity Transfers of Assets Other than Inventory. </w:t>
      </w:r>
      <w:r>
        <w:rPr>
          <w:rFonts w:ascii="Arial" w:cs="Arial" w:eastAsia="Arial" w:hAnsi="Arial"/>
          <w:sz w:val="16"/>
          <w:szCs w:val="16"/>
          <w:color w:val="auto"/>
        </w:rPr>
        <w:t>In October 2016, ASU 2016-16 was issued. The update prohibits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of current and deferred income taxes for an intra-entity asset transfer until the asset has been sold to an outside party. This standard is effective at the beginning of our 2018 fiscal year. The adoption of this ASU did not have a material impact on our consolidated financial statements and disclosures.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Flows: Statement of Cash Flows (Topic 230): Restricted Cash. </w:t>
      </w:r>
      <w:r>
        <w:rPr>
          <w:rFonts w:ascii="Arial" w:cs="Arial" w:eastAsia="Arial" w:hAnsi="Arial"/>
          <w:sz w:val="18"/>
          <w:szCs w:val="18"/>
          <w:color w:val="auto"/>
        </w:rPr>
        <w:t>In November 2016, ASU 2016-18 was issued. The update requires that a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explain the change during the period in the total of cash, cash equivalents, and amounts generally described as restricted cash or restricted cash equivalents. This standard is effective at the beginning of our 2018 fiscal year. The adoption of this ASU did not have a material impact on our consolidated financial statements and disclosures.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Leases (Topic 842). </w:t>
      </w:r>
      <w:r>
        <w:rPr>
          <w:rFonts w:ascii="Arial" w:cs="Arial" w:eastAsia="Arial" w:hAnsi="Arial"/>
          <w:sz w:val="17"/>
          <w:szCs w:val="17"/>
          <w:color w:val="auto"/>
        </w:rPr>
        <w:t>In February 2016, ASU 2016-02, Leases, was issued. The new standard requires lessors to account for leases using an approach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substantially equivalent to existing guidance for direct financing and operating leases. Upon adoption, this standard will require all lessees to recognize a right of use asset and a liability to make lease payments (lease liability) on the balance sheet, except for leases with durations of twelve months or less. Lessees (for capital and operating leases) must apply a modified retrospective transition approach for leases existing at or after the beginning of the earliest comparative period presented in the consolidated financial statements. The modified retrospective approach would not require any transition accounting for leases that expired before the earliest comparative period presented. This standard is effective at the beginning of our 2019 fiscal year. In preparation for adoption of the standard, we developed a cross-functional team and engaged a third-party service provider to assist us throughout our evaluation, including the selection of a lease software and contract administration platform. We continue to evaluate the overall impact the adoption of this new guidance will have on our consolidated financial statements and related disclosures.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receivables purchase agreements (“RPAs”) with Wells Fargo and Citibank that allow for the sale of up to an aggregate of $725.0 million of our accounts receivable. Under the RPAs, we sold $6.1 billion and $4.6 billion of accounts receivables and collected $6.0 billion and $4.5 billion of accounts receivables for the nine months ended September 30, 2018 and September 30, 2017, respectively. The fees and financing costs under the RPA were $14.2 million and $8.7 million, for the nine months ended September 30, 2018 and September 30, 2017, respectively. As of September 30, 2018 and December 31, 2017, our sold accounts receivable under the RPAs was $553.7 million and $377.3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2018 Acquisition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2018, we completed one acquisition in the land segment. The financial position, results of operations and cash flows of the 2018 acquisition has been included in our consolidated financial statements since its acquisition date and did not have a material impact on our consolidated revenue and net income for the nine months ended September 30, 2018.</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2017 Acquisitions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United Kingdom ("U.K."), Germany, Italy, France, Australia and New Zealand. During 2016, we completed the acquisitions of the aviation fueling operations in Canada, the U.K. and France. During the first quarter of 2017, we completed the acquisition of substantially all of the remaining airport locations in Italy, Germany, Australia and New Zealand.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acquisitions, we completed two acquisitions during the first quarter of 2017 which were not significant individually or in the aggregate.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aggregate consideration paid for acquisitions during the nine months ended September 30, 2017 and the amounts of the assets acquired and liabilities assumed, recognized at the acquisition date.</w:t>
      </w: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9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acquisition of businesses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87.6</w:t>
            </w:r>
          </w:p>
        </w:tc>
      </w:tr>
      <w:tr>
        <w:trPr>
          <w:trHeight w:val="264"/>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Non-monetary consideration</w:t>
            </w:r>
          </w:p>
        </w:tc>
        <w:tc>
          <w:tcPr>
            <w:tcW w:w="7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Purchase price</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91.9</w:t>
            </w: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5"/>
        </w:trPr>
        <w:tc>
          <w:tcPr>
            <w:tcW w:w="9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w:t>
            </w:r>
          </w:p>
        </w:tc>
        <w:tc>
          <w:tcPr>
            <w:tcW w:w="7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7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10.3</w:t>
            </w:r>
          </w:p>
        </w:tc>
      </w:tr>
      <w:tr>
        <w:trPr>
          <w:trHeight w:val="276"/>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identifiable intangible assets</w:t>
            </w: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w:t>
            </w: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color w:val="auto"/>
              </w:rPr>
              <w:t>Other current and long-term assets</w:t>
            </w:r>
          </w:p>
        </w:tc>
        <w:tc>
          <w:tcPr>
            <w:tcW w:w="7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w:t>
            </w:r>
          </w:p>
        </w:tc>
      </w:tr>
      <w:tr>
        <w:trPr>
          <w:trHeight w:val="330"/>
        </w:trPr>
        <w:tc>
          <w:tcPr>
            <w:tcW w:w="9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Liabilities assumed:</w:t>
            </w: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 and deferred tax liabilities</w:t>
            </w:r>
          </w:p>
        </w:tc>
        <w:tc>
          <w:tcPr>
            <w:tcW w:w="7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r>
      <w:tr>
        <w:trPr>
          <w:trHeight w:val="243"/>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Purchase price</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91.9</w:t>
            </w:r>
          </w:p>
        </w:tc>
      </w:tr>
      <w:tr>
        <w:trPr>
          <w:trHeight w:val="20"/>
        </w:trPr>
        <w:tc>
          <w:tcPr>
            <w:tcW w:w="9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goodwill assigned, of which $22.4 million is anticipated to be deductible for tax purposes, is attributable primarily to the expected synergies and other benefits that we believe will result from combining the operations acquired with the operations of our aviation segment. The identifiable intangible assets consists of $33.4 million of customer relationships with weighted average lives of 9.9 years.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position, results of operations and cash flows of the 2017 acquisitions have been included in our consolidated financial statements since their respective acquisition dates and did not have a significant impact on our revenue and net income for the three and nine months ended September 30, 2017. Pro forma information for the 2017 acquisitions has not been provided as the impact is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land and marine fuel, to offer our customers fuel pricing alternatives to meet their needs and to mitigate the risk of fluctuations in foreign currency exchange rates. If the derivative instrument is not designated in a hedge relationship, changes in the estimated fair market value are recognized as a component of revenue, cost of revenue, or other income (expense) in the consolidated statements of income and comprehensive income.</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The gains or losses on derivative instruments designated as cash flow hedges of forecasted transactions are initially reported as a component of accumulated other comprehensive income and subsequently reclassified into earnings once the future transactions affect earnings.</w:t>
      </w:r>
    </w:p>
    <w:p>
      <w:pPr>
        <w:spacing w:after="0" w:line="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flows for our hedging instruments are classified in the same category as the underlying hedged items. If for any reason hedge accounting is discontinued, then any cash flows subsequent to the date of discontinuance will be classified in a manner consistent with the nature of the instrument.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Flow Hedges. </w:t>
      </w:r>
      <w:r>
        <w:rPr>
          <w:rFonts w:ascii="Arial" w:cs="Arial" w:eastAsia="Arial" w:hAnsi="Arial"/>
          <w:sz w:val="16"/>
          <w:szCs w:val="16"/>
          <w:color w:val="auto"/>
        </w:rPr>
        <w:t>Includes certain derivative contracts we execute to mitigate the risk of price or foreign currency volatility in forecasted transactions.</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swaps or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certain forward fixed price purchase and sale contracts, and for portfolio optimization. In addition, non-designated derivatives are held to hedge the risk of currency rate fluctuations.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gross fair value of our derivative instruments and their locations on the consolidated balance sheets (in millions):</w:t>
      </w:r>
    </w:p>
    <w:p>
      <w:pPr>
        <w:spacing w:after="0" w:line="200" w:lineRule="exact"/>
        <w:rPr>
          <w:sz w:val="20"/>
          <w:szCs w:val="20"/>
          <w:color w:val="auto"/>
        </w:rPr>
      </w:pPr>
    </w:p>
    <w:p>
      <w:pPr>
        <w:spacing w:after="0" w:line="273" w:lineRule="exact"/>
        <w:rPr>
          <w:sz w:val="20"/>
          <w:szCs w:val="20"/>
          <w:color w:val="auto"/>
        </w:rPr>
      </w:pPr>
    </w:p>
    <w:p>
      <w:pPr>
        <w:jc w:val="right"/>
        <w:ind w:right="520"/>
        <w:spacing w:after="0"/>
        <w:tabs>
          <w:tab w:leader="none" w:pos="1560" w:val="left"/>
        </w:tabs>
        <w:rPr>
          <w:sz w:val="20"/>
          <w:szCs w:val="20"/>
          <w:color w:val="auto"/>
        </w:rPr>
      </w:pPr>
      <w:r>
        <w:rPr>
          <w:rFonts w:ascii="Arial" w:cs="Arial" w:eastAsia="Arial" w:hAnsi="Arial"/>
          <w:sz w:val="14"/>
          <w:szCs w:val="14"/>
          <w:color w:val="auto"/>
        </w:rPr>
        <w:t>Gross Derivative Assets</w:t>
      </w:r>
      <w:r>
        <w:rPr>
          <w:sz w:val="20"/>
          <w:szCs w:val="20"/>
          <w:color w:val="auto"/>
        </w:rPr>
        <w:tab/>
      </w:r>
      <w:r>
        <w:rPr>
          <w:rFonts w:ascii="Arial" w:cs="Arial" w:eastAsia="Arial" w:hAnsi="Arial"/>
          <w:sz w:val="13"/>
          <w:szCs w:val="13"/>
          <w:color w:val="auto"/>
        </w:rPr>
        <w:t>Gross Derivative Liabilities</w:t>
      </w:r>
    </w:p>
    <w:p>
      <w:pPr>
        <w:spacing w:after="0" w:line="38" w:lineRule="exact"/>
        <w:rPr>
          <w:sz w:val="20"/>
          <w:szCs w:val="20"/>
          <w:color w:val="auto"/>
        </w:rPr>
      </w:pPr>
    </w:p>
    <w:p>
      <w:pPr>
        <w:ind w:left="7240"/>
        <w:spacing w:after="0"/>
        <w:tabs>
          <w:tab w:leader="none" w:pos="9940" w:val="left"/>
        </w:tabs>
        <w:rPr>
          <w:sz w:val="20"/>
          <w:szCs w:val="20"/>
          <w:color w:val="auto"/>
        </w:rPr>
      </w:pPr>
      <w:r>
        <w:rPr>
          <w:rFonts w:ascii="Arial" w:cs="Arial" w:eastAsia="Arial" w:hAnsi="Arial"/>
          <w:sz w:val="14"/>
          <w:szCs w:val="14"/>
          <w:b w:val="1"/>
          <w:bCs w:val="1"/>
          <w:color w:val="auto"/>
        </w:rPr>
        <w:t>As of</w:t>
      </w:r>
      <w:r>
        <w:rPr>
          <w:sz w:val="20"/>
          <w:szCs w:val="20"/>
          <w:color w:val="auto"/>
        </w:rPr>
        <w:tab/>
      </w:r>
      <w:r>
        <w:rPr>
          <w:rFonts w:ascii="Arial" w:cs="Arial" w:eastAsia="Arial" w:hAnsi="Arial"/>
          <w:sz w:val="11"/>
          <w:szCs w:val="11"/>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66675</wp:posOffset>
            </wp:positionV>
            <wp:extent cx="3447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90" w:lineRule="exact"/>
        <w:rPr>
          <w:sz w:val="20"/>
          <w:szCs w:val="20"/>
          <w:color w:val="auto"/>
        </w:rPr>
      </w:pPr>
    </w:p>
    <w:p>
      <w:pPr>
        <w:ind w:left="6260"/>
        <w:spacing w:after="0"/>
        <w:tabs>
          <w:tab w:leader="none" w:pos="764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6560"/>
        <w:spacing w:after="0"/>
        <w:tabs>
          <w:tab w:leader="none" w:pos="79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5497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23495</wp:posOffset>
            </wp:positionV>
            <wp:extent cx="1629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8500" w:space="480"/>
            <w:col w:w="244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Derivative Instruments</w:t>
            </w:r>
          </w:p>
        </w:tc>
        <w:tc>
          <w:tcPr>
            <w:tcW w:w="4100" w:type="dxa"/>
            <w:vAlign w:val="bottom"/>
            <w:gridSpan w:val="3"/>
          </w:tcPr>
          <w:p>
            <w:pPr>
              <w:ind w:left="260"/>
              <w:spacing w:after="0"/>
              <w:rPr>
                <w:sz w:val="20"/>
                <w:szCs w:val="20"/>
                <w:color w:val="auto"/>
              </w:rPr>
            </w:pPr>
            <w:r>
              <w:rPr>
                <w:rFonts w:ascii="Arial" w:cs="Arial" w:eastAsia="Arial" w:hAnsi="Arial"/>
                <w:sz w:val="14"/>
                <w:szCs w:val="14"/>
                <w:b w:val="1"/>
                <w:bCs w:val="1"/>
                <w:color w:val="auto"/>
              </w:rPr>
              <w:t>Consolidated Balance Sheets location</w:t>
            </w: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156"/>
        </w:trPr>
        <w:tc>
          <w:tcPr>
            <w:tcW w:w="40" w:type="dxa"/>
            <w:vAlign w:val="bottom"/>
            <w:shd w:val="clear" w:color="auto" w:fill="CCEEFF"/>
          </w:tcPr>
          <w:p>
            <w:pPr>
              <w:spacing w:after="0"/>
              <w:rPr>
                <w:sz w:val="13"/>
                <w:szCs w:val="13"/>
                <w:color w:val="auto"/>
              </w:rPr>
            </w:pPr>
          </w:p>
        </w:tc>
        <w:tc>
          <w:tcPr>
            <w:tcW w:w="6000" w:type="dxa"/>
            <w:vAlign w:val="bottom"/>
            <w:gridSpan w:val="4"/>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90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9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90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00" w:type="dxa"/>
            <w:vAlign w:val="bottom"/>
            <w:gridSpan w:val="3"/>
          </w:tcPr>
          <w:p>
            <w:pPr>
              <w:ind w:left="260"/>
              <w:spacing w:after="0"/>
              <w:rPr>
                <w:sz w:val="20"/>
                <w:szCs w:val="20"/>
                <w:color w:val="auto"/>
              </w:rPr>
            </w:pPr>
            <w:r>
              <w:rPr>
                <w:rFonts w:ascii="Arial" w:cs="Arial" w:eastAsia="Arial" w:hAnsi="Arial"/>
                <w:sz w:val="14"/>
                <w:szCs w:val="14"/>
                <w:color w:val="auto"/>
              </w:rPr>
              <w:t>Short-term derivative assets, net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56.9</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r>
      <w:tr>
        <w:trPr>
          <w:trHeight w:val="80"/>
        </w:trPr>
        <w:tc>
          <w:tcPr>
            <w:tcW w:w="4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56.9</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43.6</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190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00" w:type="dxa"/>
            <w:vAlign w:val="bottom"/>
            <w:gridSpan w:val="3"/>
          </w:tcPr>
          <w:p>
            <w:pPr>
              <w:ind w:left="260"/>
              <w:spacing w:after="0"/>
              <w:rPr>
                <w:sz w:val="20"/>
                <w:szCs w:val="20"/>
                <w:color w:val="auto"/>
              </w:rPr>
            </w:pPr>
            <w:r>
              <w:rPr>
                <w:rFonts w:ascii="Arial" w:cs="Arial" w:eastAsia="Arial" w:hAnsi="Arial"/>
                <w:sz w:val="14"/>
                <w:szCs w:val="14"/>
                <w:color w:val="auto"/>
              </w:rPr>
              <w:t>Short-term derivative assets, net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5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184"/>
        </w:trPr>
        <w:tc>
          <w:tcPr>
            <w:tcW w:w="40" w:type="dxa"/>
            <w:vAlign w:val="bottom"/>
            <w:shd w:val="clear" w:color="auto" w:fill="CCEEFF"/>
          </w:tcPr>
          <w:p>
            <w:pPr>
              <w:spacing w:after="0"/>
              <w:rPr>
                <w:sz w:val="16"/>
                <w:szCs w:val="16"/>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56.9</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r>
      <w:tr>
        <w:trPr>
          <w:trHeight w:val="80"/>
        </w:trPr>
        <w:tc>
          <w:tcPr>
            <w:tcW w:w="40" w:type="dxa"/>
            <w:vAlign w:val="bottom"/>
            <w:shd w:val="clear" w:color="auto" w:fill="CCEEFF"/>
          </w:tcPr>
          <w:p>
            <w:pPr>
              <w:spacing w:after="0"/>
              <w:rPr>
                <w:sz w:val="6"/>
                <w:szCs w:val="6"/>
                <w:color w:val="auto"/>
              </w:rPr>
            </w:pPr>
          </w:p>
        </w:tc>
        <w:tc>
          <w:tcPr>
            <w:tcW w:w="284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84"/>
        </w:trPr>
        <w:tc>
          <w:tcPr>
            <w:tcW w:w="40" w:type="dxa"/>
            <w:vAlign w:val="bottom"/>
          </w:tcPr>
          <w:p>
            <w:pPr>
              <w:spacing w:after="0"/>
              <w:rPr>
                <w:sz w:val="24"/>
                <w:szCs w:val="24"/>
                <w:color w:val="auto"/>
              </w:rPr>
            </w:pPr>
          </w:p>
        </w:tc>
        <w:tc>
          <w:tcPr>
            <w:tcW w:w="28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40" w:type="dxa"/>
            <w:vAlign w:val="bottom"/>
            <w:shd w:val="clear" w:color="auto" w:fill="CCEEFF"/>
          </w:tcPr>
          <w:p>
            <w:pPr>
              <w:spacing w:after="0"/>
              <w:rPr>
                <w:sz w:val="14"/>
                <w:szCs w:val="14"/>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90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9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r>
      <w:tr>
        <w:trPr>
          <w:trHeight w:val="191"/>
        </w:trPr>
        <w:tc>
          <w:tcPr>
            <w:tcW w:w="40" w:type="dxa"/>
            <w:vAlign w:val="bottom"/>
          </w:tcPr>
          <w:p>
            <w:pPr>
              <w:spacing w:after="0"/>
              <w:rPr>
                <w:sz w:val="16"/>
                <w:szCs w:val="16"/>
                <w:color w:val="auto"/>
              </w:rPr>
            </w:pPr>
          </w:p>
        </w:tc>
        <w:tc>
          <w:tcPr>
            <w:tcW w:w="190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00" w:type="dxa"/>
            <w:vAlign w:val="bottom"/>
            <w:gridSpan w:val="3"/>
          </w:tcPr>
          <w:p>
            <w:pPr>
              <w:ind w:left="260"/>
              <w:spacing w:after="0"/>
              <w:rPr>
                <w:sz w:val="20"/>
                <w:szCs w:val="20"/>
                <w:color w:val="auto"/>
              </w:rPr>
            </w:pPr>
            <w:r>
              <w:rPr>
                <w:rFonts w:ascii="Arial" w:cs="Arial" w:eastAsia="Arial" w:hAnsi="Arial"/>
                <w:sz w:val="14"/>
                <w:szCs w:val="14"/>
                <w:color w:val="auto"/>
              </w:rPr>
              <w:t>Short-term derivative assets, net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322.8</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225.8</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123.3</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Identifiable intangible and other non-current assets</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76.1</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80"/>
        </w:trPr>
        <w:tc>
          <w:tcPr>
            <w:tcW w:w="4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00" w:type="dxa"/>
            <w:vAlign w:val="bottom"/>
            <w:gridSpan w:val="3"/>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89.8</w:t>
            </w:r>
          </w:p>
        </w:tc>
        <w:tc>
          <w:tcPr>
            <w:tcW w:w="5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179.0</w:t>
            </w:r>
          </w:p>
        </w:tc>
        <w:tc>
          <w:tcPr>
            <w:tcW w:w="5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138.2</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Other long-term liabilities</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80"/>
        </w:trPr>
        <w:tc>
          <w:tcPr>
            <w:tcW w:w="4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499.9</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300.9</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485.7</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280.2</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84"/>
        </w:trPr>
        <w:tc>
          <w:tcPr>
            <w:tcW w:w="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191"/>
        </w:trPr>
        <w:tc>
          <w:tcPr>
            <w:tcW w:w="40" w:type="dxa"/>
            <w:vAlign w:val="bottom"/>
          </w:tcPr>
          <w:p>
            <w:pPr>
              <w:spacing w:after="0"/>
              <w:rPr>
                <w:sz w:val="16"/>
                <w:szCs w:val="16"/>
                <w:color w:val="auto"/>
              </w:rPr>
            </w:pPr>
          </w:p>
        </w:tc>
        <w:tc>
          <w:tcPr>
            <w:tcW w:w="190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00" w:type="dxa"/>
            <w:vAlign w:val="bottom"/>
            <w:gridSpan w:val="3"/>
          </w:tcPr>
          <w:p>
            <w:pPr>
              <w:ind w:left="260"/>
              <w:spacing w:after="0"/>
              <w:rPr>
                <w:sz w:val="20"/>
                <w:szCs w:val="20"/>
                <w:color w:val="auto"/>
              </w:rPr>
            </w:pPr>
            <w:r>
              <w:rPr>
                <w:rFonts w:ascii="Arial" w:cs="Arial" w:eastAsia="Arial" w:hAnsi="Arial"/>
                <w:sz w:val="14"/>
                <w:szCs w:val="14"/>
                <w:color w:val="auto"/>
              </w:rPr>
              <w:t>Short-term derivative assets, net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91"/>
        </w:trPr>
        <w:tc>
          <w:tcPr>
            <w:tcW w:w="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10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80"/>
        </w:trPr>
        <w:tc>
          <w:tcPr>
            <w:tcW w:w="4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191"/>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00" w:type="dxa"/>
            <w:vAlign w:val="bottom"/>
            <w:gridSpan w:val="3"/>
          </w:tcPr>
          <w:p>
            <w:pPr>
              <w:ind w:left="260"/>
              <w:spacing w:after="0"/>
              <w:rPr>
                <w:sz w:val="20"/>
                <w:szCs w:val="20"/>
                <w:color w:val="auto"/>
              </w:rPr>
            </w:pPr>
            <w:r>
              <w:rPr>
                <w:rFonts w:ascii="Arial" w:cs="Arial" w:eastAsia="Arial" w:hAnsi="Arial"/>
                <w:sz w:val="14"/>
                <w:szCs w:val="14"/>
                <w:color w:val="auto"/>
              </w:rPr>
              <w:t>Other long-term liabilities</w:t>
            </w: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80"/>
        </w:trPr>
        <w:tc>
          <w:tcPr>
            <w:tcW w:w="40" w:type="dxa"/>
            <w:vAlign w:val="bottom"/>
            <w:tcBorders>
              <w:bottom w:val="single" w:sz="8" w:color="CCEEFF"/>
            </w:tcBorders>
          </w:tcPr>
          <w:p>
            <w:pPr>
              <w:spacing w:after="0"/>
              <w:rPr>
                <w:sz w:val="6"/>
                <w:szCs w:val="6"/>
                <w:color w:val="auto"/>
              </w:rPr>
            </w:pPr>
          </w:p>
        </w:tc>
        <w:tc>
          <w:tcPr>
            <w:tcW w:w="1900" w:type="dxa"/>
            <w:vAlign w:val="bottom"/>
            <w:tcBorders>
              <w:bottom w:val="single" w:sz="8" w:color="CCEEFF"/>
            </w:tcBorders>
          </w:tcPr>
          <w:p>
            <w:pPr>
              <w:spacing w:after="0"/>
              <w:rPr>
                <w:sz w:val="6"/>
                <w:szCs w:val="6"/>
                <w:color w:val="auto"/>
              </w:rPr>
            </w:pPr>
          </w:p>
        </w:tc>
        <w:tc>
          <w:tcPr>
            <w:tcW w:w="94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9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184"/>
        </w:trPr>
        <w:tc>
          <w:tcPr>
            <w:tcW w:w="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80"/>
        </w:trPr>
        <w:tc>
          <w:tcPr>
            <w:tcW w:w="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292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502.2</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309.4</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488.0</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288.9</w:t>
            </w:r>
          </w:p>
        </w:tc>
      </w:tr>
      <w:tr>
        <w:trPr>
          <w:trHeight w:val="80"/>
        </w:trPr>
        <w:tc>
          <w:tcPr>
            <w:tcW w:w="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84"/>
        </w:trPr>
        <w:tc>
          <w:tcPr>
            <w:tcW w:w="40" w:type="dxa"/>
            <w:vAlign w:val="bottom"/>
            <w:tcBorders>
              <w:bottom w:val="single" w:sz="8" w:color="auto"/>
            </w:tcBorders>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9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Total derivatives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559.1</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581.6</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332.5</w:t>
            </w:r>
          </w:p>
        </w:tc>
      </w:tr>
      <w:tr>
        <w:trPr>
          <w:trHeight w:val="80"/>
        </w:trPr>
        <w:tc>
          <w:tcPr>
            <w:tcW w:w="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6.</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September 30, 2018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80" w:type="dxa"/>
            <w:vAlign w:val="bottom"/>
          </w:tcPr>
          <w:p>
            <w:pPr>
              <w:jc w:val="right"/>
              <w:ind w:right="1188"/>
              <w:spacing w:after="0"/>
              <w:rPr>
                <w:sz w:val="20"/>
                <w:szCs w:val="20"/>
                <w:color w:val="auto"/>
              </w:rPr>
            </w:pPr>
            <w:r>
              <w:rPr>
                <w:rFonts w:ascii="Arial" w:cs="Arial" w:eastAsia="Arial" w:hAnsi="Arial"/>
                <w:sz w:val="14"/>
                <w:szCs w:val="14"/>
                <w:b w:val="1"/>
                <w:bCs w:val="1"/>
                <w:color w:val="auto"/>
                <w:w w:val="96"/>
              </w:rPr>
              <w:t>As of September 30,</w:t>
            </w:r>
          </w:p>
        </w:tc>
        <w:tc>
          <w:tcPr>
            <w:tcW w:w="0" w:type="dxa"/>
            <w:vAlign w:val="bottom"/>
          </w:tcPr>
          <w:p>
            <w:pPr>
              <w:spacing w:after="0"/>
              <w:rPr>
                <w:sz w:val="1"/>
                <w:szCs w:val="1"/>
                <w:color w:val="auto"/>
              </w:rPr>
            </w:pPr>
          </w:p>
        </w:tc>
      </w:tr>
      <w:tr>
        <w:trPr>
          <w:trHeight w:val="8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333333"/>
              </w:rPr>
              <w:t>Derivative Instruments</w:t>
            </w:r>
          </w:p>
        </w:tc>
        <w:tc>
          <w:tcPr>
            <w:tcW w:w="1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vMerge w:val="continue"/>
          </w:tcPr>
          <w:p>
            <w:pPr>
              <w:spacing w:after="0"/>
              <w:rPr>
                <w:sz w:val="16"/>
                <w:szCs w:val="16"/>
                <w:color w:val="auto"/>
              </w:rPr>
            </w:pPr>
          </w:p>
        </w:tc>
        <w:tc>
          <w:tcPr>
            <w:tcW w:w="1180" w:type="dxa"/>
            <w:vAlign w:val="bottom"/>
          </w:tcPr>
          <w:p>
            <w:pPr>
              <w:jc w:val="center"/>
              <w:ind w:left="588"/>
              <w:spacing w:after="0"/>
              <w:rPr>
                <w:sz w:val="20"/>
                <w:szCs w:val="20"/>
                <w:color w:val="auto"/>
              </w:rPr>
            </w:pPr>
            <w:r>
              <w:rPr>
                <w:rFonts w:ascii="Arial" w:cs="Arial" w:eastAsia="Arial" w:hAnsi="Arial"/>
                <w:sz w:val="14"/>
                <w:szCs w:val="14"/>
                <w:b w:val="1"/>
                <w:bCs w:val="1"/>
                <w:color w:val="333333"/>
                <w:w w:val="91"/>
              </w:rPr>
              <w:t>Units</w:t>
            </w:r>
          </w:p>
        </w:tc>
        <w:tc>
          <w:tcPr>
            <w:tcW w:w="2580" w:type="dxa"/>
            <w:vAlign w:val="bottom"/>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11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Long</w:t>
            </w:r>
          </w:p>
        </w:tc>
        <w:tc>
          <w:tcPr>
            <w:tcW w:w="1180" w:type="dxa"/>
            <w:vAlign w:val="bottom"/>
          </w:tcPr>
          <w:p>
            <w:pPr>
              <w:jc w:val="center"/>
              <w:ind w:left="588"/>
              <w:spacing w:after="0"/>
              <w:rPr>
                <w:sz w:val="20"/>
                <w:szCs w:val="20"/>
                <w:color w:val="auto"/>
              </w:rPr>
            </w:pPr>
            <w:r>
              <w:rPr>
                <w:rFonts w:ascii="Arial" w:cs="Arial" w:eastAsia="Arial" w:hAnsi="Arial"/>
                <w:sz w:val="14"/>
                <w:szCs w:val="14"/>
                <w:color w:val="auto"/>
              </w:rPr>
              <w:t>BBL</w:t>
            </w:r>
          </w:p>
        </w:tc>
        <w:tc>
          <w:tcPr>
            <w:tcW w:w="2580" w:type="dxa"/>
            <w:vAlign w:val="bottom"/>
          </w:tcPr>
          <w:p>
            <w:pPr>
              <w:jc w:val="right"/>
              <w:ind w:right="28"/>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w:t>
            </w:r>
          </w:p>
        </w:tc>
        <w:tc>
          <w:tcPr>
            <w:tcW w:w="118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BBL</w:t>
            </w:r>
          </w:p>
        </w:tc>
        <w:tc>
          <w:tcPr>
            <w:tcW w:w="2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Foreign currency exchange contracts</w:t>
            </w:r>
          </w:p>
        </w:tc>
        <w:tc>
          <w:tcPr>
            <w:tcW w:w="11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Sell U.S. dollar, buy other currencies</w:t>
            </w:r>
          </w:p>
        </w:tc>
        <w:tc>
          <w:tcPr>
            <w:tcW w:w="1180" w:type="dxa"/>
            <w:vAlign w:val="bottom"/>
          </w:tcPr>
          <w:p>
            <w:pPr>
              <w:jc w:val="center"/>
              <w:ind w:left="588"/>
              <w:spacing w:after="0"/>
              <w:rPr>
                <w:sz w:val="20"/>
                <w:szCs w:val="20"/>
                <w:color w:val="auto"/>
              </w:rPr>
            </w:pPr>
            <w:r>
              <w:rPr>
                <w:rFonts w:ascii="Arial" w:cs="Arial" w:eastAsia="Arial" w:hAnsi="Arial"/>
                <w:sz w:val="14"/>
                <w:szCs w:val="14"/>
                <w:color w:val="auto"/>
                <w:w w:val="94"/>
              </w:rPr>
              <w:t>USD</w:t>
            </w:r>
          </w:p>
        </w:tc>
        <w:tc>
          <w:tcPr>
            <w:tcW w:w="2580" w:type="dxa"/>
            <w:vAlign w:val="bottom"/>
          </w:tcPr>
          <w:p>
            <w:pPr>
              <w:jc w:val="right"/>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 sell other currencies</w:t>
            </w:r>
          </w:p>
        </w:tc>
        <w:tc>
          <w:tcPr>
            <w:tcW w:w="118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4"/>
              </w:rPr>
              <w:t>USD</w:t>
            </w:r>
          </w:p>
        </w:tc>
        <w:tc>
          <w:tcPr>
            <w:tcW w:w="2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25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September 30, 2018, and December 31, 2017, the following amounts were recorded on the consolidated balance sheets related to cumulative basis adjustments for fair value hedges (in million):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Line item in the Consolidated Balance Sheets in which the</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gridSpan w:val="3"/>
            <w:vMerge w:val="restart"/>
          </w:tcPr>
          <w:p>
            <w:pPr>
              <w:jc w:val="center"/>
              <w:ind w:right="108"/>
              <w:spacing w:after="0"/>
              <w:rPr>
                <w:sz w:val="20"/>
                <w:szCs w:val="20"/>
                <w:color w:val="auto"/>
              </w:rPr>
            </w:pPr>
            <w:r>
              <w:rPr>
                <w:rFonts w:ascii="Arial" w:cs="Arial" w:eastAsia="Arial" w:hAnsi="Arial"/>
                <w:sz w:val="14"/>
                <w:szCs w:val="14"/>
                <w:b w:val="1"/>
                <w:bCs w:val="1"/>
                <w:color w:val="auto"/>
                <w:w w:val="93"/>
              </w:rPr>
              <w:t>Carrying Amount of Hedged Asset/(Liabilities)</w:t>
            </w:r>
          </w:p>
        </w:tc>
        <w:tc>
          <w:tcPr>
            <w:tcW w:w="240" w:type="dxa"/>
            <w:vAlign w:val="bottom"/>
          </w:tcPr>
          <w:p>
            <w:pPr>
              <w:spacing w:after="0"/>
              <w:rPr>
                <w:sz w:val="12"/>
                <w:szCs w:val="12"/>
                <w:color w:val="auto"/>
              </w:rPr>
            </w:pPr>
          </w:p>
        </w:tc>
        <w:tc>
          <w:tcPr>
            <w:tcW w:w="358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Included in the Carrying Amount of the Hedged</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hedged item is included</w:t>
            </w: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3"/>
              </w:rPr>
              <w:t>Asset/(Liabilities)</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1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September 30, 2018</w:t>
            </w:r>
          </w:p>
        </w:tc>
        <w:tc>
          <w:tcPr>
            <w:tcW w:w="460" w:type="dxa"/>
            <w:vAlign w:val="bottom"/>
          </w:tcPr>
          <w:p>
            <w:pPr>
              <w:spacing w:after="0"/>
              <w:rPr>
                <w:sz w:val="16"/>
                <w:szCs w:val="16"/>
                <w:color w:val="auto"/>
              </w:rPr>
            </w:pPr>
          </w:p>
        </w:tc>
        <w:tc>
          <w:tcPr>
            <w:tcW w:w="160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December 31, 2017</w:t>
            </w:r>
          </w:p>
        </w:tc>
        <w:tc>
          <w:tcPr>
            <w:tcW w:w="24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b w:val="1"/>
                <w:bCs w:val="1"/>
                <w:color w:val="auto"/>
              </w:rPr>
              <w:t>September 30, 2018</w:t>
            </w:r>
          </w:p>
        </w:tc>
        <w:tc>
          <w:tcPr>
            <w:tcW w:w="44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80"/>
        </w:trPr>
        <w:tc>
          <w:tcPr>
            <w:tcW w:w="3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 Income and Comprehensive Income (in millions):</w:t>
      </w:r>
    </w:p>
    <w:p>
      <w:pPr>
        <w:spacing w:after="0" w:line="108" w:lineRule="exact"/>
        <w:rPr>
          <w:sz w:val="20"/>
          <w:szCs w:val="20"/>
          <w:color w:val="auto"/>
        </w:rPr>
      </w:pPr>
    </w:p>
    <w:p>
      <w:pPr>
        <w:jc w:val="center"/>
        <w:ind w:left="7000"/>
        <w:spacing w:after="0"/>
        <w:rPr>
          <w:sz w:val="20"/>
          <w:szCs w:val="20"/>
          <w:color w:val="auto"/>
        </w:rPr>
      </w:pPr>
      <w:r>
        <w:rPr>
          <w:rFonts w:ascii="Arial" w:cs="Arial" w:eastAsia="Arial" w:hAnsi="Arial"/>
          <w:sz w:val="13"/>
          <w:szCs w:val="13"/>
          <w:b w:val="1"/>
          <w:bCs w:val="1"/>
          <w:color w:val="auto"/>
        </w:rPr>
        <w:t>Location and Amount of Gain and (Loss) Recognized in Income on Fair</w:t>
      </w:r>
    </w:p>
    <w:p>
      <w:pPr>
        <w:spacing w:after="0" w:line="15"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13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6"/>
        </w:trPr>
        <w:tc>
          <w:tcPr>
            <w:tcW w:w="6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 2017</w:t>
            </w:r>
          </w:p>
        </w:tc>
      </w:tr>
      <w:tr>
        <w:trPr>
          <w:trHeight w:val="156"/>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08"/>
              <w:spacing w:after="0" w:line="157" w:lineRule="exact"/>
              <w:rPr>
                <w:sz w:val="20"/>
                <w:szCs w:val="20"/>
                <w:color w:val="auto"/>
              </w:rPr>
            </w:pPr>
            <w:r>
              <w:rPr>
                <w:rFonts w:ascii="Arial" w:cs="Arial" w:eastAsia="Arial" w:hAnsi="Arial"/>
                <w:sz w:val="14"/>
                <w:szCs w:val="14"/>
                <w:color w:val="auto"/>
                <w:w w:val="94"/>
              </w:rPr>
              <w:t>Cost of</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7" w:lineRule="exact"/>
              <w:rPr>
                <w:sz w:val="20"/>
                <w:szCs w:val="20"/>
                <w:color w:val="auto"/>
              </w:rPr>
            </w:pPr>
            <w:r>
              <w:rPr>
                <w:rFonts w:ascii="Arial" w:cs="Arial" w:eastAsia="Arial" w:hAnsi="Arial"/>
                <w:sz w:val="14"/>
                <w:szCs w:val="14"/>
                <w:color w:val="auto"/>
                <w:w w:val="90"/>
              </w:rPr>
              <w:t>Cost of</w:t>
            </w:r>
          </w:p>
        </w:tc>
      </w:tr>
      <w:tr>
        <w:trPr>
          <w:trHeight w:val="194"/>
        </w:trPr>
        <w:tc>
          <w:tcPr>
            <w:tcW w:w="6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Revenue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10,429.5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10,162.8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8,543.0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8,303.1</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Accumulated 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10,436.1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10,177.2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8,551.4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8,283.6</w:t>
            </w:r>
          </w:p>
        </w:tc>
      </w:tr>
      <w:tr>
        <w:trPr>
          <w:trHeight w:val="80"/>
        </w:trPr>
        <w:tc>
          <w:tcPr>
            <w:tcW w:w="698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gridSpan w:val="8"/>
          </w:tcPr>
          <w:p>
            <w:pPr>
              <w:spacing w:after="0"/>
              <w:rPr>
                <w:sz w:val="6"/>
                <w:szCs w:val="6"/>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46"/>
        </w:trPr>
        <w:tc>
          <w:tcPr>
            <w:tcW w:w="6980" w:type="dxa"/>
            <w:vAlign w:val="bottom"/>
          </w:tcPr>
          <w:p>
            <w:pPr>
              <w:spacing w:after="0"/>
              <w:rPr>
                <w:sz w:val="12"/>
                <w:szCs w:val="12"/>
                <w:color w:val="auto"/>
              </w:rPr>
            </w:pPr>
          </w:p>
        </w:tc>
        <w:tc>
          <w:tcPr>
            <w:tcW w:w="4420" w:type="dxa"/>
            <w:vAlign w:val="bottom"/>
            <w:gridSpan w:val="8"/>
          </w:tcPr>
          <w:p>
            <w:pPr>
              <w:ind w:left="20"/>
              <w:spacing w:after="0" w:line="147" w:lineRule="exact"/>
              <w:rPr>
                <w:sz w:val="20"/>
                <w:szCs w:val="20"/>
                <w:color w:val="auto"/>
              </w:rPr>
            </w:pPr>
            <w:r>
              <w:rPr>
                <w:rFonts w:ascii="Arial" w:cs="Arial" w:eastAsia="Arial" w:hAnsi="Arial"/>
                <w:sz w:val="14"/>
                <w:szCs w:val="14"/>
                <w:b w:val="1"/>
                <w:bCs w:val="1"/>
                <w:color w:val="auto"/>
                <w:w w:val="92"/>
              </w:rPr>
              <w:t>Location and Amount of Gain and (Loss) Recognized in Income on Fair</w:t>
            </w: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4"/>
                <w:szCs w:val="14"/>
                <w:b w:val="1"/>
                <w:bCs w:val="1"/>
                <w:color w:val="auto"/>
                <w:w w:val="91"/>
              </w:rPr>
              <w:t>Value and Cash Flow Hedging Relationships</w:t>
            </w:r>
          </w:p>
        </w:tc>
        <w:tc>
          <w:tcPr>
            <w:tcW w:w="800" w:type="dxa"/>
            <w:vAlign w:val="bottom"/>
            <w:tcBorders>
              <w:bottom w:val="single" w:sz="8" w:color="auto"/>
            </w:tcBorders>
          </w:tcPr>
          <w:p>
            <w:pPr>
              <w:spacing w:after="0"/>
              <w:rPr>
                <w:sz w:val="16"/>
                <w:szCs w:val="16"/>
                <w:color w:val="auto"/>
              </w:rPr>
            </w:pPr>
          </w:p>
        </w:tc>
      </w:tr>
      <w:tr>
        <w:trPr>
          <w:trHeight w:val="244"/>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For the Nine Months Ended</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6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 2017</w:t>
            </w:r>
          </w:p>
        </w:tc>
      </w:tr>
      <w:tr>
        <w:trPr>
          <w:trHeight w:val="156"/>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08"/>
              <w:spacing w:after="0" w:line="157" w:lineRule="exact"/>
              <w:rPr>
                <w:sz w:val="20"/>
                <w:szCs w:val="20"/>
                <w:color w:val="auto"/>
              </w:rPr>
            </w:pPr>
            <w:r>
              <w:rPr>
                <w:rFonts w:ascii="Arial" w:cs="Arial" w:eastAsia="Arial" w:hAnsi="Arial"/>
                <w:sz w:val="14"/>
                <w:szCs w:val="14"/>
                <w:color w:val="auto"/>
                <w:w w:val="94"/>
              </w:rPr>
              <w:t>Cost of</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7" w:lineRule="exact"/>
              <w:rPr>
                <w:sz w:val="20"/>
                <w:szCs w:val="20"/>
                <w:color w:val="auto"/>
              </w:rPr>
            </w:pPr>
            <w:r>
              <w:rPr>
                <w:rFonts w:ascii="Arial" w:cs="Arial" w:eastAsia="Arial" w:hAnsi="Arial"/>
                <w:sz w:val="14"/>
                <w:szCs w:val="14"/>
                <w:color w:val="auto"/>
                <w:w w:val="90"/>
              </w:rPr>
              <w:t>Cost of</w:t>
            </w:r>
          </w:p>
        </w:tc>
      </w:tr>
      <w:tr>
        <w:trPr>
          <w:trHeight w:val="194"/>
        </w:trPr>
        <w:tc>
          <w:tcPr>
            <w:tcW w:w="6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Revenue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29,761.7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29,005.4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24,823.4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24,121.1</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Accumulated 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29,792.3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29,048.4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24,826.0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24,102.5</w:t>
            </w:r>
          </w:p>
        </w:tc>
      </w:tr>
      <w:tr>
        <w:trPr>
          <w:trHeight w:val="80"/>
        </w:trPr>
        <w:tc>
          <w:tcPr>
            <w:tcW w:w="6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2018 and 2017, there were no gains or losses recognized in earnings related to our fair value or cash flow hedges that were excluded from the assessment of hedge effectiveness.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25" w:right="239" w:bottom="1068"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 Recognized in</w:t>
            </w: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57"/>
        </w:trPr>
        <w:tc>
          <w:tcPr>
            <w:tcW w:w="31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1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660" w:type="dxa"/>
            <w:vAlign w:val="bottom"/>
            <w:vMerge w:val="restart"/>
          </w:tcPr>
          <w:p>
            <w:pPr>
              <w:jc w:val="center"/>
              <w:ind w:right="62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01"/>
        </w:trPr>
        <w:tc>
          <w:tcPr>
            <w:tcW w:w="3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Derivative Instruments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6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74"/>
        </w:trPr>
        <w:tc>
          <w:tcPr>
            <w:tcW w:w="3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04"/>
        </w:trPr>
        <w:tc>
          <w:tcPr>
            <w:tcW w:w="3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7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6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7"/>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6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3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-8255</wp:posOffset>
            </wp:positionV>
            <wp:extent cx="716089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120"/>
            <w:col w:w="5720"/>
          </w:cols>
          <w:pgMar w:left="240" w:top="125" w:right="239" w:bottom="1068"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(46.4)</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2"/>
                <w:szCs w:val="22"/>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Revenue</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46.9</w:t>
            </w: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w:t>
            </w:r>
          </w:p>
        </w:tc>
        <w:tc>
          <w:tcPr>
            <w:tcW w:w="5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11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5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5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0"/>
        </w:trPr>
        <w:tc>
          <w:tcPr>
            <w:tcW w:w="2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(Loss) Gain</w:t>
            </w:r>
          </w:p>
        </w:tc>
        <w:tc>
          <w:tcPr>
            <w:tcW w:w="118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5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(Loss) Gain</w:t>
            </w:r>
          </w:p>
        </w:tc>
        <w:tc>
          <w:tcPr>
            <w:tcW w:w="12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5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80"/>
        </w:trPr>
        <w:tc>
          <w:tcPr>
            <w:tcW w:w="24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68"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80"/>
        </w:trPr>
        <w:tc>
          <w:tcPr>
            <w:tcW w:w="316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Amount of Gain (Loss) Recognized in</w:t>
            </w:r>
          </w:p>
        </w:tc>
        <w:tc>
          <w:tcPr>
            <w:tcW w:w="7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660" w:type="dxa"/>
            <w:vAlign w:val="bottom"/>
            <w:vMerge w:val="restart"/>
          </w:tcPr>
          <w:p>
            <w:pPr>
              <w:jc w:val="center"/>
              <w:ind w:right="62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7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4"/>
              </w:rPr>
              <w:t>Derivative Instruments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6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3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03"/>
        </w:trPr>
        <w:tc>
          <w:tcPr>
            <w:tcW w:w="3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232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2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6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0"/>
        </w:trPr>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6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32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580" w:space="120"/>
            <w:col w:w="5720"/>
          </w:cols>
          <w:pgMar w:left="240" w:top="125" w:right="239" w:bottom="1068"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(74.1)</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7"/>
                <w:szCs w:val="17"/>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68"/>
        </w:trPr>
        <w:tc>
          <w:tcPr>
            <w:tcW w:w="24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r>
        <w:trPr>
          <w:trHeight w:val="191"/>
        </w:trPr>
        <w:tc>
          <w:tcPr>
            <w:tcW w:w="240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77.0</w:t>
            </w: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41.1</w:t>
            </w: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80"/>
        </w:trPr>
        <w:tc>
          <w:tcPr>
            <w:tcW w:w="2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191"/>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5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5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80"/>
        </w:trPr>
        <w:tc>
          <w:tcPr>
            <w:tcW w:w="24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r>
      <w:tr>
        <w:trPr>
          <w:trHeight w:val="184"/>
        </w:trPr>
        <w:tc>
          <w:tcPr>
            <w:tcW w:w="2400" w:type="dxa"/>
            <w:vAlign w:val="bottom"/>
          </w:tcPr>
          <w:p>
            <w:pPr>
              <w:ind w:left="40"/>
              <w:spacing w:after="0"/>
              <w:rPr>
                <w:sz w:val="20"/>
                <w:szCs w:val="20"/>
                <w:color w:val="auto"/>
              </w:rPr>
            </w:pPr>
            <w:r>
              <w:rPr>
                <w:rFonts w:ascii="Arial" w:cs="Arial" w:eastAsia="Arial" w:hAnsi="Arial"/>
                <w:sz w:val="14"/>
                <w:szCs w:val="14"/>
                <w:color w:val="auto"/>
              </w:rPr>
              <w:t>Total Gain</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Total Gain</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9.9</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80"/>
        </w:trPr>
        <w:tc>
          <w:tcPr>
            <w:tcW w:w="24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effect and financial statement location of our derivative instruments not designated as hedging instruments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(in millions):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480" w:type="dxa"/>
            <w:vAlign w:val="bottom"/>
          </w:tcPr>
          <w:p>
            <w:pPr>
              <w:ind w:left="1900"/>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6"/>
                <w:szCs w:val="16"/>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Other (expense),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(Loss) Gain</w:t>
            </w: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shd w:val="clear" w:color="auto" w:fill="CCEEFF"/>
          </w:tcPr>
          <w:p>
            <w:pPr>
              <w:spacing w:after="0"/>
              <w:rPr>
                <w:sz w:val="6"/>
                <w:szCs w:val="6"/>
                <w:color w:val="auto"/>
              </w:rPr>
            </w:pPr>
          </w:p>
        </w:tc>
        <w:tc>
          <w:tcPr>
            <w:tcW w:w="34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3"/>
            <w:vMerge w:val="restart"/>
          </w:tcPr>
          <w:p>
            <w:pPr>
              <w:jc w:val="center"/>
              <w:ind w:right="248"/>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480" w:type="dxa"/>
            <w:vAlign w:val="bottom"/>
          </w:tcPr>
          <w:p>
            <w:pPr>
              <w:ind w:left="2340"/>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6"/>
                <w:szCs w:val="16"/>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61.6</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Cost of revenue</w:t>
            </w:r>
          </w:p>
        </w:tc>
        <w:tc>
          <w:tcPr>
            <w:tcW w:w="34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(65.2)</w:t>
            </w:r>
          </w:p>
        </w:tc>
        <w:tc>
          <w:tcPr>
            <w:tcW w:w="56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80"/>
        </w:trPr>
        <w:tc>
          <w:tcPr>
            <w:tcW w:w="4860" w:type="dxa"/>
            <w:vAlign w:val="bottom"/>
            <w:tcBorders>
              <w:bottom w:val="single" w:sz="8" w:color="CCEEFF"/>
            </w:tcBorders>
          </w:tcPr>
          <w:p>
            <w:pPr>
              <w:spacing w:after="0"/>
              <w:rPr>
                <w:sz w:val="6"/>
                <w:szCs w:val="6"/>
                <w:color w:val="auto"/>
              </w:rPr>
            </w:pPr>
          </w:p>
        </w:tc>
        <w:tc>
          <w:tcPr>
            <w:tcW w:w="34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0"/>
        </w:trPr>
        <w:tc>
          <w:tcPr>
            <w:tcW w:w="486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3480" w:type="dxa"/>
            <w:vAlign w:val="bottom"/>
          </w:tcPr>
          <w:p>
            <w:pPr>
              <w:ind w:left="1900"/>
              <w:spacing w:after="0"/>
              <w:rPr>
                <w:sz w:val="20"/>
                <w:szCs w:val="20"/>
                <w:color w:val="auto"/>
              </w:rPr>
            </w:pPr>
            <w:r>
              <w:rPr>
                <w:rFonts w:ascii="Arial" w:cs="Arial" w:eastAsia="Arial" w:hAnsi="Arial"/>
                <w:sz w:val="14"/>
                <w:szCs w:val="14"/>
                <w:color w:val="auto"/>
              </w:rPr>
              <w:t>Other (expense), net</w:t>
            </w:r>
          </w:p>
        </w:tc>
        <w:tc>
          <w:tcPr>
            <w:tcW w:w="34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80"/>
        </w:trPr>
        <w:tc>
          <w:tcPr>
            <w:tcW w:w="4860" w:type="dxa"/>
            <w:vAlign w:val="bottom"/>
            <w:tcBorders>
              <w:bottom w:val="single" w:sz="8" w:color="CCEEFF"/>
            </w:tcBorders>
          </w:tcPr>
          <w:p>
            <w:pPr>
              <w:spacing w:after="0"/>
              <w:rPr>
                <w:sz w:val="6"/>
                <w:szCs w:val="6"/>
                <w:color w:val="auto"/>
              </w:rPr>
            </w:pPr>
          </w:p>
        </w:tc>
        <w:tc>
          <w:tcPr>
            <w:tcW w:w="34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shd w:val="clear" w:color="auto" w:fill="CCEEFF"/>
          </w:tcPr>
          <w:p>
            <w:pPr>
              <w:spacing w:after="0"/>
              <w:rPr>
                <w:sz w:val="6"/>
                <w:szCs w:val="6"/>
                <w:color w:val="auto"/>
              </w:rPr>
            </w:pPr>
          </w:p>
        </w:tc>
        <w:tc>
          <w:tcPr>
            <w:tcW w:w="34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color w:val="auto"/>
              </w:rPr>
              <w:t>Total Gain</w:t>
            </w:r>
          </w:p>
        </w:tc>
        <w:tc>
          <w:tcPr>
            <w:tcW w:w="34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80"/>
        </w:trPr>
        <w:tc>
          <w:tcPr>
            <w:tcW w:w="486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68"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068"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periodically provide collateral. Certain derivative contracts contain credit-risk-related contingent clauses which are triggered by credit events. These credit events may include the 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9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333333"/>
        </w:rPr>
        <w:t>Potential Collateral Requirements for</w:t>
      </w:r>
    </w:p>
    <w:p>
      <w:pPr>
        <w:jc w:val="center"/>
        <w:ind w:left="7920"/>
        <w:spacing w:after="0" w:line="226" w:lineRule="auto"/>
        <w:rPr>
          <w:sz w:val="20"/>
          <w:szCs w:val="20"/>
          <w:color w:val="auto"/>
        </w:rPr>
      </w:pPr>
      <w:r>
        <w:rPr>
          <w:rFonts w:ascii="Arial" w:cs="Arial" w:eastAsia="Arial" w:hAnsi="Arial"/>
          <w:sz w:val="14"/>
          <w:szCs w:val="14"/>
          <w:b w:val="1"/>
          <w:bCs w:val="1"/>
          <w:color w:val="333333"/>
        </w:rPr>
        <w:t>Derivative Liabilities with</w:t>
      </w:r>
    </w:p>
    <w:p>
      <w:pPr>
        <w:spacing w:after="0" w:line="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333333"/>
        </w:rPr>
        <w:t>Credit-Risk-Contingent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38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333333"/>
              </w:rPr>
              <w:t>As of September 30, 2018</w:t>
            </w:r>
          </w:p>
        </w:tc>
        <w:tc>
          <w:tcPr>
            <w:tcW w:w="1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333333"/>
              </w:rPr>
              <w:t>As of December 31, 2017</w:t>
            </w:r>
          </w:p>
        </w:tc>
      </w:tr>
      <w:tr>
        <w:trPr>
          <w:trHeight w:val="80"/>
        </w:trPr>
        <w:tc>
          <w:tcPr>
            <w:tcW w:w="584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84"/>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derivatives liability positions with credit contingent features</w:t>
            </w:r>
          </w:p>
        </w:tc>
        <w:tc>
          <w:tcPr>
            <w:tcW w:w="27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c>
          <w:tcPr>
            <w:tcW w:w="8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80"/>
        </w:trPr>
        <w:tc>
          <w:tcPr>
            <w:tcW w:w="584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Maximum potential collateral requirements</w:t>
            </w:r>
          </w:p>
        </w:tc>
        <w:tc>
          <w:tcPr>
            <w:tcW w:w="27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8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80"/>
        </w:trPr>
        <w:tc>
          <w:tcPr>
            <w:tcW w:w="584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At September 30, 2018 and December 31, 2017, there was no collateral held by our counterparties on these derivative contracts with credit-risk-contingent features.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Goodwill arises because the purchase price paid for our acquisitions reflects numerous factors, including the strategic fit and expected synergies these acquisitions bring to our existing operations. Goodwill is recorded at fair value and is reviewed at least annually for impairment.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3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326.9</w:t>
            </w:r>
          </w:p>
        </w:tc>
        <w:tc>
          <w:tcPr>
            <w:tcW w:w="11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518.5</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845.5</w:t>
            </w: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Additions</w:t>
            </w:r>
          </w:p>
        </w:tc>
        <w:tc>
          <w:tcPr>
            <w:tcW w:w="3120" w:type="dxa"/>
            <w:vAlign w:val="bottom"/>
          </w:tcPr>
          <w:p>
            <w:pPr>
              <w:spacing w:after="0"/>
              <w:rPr>
                <w:sz w:val="22"/>
                <w:szCs w:val="22"/>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4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13.4</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3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2018</w:t>
            </w:r>
          </w:p>
        </w:tc>
        <w:tc>
          <w:tcPr>
            <w:tcW w:w="3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322.8</w:t>
            </w:r>
          </w:p>
        </w:tc>
        <w:tc>
          <w:tcPr>
            <w:tcW w:w="11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532.8</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855.6</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6880" w:hanging="332"/>
        <w:spacing w:after="0" w:line="494" w:lineRule="auto"/>
        <w:tabs>
          <w:tab w:leader="none" w:pos="19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Interest Income, Expense and Other Finance Costs </w:t>
      </w:r>
      <w:r>
        <w:rPr>
          <w:rFonts w:ascii="Arial" w:cs="Arial" w:eastAsia="Arial" w:hAnsi="Arial"/>
          <w:sz w:val="17"/>
          <w:szCs w:val="17"/>
          <w:color w:val="auto"/>
        </w:rPr>
        <w:t>Our debt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6"/>
                <w:szCs w:val="16"/>
                <w:color w:val="auto"/>
              </w:rPr>
            </w:pPr>
          </w:p>
        </w:tc>
      </w:tr>
      <w:tr>
        <w:trPr>
          <w:trHeight w:val="80"/>
        </w:trPr>
        <w:tc>
          <w:tcPr>
            <w:tcW w:w="766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52"/>
        </w:trPr>
        <w:tc>
          <w:tcPr>
            <w:tcW w:w="7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13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209.0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13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523.2</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Capital leases</w:t>
            </w:r>
          </w:p>
        </w:tc>
        <w:tc>
          <w:tcPr>
            <w:tcW w:w="13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7.7</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3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debt</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742.3</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910.2</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maturities of long-term debt and capital leases</w:t>
            </w:r>
          </w:p>
        </w:tc>
        <w:tc>
          <w:tcPr>
            <w:tcW w:w="138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706.6</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884.6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6"/>
                <w:szCs w:val="16"/>
                <w:color w:val="auto"/>
              </w:rPr>
            </w:pPr>
          </w:p>
        </w:tc>
        <w:tc>
          <w:tcPr>
            <w:tcW w:w="26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w:t>
            </w:r>
          </w:p>
        </w:tc>
        <w:tc>
          <w:tcPr>
            <w:tcW w:w="10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9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w:t>
            </w:r>
          </w:p>
        </w:tc>
        <w:tc>
          <w:tcPr>
            <w:tcW w:w="10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r>
      <w:tr>
        <w:trPr>
          <w:trHeight w:val="264"/>
        </w:trPr>
        <w:tc>
          <w:tcPr>
            <w:tcW w:w="5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0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w:t>
            </w:r>
          </w:p>
        </w:tc>
        <w:tc>
          <w:tcPr>
            <w:tcW w:w="10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than market rates. Based on the fair value hierarchy, our debt of $742.3 million and $910.2 million as of September 30, 2018 and December 31, 2017, respectively, and our notes receivable of $26.9 million and $44.9 million as of September 30, 2018 and December 31, 2017, respectively, are categorized in Level 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42"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Fair Value measurements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 Inputs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3 Inputs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Total Fair Value</w:t>
            </w: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421.8</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131.4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556.7</w:t>
            </w: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421.8</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565.5</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414.7</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161.7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579.0</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414.7</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581.6</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gridSpan w:val="6"/>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8"/>
        </w:trPr>
        <w:tc>
          <w:tcPr>
            <w:tcW w:w="4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1140" w:type="dxa"/>
            <w:vAlign w:val="bottom"/>
            <w:tcBorders>
              <w:bottom w:val="single" w:sz="8" w:color="auto"/>
            </w:tcBorders>
          </w:tcPr>
          <w:p>
            <w:pPr>
              <w:spacing w:after="0"/>
              <w:rPr>
                <w:sz w:val="24"/>
                <w:szCs w:val="24"/>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 Inputs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3 Inputs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Total Fair Value</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196.3</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2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30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196.3</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317.7</w:t>
            </w:r>
          </w:p>
        </w:tc>
      </w:tr>
      <w:tr>
        <w:trPr>
          <w:trHeight w:val="284"/>
        </w:trPr>
        <w:tc>
          <w:tcPr>
            <w:tcW w:w="42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210.6</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323.9</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210.6</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periods presented. The fair values of our commodity contracts measured using Level 3 inputs were not material at September 30, 2018 and December 31, 2017,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w w:val="99"/>
              </w:rPr>
              <w:t>Fair Value as of September 30, 2018</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Pr>
          <w:p>
            <w:pPr>
              <w:spacing w:after="0"/>
              <w:rPr>
                <w:sz w:val="23"/>
                <w:szCs w:val="23"/>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Pr>
          <w:p>
            <w:pPr>
              <w:spacing w:after="0"/>
              <w:rPr>
                <w:sz w:val="23"/>
                <w:szCs w:val="23"/>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Pr>
          <w:p>
            <w:pPr>
              <w:spacing w:after="0"/>
              <w:rPr>
                <w:sz w:val="23"/>
                <w:szCs w:val="23"/>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80"/>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556.7</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474.2</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82.5</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559.1</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475.4</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83.7</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579.0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474.2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104.8</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581.6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475.4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106.2</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1"/>
              </w:rPr>
              <w:t>Fair Value as of December 31, 2017</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303.6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2018 and December 31, 2017, we did not present any amounts gross on our consolidated balance sheet where we had the right of offset.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September 30, 2018, one counterparty, with credit risk in the amount of $3.8 million, represented over 10% of our credit exposure to OTC derivative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56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4"/>
              </w:rPr>
              <w:t>For the Three Months Ended</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276"/>
        </w:trPr>
        <w:tc>
          <w:tcPr>
            <w:tcW w:w="5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36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24"/>
                <w:szCs w:val="24"/>
                <w:color w:val="auto"/>
              </w:rPr>
            </w:pPr>
          </w:p>
        </w:tc>
      </w:tr>
      <w:tr>
        <w:trPr>
          <w:trHeight w:val="264"/>
        </w:trPr>
        <w:tc>
          <w:tcPr>
            <w:tcW w:w="5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r>
        <w:trPr>
          <w:trHeight w:val="264"/>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23.0</w:t>
            </w:r>
          </w:p>
        </w:tc>
        <w:tc>
          <w:tcPr>
            <w:tcW w:w="10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82.6</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42.7</w:t>
            </w:r>
          </w:p>
        </w:tc>
        <w:tc>
          <w:tcPr>
            <w:tcW w:w="5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92.2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0"/>
        </w:trPr>
        <w:tc>
          <w:tcPr>
            <w:tcW w:w="5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58"/>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37.3%</w:t>
            </w:r>
          </w:p>
        </w:tc>
        <w:tc>
          <w:tcPr>
            <w:tcW w:w="10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185.0%</w:t>
            </w: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30.1%</w:t>
            </w: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5"/>
              </w:rPr>
              <w:t>79.8%</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Our provision for income taxes for the three months ended September 30, 2018 was $23.0 million resulting in an effective income tax rate of 37.3%. The provision includes an adjustment for an income tax expense of $1.5 million, net, for discrete items primarily related to a change in valuation allowance in the U.S. Without the $1.5 million in discrete items, the effective income tax rate would have been 34.9% for the three months ended September 30, 2018.</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provision for income taxes for the three months ended September 30, 2017 was $82.6 million resulting in an effective tax rate of 185%. The provision includes a valuation allowance recorded against our U.S. deferred tax assets of $76.9 million. The valuation allowance was comprised of $24.0 million of deferred tax assets generated during 2017 and $52.9 million related to deferred tax assets generated in previous years. In addition, the provision also included an income tax expense of $1.7 million, net, for discrete items related to changes in estimates in uncertain tax positions, and an adjustment for stock based compensation. Without the $76.9 million valuation allowance and the $1.7 million in discrete items, the three months ended September 30, 2017. effective income tax rate would have been 12.5%.</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provision for income taxes for the nine months ended September 30, 2018 was $42.7 million resulting in an effective income tax rate of 30.1%. The provision includes an adjustment for an income tax benefit of $7.4 million, net, for discrete items primarily related to an adjustment pursuant to the accounting of the Tax Reform Act, changes in the valuation allowance in various jurisdictions, and an adjustment for stock based compensation in accordance with ASU 2016-09. Without the $7.4 million benefit in discrete items, the effective income tax rate would have been 35.3% for the nine months ended September 30, 2018.</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income taxes for the nine months ended September 30, 2017 was $92.2 million resulting in an effective tax rate of 79.8%. The provision includes a valuation allowance of $76.9 million and other discrete amounts, net, of $5.6 million related to changes in estimates in uncertain tax positions, and an adjustment for stock based compensation in accordance with ASU 2016-09. Without the valuation allowance of $76.9 million and other discrete items, the effective income tax rate would have been 8.3% for the nine months ended September 30, 2017.</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provision for income taxes for each of the three and nine months ended September 30, 2018 and 2017 was calculated based on the estimated annual effective income tax rate for 2018 and 2017 fiscal years. The actual effective income tax rate for the 2018 fiscal year may be materially different as a result of differences between estimated versus actual results and the geographic tax jurisdictions in which the results are earned.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various income tax returns under examination both in the U.S. and foreign jurisdictions. The most significant of these are in South Korea for the 2011 to 2014 tax years, Denmark for the 2013 to 2015 tax years and the U.S. for the 2013 to 2016 tax years. In 2017, the South Korean branch of one of our subsidiaries received income tax assessment notices for the years 2011 to 2014 totaling $10.2 million (KRW 11.3 billion). We believe that these assessments are without merit and are currently appealing the actions. During the quarter ended March 31, 2018, one of our subsidiaries in Denmark received an audit inquiry from the Danish tax authority relating to transfer pricing and related issues for the tax years 2013 to 2015. In addition, in 2017, we received a notice of examination from the U.S. Internal Revenue Service for the 2013 to 2016 tax years. We are currently responding to the requests from the U.S. and Danish tax authorities.</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results of operations or cash flows in the quarter and year in which an adjustment is recorded or the tax is due or paid. As audits and examinations are still in process or we have not yet reached the final stages of the appeals process, the timing of the ultimate resolution and any payments that may be required for the above matters cannot be determined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contracts with customers in various ways including via master supply or blanket sales agreement when combined with some form of nomination and acceptance such as a purchase order or delivery ticket, stand-alone agreements, or through spot transactions where fuel is delivered for immediate settlement. Our contracts primarily require us to deliver fuel and fuel-related products, while other arrangements require us to complete agreed-upon services. Our contracts may contain fixed or variable pricing or some combination of those.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delivery is made to our customers and they obtain control, the sales price is determinable, and collectability is reasonably assured. Fulfillment costs, including those associated with certain transportation costs are included in the transaction price, while taxes assessed by a government authority and certain fees charged by third parties are excluded.</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services, including energy procurement advisory services, international trip planning support, and transaction and payment management processing, are recognized over the contract period when services have been performed and we have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right to invoice for those services. We generally charge a nominal fixed monthly fee coupled with a per transaction fee for the services we provide our customers. For our service contracts, we have applied the practical expedient to recognize revenue in the amount to which we have a right to invoice if we have a right to consideration from a customer in an amount that corresponds directly with the value to the customer of our performance completed to date.</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record fuel sales and services, except revenue from merchant services, on a gross basis as we generally take inventory risk, have latitude in establishing the sales price, have discretion in the supplier selection, maintain credit risk and are the primary obligor in the sales arrangement. Whether the services have been performed and the customer has obtained control are factors we take into consideration in deciding when to recognize revenue. These factors are readily determinable and consistently applied throughout our business. Therefore, we generally have not needed to make material estimates or assumptions with respect to revenue recognition.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we conduct business in. Prior period amounts have not been adjusted under the modified retrospective method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6"/>
                <w:szCs w:val="16"/>
                <w:color w:val="auto"/>
              </w:rPr>
            </w:pPr>
          </w:p>
        </w:tc>
        <w:tc>
          <w:tcPr>
            <w:tcW w:w="21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276"/>
        </w:trPr>
        <w:tc>
          <w:tcPr>
            <w:tcW w:w="6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379.8</w:t>
            </w:r>
          </w:p>
        </w:tc>
        <w:tc>
          <w:tcPr>
            <w:tcW w:w="5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1,135.5</w:t>
            </w:r>
          </w:p>
        </w:tc>
        <w:tc>
          <w:tcPr>
            <w:tcW w:w="5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764.1</w:t>
            </w: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Land</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5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5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6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978.3</w:t>
            </w:r>
          </w:p>
        </w:tc>
        <w:tc>
          <w:tcPr>
            <w:tcW w:w="5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2,581.9</w:t>
            </w:r>
          </w:p>
        </w:tc>
        <w:tc>
          <w:tcPr>
            <w:tcW w:w="5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2,547.5</w:t>
            </w:r>
          </w:p>
        </w:tc>
      </w:tr>
      <w:tr>
        <w:trPr>
          <w:trHeight w:val="264"/>
        </w:trPr>
        <w:tc>
          <w:tcPr>
            <w:tcW w:w="6540" w:type="dxa"/>
            <w:vAlign w:val="bottom"/>
          </w:tcPr>
          <w:p>
            <w:pPr>
              <w:ind w:left="180"/>
              <w:spacing w:after="0"/>
              <w:rPr>
                <w:sz w:val="20"/>
                <w:szCs w:val="20"/>
                <w:color w:val="auto"/>
              </w:rPr>
            </w:pPr>
            <w:r>
              <w:rPr>
                <w:rFonts w:ascii="Arial" w:cs="Arial" w:eastAsia="Arial" w:hAnsi="Arial"/>
                <w:sz w:val="14"/>
                <w:szCs w:val="14"/>
                <w:color w:val="auto"/>
              </w:rPr>
              <w:t>Asia Pacific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1,358.9</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1,066.7</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3,720.0</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3,313.1</w:t>
            </w:r>
          </w:p>
        </w:tc>
      </w:tr>
      <w:tr>
        <w:trPr>
          <w:trHeight w:val="290"/>
        </w:trPr>
        <w:tc>
          <w:tcPr>
            <w:tcW w:w="65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r>
      <w:tr>
        <w:trPr>
          <w:trHeight w:val="258"/>
        </w:trPr>
        <w:tc>
          <w:tcPr>
            <w:tcW w:w="65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1,122.1</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752.0</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2,754.9</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1,821.8</w:t>
            </w: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605.1</w:t>
            </w: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1,920.6</w:t>
            </w: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1,680.9</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914.7</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2,384.3</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1,993.3</w:t>
            </w:r>
          </w:p>
        </w:tc>
      </w:tr>
      <w:tr>
        <w:trPr>
          <w:trHeight w:val="270"/>
        </w:trPr>
        <w:tc>
          <w:tcPr>
            <w:tcW w:w="6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EMEA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2,641.9</w:t>
            </w:r>
          </w:p>
        </w:tc>
        <w:tc>
          <w:tcPr>
            <w:tcW w:w="5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7,059.8</w:t>
            </w:r>
          </w:p>
        </w:tc>
        <w:tc>
          <w:tcPr>
            <w:tcW w:w="5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5,496.1</w:t>
            </w:r>
          </w:p>
        </w:tc>
      </w:tr>
      <w:tr>
        <w:trPr>
          <w:trHeight w:val="284"/>
        </w:trPr>
        <w:tc>
          <w:tcPr>
            <w:tcW w:w="6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468.0</w:t>
            </w:r>
          </w:p>
        </w:tc>
        <w:tc>
          <w:tcPr>
            <w:tcW w:w="5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1,435.5</w:t>
            </w:r>
          </w:p>
        </w:tc>
        <w:tc>
          <w:tcPr>
            <w:tcW w:w="5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964.4</w:t>
            </w: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Land</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136.1</w:t>
            </w:r>
          </w:p>
        </w:tc>
        <w:tc>
          <w:tcPr>
            <w:tcW w:w="5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476.7</w:t>
            </w:r>
          </w:p>
        </w:tc>
        <w:tc>
          <w:tcPr>
            <w:tcW w:w="5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508.3</w:t>
            </w:r>
          </w:p>
        </w:tc>
      </w:tr>
      <w:tr>
        <w:trPr>
          <w:trHeight w:val="270"/>
        </w:trPr>
        <w:tc>
          <w:tcPr>
            <w:tcW w:w="6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156.6</w:t>
            </w:r>
          </w:p>
        </w:tc>
        <w:tc>
          <w:tcPr>
            <w:tcW w:w="5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439.9</w:t>
            </w:r>
          </w:p>
        </w:tc>
        <w:tc>
          <w:tcPr>
            <w:tcW w:w="5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416.4</w:t>
            </w:r>
          </w:p>
        </w:tc>
      </w:tr>
      <w:tr>
        <w:trPr>
          <w:trHeight w:val="264"/>
        </w:trPr>
        <w:tc>
          <w:tcPr>
            <w:tcW w:w="6540" w:type="dxa"/>
            <w:vAlign w:val="bottom"/>
          </w:tcPr>
          <w:p>
            <w:pPr>
              <w:ind w:left="180"/>
              <w:spacing w:after="0"/>
              <w:rPr>
                <w:sz w:val="20"/>
                <w:szCs w:val="20"/>
                <w:color w:val="auto"/>
              </w:rPr>
            </w:pPr>
            <w:r>
              <w:rPr>
                <w:rFonts w:ascii="Arial" w:cs="Arial" w:eastAsia="Arial" w:hAnsi="Arial"/>
                <w:sz w:val="14"/>
                <w:szCs w:val="14"/>
                <w:color w:val="auto"/>
              </w:rPr>
              <w:t>LATAM</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760.8</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639.1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2,352.1</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1,889.1</w:t>
            </w:r>
          </w:p>
        </w:tc>
      </w:tr>
      <w:tr>
        <w:trPr>
          <w:trHeight w:val="276"/>
        </w:trPr>
        <w:tc>
          <w:tcPr>
            <w:tcW w:w="65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r>
      <w:tr>
        <w:trPr>
          <w:trHeight w:val="258"/>
        </w:trPr>
        <w:tc>
          <w:tcPr>
            <w:tcW w:w="65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3,098.7</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2,420.7</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9,019.3</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6,972.2</w:t>
            </w: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2,078.4</w:t>
            </w: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6,179.3</w:t>
            </w: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5,893.2</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433.6</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1,071.5</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784.1</w:t>
            </w:r>
          </w:p>
        </w:tc>
      </w:tr>
      <w:tr>
        <w:trPr>
          <w:trHeight w:val="270"/>
        </w:trPr>
        <w:tc>
          <w:tcPr>
            <w:tcW w:w="6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North America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5,610.7</w:t>
            </w:r>
          </w:p>
        </w:tc>
        <w:tc>
          <w:tcPr>
            <w:tcW w:w="5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16,270.1</w:t>
            </w:r>
          </w:p>
        </w:tc>
        <w:tc>
          <w:tcPr>
            <w:tcW w:w="5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13,649.5</w:t>
            </w:r>
          </w:p>
        </w:tc>
      </w:tr>
      <w:tr>
        <w:trPr>
          <w:trHeight w:val="284"/>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revenues (excluded from ASC 606)</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5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359.8</w:t>
            </w:r>
          </w:p>
        </w:tc>
        <w:tc>
          <w:tcPr>
            <w:tcW w:w="5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475.7</w:t>
            </w:r>
          </w:p>
        </w:tc>
      </w:tr>
      <w:tr>
        <w:trPr>
          <w:trHeight w:val="284"/>
        </w:trPr>
        <w:tc>
          <w:tcPr>
            <w:tcW w:w="6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58"/>
        </w:trPr>
        <w:tc>
          <w:tcPr>
            <w:tcW w:w="65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10,429.5</w:t>
            </w:r>
          </w:p>
        </w:tc>
        <w:tc>
          <w:tcPr>
            <w:tcW w:w="5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8,543.0</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29,761.7</w:t>
            </w:r>
          </w:p>
        </w:tc>
        <w:tc>
          <w:tcPr>
            <w:tcW w:w="5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24,823.4</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contract assets and liabilities balances and the changes in these balances were not material for the three and nine months ended September 30, 2018.</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Within our land and aviation segments, contracts with customers, include multi-year fuel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The variable consideration is allocated entirely to the respective performance obligation. We applied the optional exemptions from disclosing the information about our remaining performance obligations from these contracts.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we applied the optional exemptions from disclosing the information about our remaining performance obligations for contracts from our service contracts in the amount to which we have the right to invoice or for contracts with customers that have an original expected duration of one year or less.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practical expedients applied affecting our measurement and recognition of revenue as well as our disclosures relate to our treatment of shipping and handling and taxes. If we perform shipping and handling activities after our customer obtains control</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of goods or services, then we will account for these shipping and handling costs as activities to fulfill the promise to transfer the good. We record revenue net of taxes assessed by a governmental authority that are both imposed on and concurrent with a specific revenue-producing transaction and collected by us from a customer (for example, sales, use, value added, and certain excise taxes). Additionally, we will not adjust the promised amount of consideration for the effects of a significant financing component if we expect, at contract inception, that the period between when we transfer a promised good or service to a customer and when the customer pays for that good or service is one year or less.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aviation segment, we offer fuel and fuel-related products and services to major commercial airlines, second and third-tier airlines, cargo carriers, regional and low cost carriers, airports, fixed based operators, corporate fleets, fractional operators, and private aircraft. In addition, we supply products and services to U.S. and foreign government, intergovernmental and military customers, such as the North Atlantic Treaty Organization (NATO) and the U.S. Defense Logistics Agency.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8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2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For the Nine Months Ended</w:t>
            </w:r>
          </w:p>
        </w:tc>
      </w:tr>
      <w:tr>
        <w:trPr>
          <w:trHeight w:val="270"/>
        </w:trPr>
        <w:tc>
          <w:tcPr>
            <w:tcW w:w="4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23"/>
                <w:szCs w:val="23"/>
                <w:color w:val="auto"/>
              </w:rPr>
            </w:pPr>
          </w:p>
        </w:tc>
      </w:tr>
      <w:tr>
        <w:trPr>
          <w:trHeight w:val="53"/>
        </w:trPr>
        <w:tc>
          <w:tcPr>
            <w:tcW w:w="41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8"/>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5,025.3</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14,218.9</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10,531.6</w:t>
            </w: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2,854.4</w:t>
            </w:r>
          </w:p>
        </w:tc>
        <w:tc>
          <w:tcPr>
            <w:tcW w:w="5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2,770.5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8,675.3</w:t>
            </w:r>
          </w:p>
        </w:tc>
        <w:tc>
          <w:tcPr>
            <w:tcW w:w="5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8,117.9</w:t>
            </w:r>
          </w:p>
        </w:tc>
      </w:tr>
      <w:tr>
        <w:trPr>
          <w:trHeight w:val="270"/>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2,549.8</w:t>
            </w: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6,867.5</w:t>
            </w: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6,173.9</w:t>
            </w:r>
          </w:p>
        </w:tc>
      </w:tr>
      <w:tr>
        <w:trPr>
          <w:trHeight w:val="304"/>
        </w:trPr>
        <w:tc>
          <w:tcPr>
            <w:tcW w:w="4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10,429.5</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8,543.0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29,761.7</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24,823.4</w:t>
            </w:r>
          </w:p>
        </w:tc>
      </w:tr>
      <w:tr>
        <w:trPr>
          <w:trHeight w:val="311"/>
        </w:trPr>
        <w:tc>
          <w:tcPr>
            <w:tcW w:w="410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140.7</w:t>
            </w:r>
          </w:p>
        </w:tc>
        <w:tc>
          <w:tcPr>
            <w:tcW w:w="5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378.0</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w:t>
            </w: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24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83.0</w:t>
            </w:r>
          </w:p>
        </w:tc>
        <w:tc>
          <w:tcPr>
            <w:tcW w:w="5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273.8</w:t>
            </w:r>
          </w:p>
        </w:tc>
        <w:tc>
          <w:tcPr>
            <w:tcW w:w="5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270.5</w:t>
            </w:r>
          </w:p>
        </w:tc>
      </w:tr>
      <w:tr>
        <w:trPr>
          <w:trHeight w:val="270"/>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43.0</w:t>
            </w: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104.5</w:t>
            </w: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r>
      <w:tr>
        <w:trPr>
          <w:trHeight w:val="304"/>
        </w:trPr>
        <w:tc>
          <w:tcPr>
            <w:tcW w:w="4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266.7</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756.3</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702.3</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410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2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76.4</w:t>
            </w: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188.3</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151.7</w:t>
            </w:r>
          </w:p>
        </w:tc>
      </w:tr>
      <w:tr>
        <w:trPr>
          <w:trHeight w:val="276"/>
        </w:trPr>
        <w:tc>
          <w:tcPr>
            <w:tcW w:w="4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37.7</w:t>
            </w: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r>
      <w:tr>
        <w:trPr>
          <w:trHeight w:val="264"/>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r>
      <w:tr>
        <w:trPr>
          <w:trHeight w:val="270"/>
        </w:trPr>
        <w:tc>
          <w:tcPr>
            <w:tcW w:w="410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98.6</w:t>
            </w: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256.9</w:t>
            </w: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218.4</w:t>
            </w:r>
          </w:p>
        </w:tc>
      </w:tr>
      <w:tr>
        <w:trPr>
          <w:trHeight w:val="264"/>
        </w:trPr>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2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(60.4)</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w:t>
            </w:r>
          </w:p>
        </w:tc>
      </w:tr>
      <w:tr>
        <w:trPr>
          <w:trHeight w:val="264"/>
        </w:trPr>
        <w:tc>
          <w:tcPr>
            <w:tcW w:w="410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78.2</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196.4</w:t>
            </w:r>
          </w:p>
        </w:tc>
        <w:tc>
          <w:tcPr>
            <w:tcW w:w="5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157"/>
        </w:trPr>
        <w:tc>
          <w:tcPr>
            <w:tcW w:w="7660" w:type="dxa"/>
            <w:vAlign w:val="bottom"/>
          </w:tcPr>
          <w:p>
            <w:pPr>
              <w:ind w:left="180"/>
              <w:spacing w:after="0" w:line="157" w:lineRule="exact"/>
              <w:rPr>
                <w:sz w:val="20"/>
                <w:szCs w:val="20"/>
                <w:color w:val="auto"/>
              </w:rPr>
            </w:pPr>
            <w:r>
              <w:rPr>
                <w:rFonts w:ascii="Arial" w:cs="Arial" w:eastAsia="Arial" w:hAnsi="Arial"/>
                <w:sz w:val="14"/>
                <w:szCs w:val="14"/>
                <w:color w:val="auto"/>
              </w:rPr>
              <w:t>Aviation segment, net of allowance for bad debt of $11.1 and $10.8 as of September 30, 2018 and December 31, 2017,</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1,107.9</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1,013.0</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Land segment, net of allowance for bad debt of $2.8 and $6.6 as of September 30, 2018 and December 31, 2017, respectively</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874.7</w:t>
            </w:r>
          </w:p>
        </w:tc>
      </w:tr>
      <w:tr>
        <w:trPr>
          <w:trHeight w:val="157"/>
        </w:trPr>
        <w:tc>
          <w:tcPr>
            <w:tcW w:w="7660" w:type="dxa"/>
            <w:vAlign w:val="bottom"/>
          </w:tcPr>
          <w:p>
            <w:pPr>
              <w:ind w:left="180"/>
              <w:spacing w:after="0" w:line="157" w:lineRule="exact"/>
              <w:rPr>
                <w:sz w:val="20"/>
                <w:szCs w:val="20"/>
                <w:color w:val="auto"/>
              </w:rPr>
            </w:pPr>
            <w:r>
              <w:rPr>
                <w:rFonts w:ascii="Arial" w:cs="Arial" w:eastAsia="Arial" w:hAnsi="Arial"/>
                <w:sz w:val="14"/>
                <w:szCs w:val="14"/>
                <w:color w:val="auto"/>
              </w:rPr>
              <w:t>Marine segment, net of allowance for bad debt of $10.7 and $10.4 as of September 30, 2018 and December 31, 2017,</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respectively</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1,043.6</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817.9</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3,106.9</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2,705.6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2,397.8</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2,240.4</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2,171.3</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2,091.4</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1,097.1</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158.9</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6,008.0</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5,587.8</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During each of the periods presented on the consolidated statements of income and comprehensive income, none of our customers accounted for more than 10% of total consolidated revenue. Sales to government customers, which includes sales to the U.S. Defense Logistics Agency and NATO, have accounted for a material portion of our profitability in recent years and we expect this to continue in the foreseeable future.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Furthermore, changes in military policies or priorities, such as the decision to withdraw or reduce armed force levels in different geographies, can be sudden, subjecting us to losses or higher expenses associated with disposing of unused inventory, removal or abandonment of equipment and relocation of employees.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jc w:val="center"/>
        <w:ind w:left="5720"/>
        <w:spacing w:after="0"/>
        <w:rPr>
          <w:sz w:val="20"/>
          <w:szCs w:val="20"/>
          <w:color w:val="auto"/>
        </w:rPr>
      </w:pPr>
      <w:r>
        <w:rPr>
          <w:rFonts w:ascii="Arial" w:cs="Arial" w:eastAsia="Arial" w:hAnsi="Arial"/>
          <w:sz w:val="13"/>
          <w:szCs w:val="13"/>
          <w:b w:val="1"/>
          <w:bCs w:val="1"/>
          <w:color w:val="auto"/>
        </w:rPr>
        <w:t>For the Three Months Ended</w:t>
      </w:r>
    </w:p>
    <w:p>
      <w:pPr>
        <w:spacing w:after="0" w:line="121"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35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03" w:lineRule="exact"/>
        <w:rPr>
          <w:sz w:val="20"/>
          <w:szCs w:val="20"/>
          <w:color w:val="auto"/>
        </w:rPr>
      </w:pPr>
    </w:p>
    <w:p>
      <w:pPr>
        <w:ind w:left="6160"/>
        <w:spacing w:after="0"/>
        <w:tabs>
          <w:tab w:leader="none" w:pos="76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For the Nine Months Ended</w:t>
      </w:r>
    </w:p>
    <w:p>
      <w:pPr>
        <w:spacing w:after="0" w:line="121"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23495</wp:posOffset>
            </wp:positionV>
            <wp:extent cx="17837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150" w:lineRule="exact"/>
        <w:rPr>
          <w:sz w:val="20"/>
          <w:szCs w:val="20"/>
          <w:color w:val="auto"/>
        </w:rPr>
      </w:pPr>
    </w:p>
    <w:p>
      <w:pPr>
        <w:sectPr>
          <w:pgSz w:w="11900" w:h="16838" w:orient="portrait"/>
          <w:cols w:equalWidth="0" w:num="2">
            <w:col w:w="8420" w:space="720"/>
            <w:col w:w="22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Numerator:</w:t>
      </w:r>
    </w:p>
    <w:p>
      <w:pPr>
        <w:spacing w:after="0" w:line="109" w:lineRule="exact"/>
        <w:rPr>
          <w:sz w:val="20"/>
          <w:szCs w:val="20"/>
          <w:color w:val="auto"/>
        </w:rPr>
      </w:pPr>
    </w:p>
    <w:p>
      <w:pPr>
        <w:ind w:left="180"/>
        <w:spacing w:after="0"/>
        <w:tabs>
          <w:tab w:leader="none" w:pos="5620" w:val="left"/>
          <w:tab w:leader="none" w:pos="6620" w:val="left"/>
          <w:tab w:leader="none" w:pos="7140" w:val="left"/>
          <w:tab w:leader="none" w:pos="8080" w:val="left"/>
          <w:tab w:leader="none" w:pos="8620" w:val="left"/>
          <w:tab w:leader="none" w:pos="9580" w:val="left"/>
          <w:tab w:leader="none" w:pos="10080" w:val="left"/>
          <w:tab w:leader="none" w:pos="11040" w:val="left"/>
        </w:tabs>
        <w:rPr>
          <w:sz w:val="20"/>
          <w:szCs w:val="20"/>
          <w:color w:val="auto"/>
        </w:rPr>
      </w:pPr>
      <w:r>
        <w:rPr>
          <w:rFonts w:ascii="Arial" w:cs="Arial" w:eastAsia="Arial" w:hAnsi="Arial"/>
          <w:sz w:val="14"/>
          <w:szCs w:val="14"/>
          <w:color w:val="auto"/>
        </w:rPr>
        <w:t>Net income attributable to World Fuel</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38.2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(38.5)</w:t>
        <w:tab/>
        <w:t>$</w:t>
      </w:r>
      <w:r>
        <w:rPr>
          <w:sz w:val="20"/>
          <w:szCs w:val="20"/>
          <w:color w:val="auto"/>
        </w:rPr>
        <w:tab/>
      </w:r>
      <w:r>
        <w:rPr>
          <w:rFonts w:ascii="Arial" w:cs="Arial" w:eastAsia="Arial" w:hAnsi="Arial"/>
          <w:sz w:val="14"/>
          <w:szCs w:val="14"/>
          <w:color w:val="auto"/>
        </w:rPr>
        <w:t>98.1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Denominator:</w:t>
      </w:r>
    </w:p>
    <w:p>
      <w:pPr>
        <w:sectPr>
          <w:pgSz w:w="11900" w:h="16838" w:orient="portrait"/>
          <w:cols w:equalWidth="0" w:num="1">
            <w:col w:w="11420"/>
          </w:cols>
          <w:pgMar w:left="240" w:top="125" w:right="239" w:bottom="1440" w:gutter="0" w:footer="0" w:header="0"/>
          <w:type w:val="continuous"/>
        </w:sectPr>
      </w:pP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00" w:type="dxa"/>
            <w:vAlign w:val="bottom"/>
          </w:tcPr>
          <w:p>
            <w:pPr>
              <w:ind w:left="18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1520" w:type="dxa"/>
            <w:vAlign w:val="bottom"/>
          </w:tcPr>
          <w:p>
            <w:pPr>
              <w:jc w:val="right"/>
              <w:ind w:right="568"/>
              <w:spacing w:after="0"/>
              <w:rPr>
                <w:sz w:val="20"/>
                <w:szCs w:val="20"/>
                <w:color w:val="auto"/>
              </w:rPr>
            </w:pPr>
            <w:r>
              <w:rPr>
                <w:rFonts w:ascii="Arial" w:cs="Arial" w:eastAsia="Arial" w:hAnsi="Arial"/>
                <w:sz w:val="14"/>
                <w:szCs w:val="14"/>
                <w:color w:val="auto"/>
              </w:rPr>
              <w:t>67.5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67.9</w:t>
            </w:r>
          </w:p>
        </w:tc>
      </w:tr>
      <w:tr>
        <w:trPr>
          <w:trHeight w:val="276"/>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Effect of dilutive securities</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67.7</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67"/>
        </w:trPr>
        <w:tc>
          <w:tcPr>
            <w:tcW w:w="6000" w:type="dxa"/>
            <w:vAlign w:val="bottom"/>
          </w:tcPr>
          <w:p>
            <w:pPr>
              <w:ind w:left="40"/>
              <w:spacing w:after="0"/>
              <w:rPr>
                <w:sz w:val="20"/>
                <w:szCs w:val="20"/>
                <w:color w:val="auto"/>
              </w:rPr>
            </w:pPr>
            <w:r>
              <w:rPr>
                <w:rFonts w:ascii="Arial" w:cs="Arial" w:eastAsia="Arial" w:hAnsi="Arial"/>
                <w:sz w:val="14"/>
                <w:szCs w:val="14"/>
                <w:color w:val="auto"/>
              </w:rPr>
              <w:t>Weighted average securities which are not included in the calculation of diluted earnings per</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9"/>
        </w:trPr>
        <w:tc>
          <w:tcPr>
            <w:tcW w:w="6000" w:type="dxa"/>
            <w:vAlign w:val="bottom"/>
          </w:tcPr>
          <w:p>
            <w:pPr>
              <w:ind w:left="40"/>
              <w:spacing w:after="0" w:line="149" w:lineRule="exact"/>
              <w:rPr>
                <w:sz w:val="20"/>
                <w:szCs w:val="20"/>
                <w:color w:val="auto"/>
              </w:rPr>
            </w:pPr>
            <w:r>
              <w:rPr>
                <w:rFonts w:ascii="Arial" w:cs="Arial" w:eastAsia="Arial" w:hAnsi="Arial"/>
                <w:sz w:val="14"/>
                <w:szCs w:val="14"/>
                <w:color w:val="auto"/>
              </w:rPr>
              <w:t>common share because their impact is anti-dilutive or their performance conditions have not</w:t>
            </w:r>
          </w:p>
        </w:tc>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been met</w:t>
            </w: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1.0</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color w:val="auto"/>
        </w:rPr>
        <w:t>67.5</w:t>
      </w:r>
      <w:r>
        <w:rPr>
          <w:sz w:val="20"/>
          <w:szCs w:val="20"/>
          <w:color w:val="auto"/>
        </w:rPr>
        <w:tab/>
      </w:r>
      <w:r>
        <w:rPr>
          <w:rFonts w:ascii="Arial" w:cs="Arial" w:eastAsia="Arial" w:hAnsi="Arial"/>
          <w:sz w:val="13"/>
          <w:szCs w:val="13"/>
          <w:color w:val="auto"/>
        </w:rPr>
        <w:t>68.3</w:t>
      </w:r>
    </w:p>
    <w:p>
      <w:pPr>
        <w:spacing w:after="0" w:line="109"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auto"/>
        </w:rPr>
        <w:t>0.3</w:t>
      </w:r>
      <w:r>
        <w:rPr>
          <w:sz w:val="20"/>
          <w:szCs w:val="20"/>
          <w:color w:val="auto"/>
        </w:rPr>
        <w:tab/>
      </w:r>
      <w:r>
        <w:rPr>
          <w:rFonts w:ascii="Arial" w:cs="Arial" w:eastAsia="Arial" w:hAnsi="Arial"/>
          <w:sz w:val="12"/>
          <w:szCs w:val="12"/>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color w:val="auto"/>
        </w:rPr>
        <w:t>67.8</w:t>
      </w:r>
      <w:r>
        <w:rPr>
          <w:sz w:val="20"/>
          <w:szCs w:val="20"/>
          <w:color w:val="auto"/>
        </w:rPr>
        <w:tab/>
      </w:r>
      <w:r>
        <w:rPr>
          <w:rFonts w:ascii="Arial" w:cs="Arial" w:eastAsia="Arial" w:hAnsi="Arial"/>
          <w:sz w:val="13"/>
          <w:szCs w:val="13"/>
          <w:color w:val="auto"/>
        </w:rPr>
        <w:t>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20955</wp:posOffset>
            </wp:positionV>
            <wp:extent cx="1783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880" w:space="720"/>
            <w:col w:w="1820"/>
          </w:cols>
          <w:pgMar w:left="240" w:top="125" w:right="239" w:bottom="1440" w:gutter="0" w:footer="0" w:header="0"/>
          <w:type w:val="continuous"/>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2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0.57</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0.33</w:t>
            </w:r>
          </w:p>
        </w:tc>
      </w:tr>
      <w:tr>
        <w:trPr>
          <w:trHeight w:val="257"/>
        </w:trPr>
        <w:tc>
          <w:tcPr>
            <w:tcW w:w="386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2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0.56</w:t>
            </w:r>
          </w:p>
        </w:tc>
        <w:tc>
          <w:tcPr>
            <w:tcW w:w="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6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0.33</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regularly under review by various domestic and foreign tax authorities with regards to indirect tax matters and are involved in various challenges and litigation in a number of countries, including, Brazil and South Korea, where the amounts under controversy may be material. In certain cases, we may be required to pay the assessed amount prior to final determination while we are challenging the assessment and the timing of these payments may have an adverse effect on our cash flows during the relevant period.</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quarter ended December 31, 2016, the South Korean branch (“WFSK”) of one of our subsidiaries received assessments of approximately $10.2 million (KRW 11.9 billion) and during the quarter ended June 30, 2017, an assessment for an additional $17.9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September 30, 2018,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previously initiated an enterprise-wide restructuring plan that was designed to streamline the organization and reallocate resources to better align our organizational structure and costs with our strategy. While these activities are ongoing, we expect the majority of these activities to be completed in 2019. The restructuring plan involves reviewing non-core businesses and assets, our organizational structure, and expected business prospects in the markets we serve, as well as our existing technology platforms. Accordingly, based on the nature of the activities being reviewed, we cannot reasonably estimate the ultimate cost that will be incurred. We are currently assessing the strategic fit of certain international operations where it has become increasingly more challenging to conduct our core operations and generate profits. During the nine months ended September 30, 2018, we incurred $12.2 million in restructuring charges, comprised primarily of employee-related costs, which are included in compensation and employee benefits on our consolidated statement of income and in accrued expenses and other current liabilities on our consolidated balance sheet.</w:t>
      </w:r>
    </w:p>
    <w:p>
      <w:pPr>
        <w:spacing w:after="0" w:line="13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provides a summary of our restructuring activities during the nine months ended September 30, 2018 and our accrued restructuring charges as of September 30, 2018, which is included in accrued expenses and other current liabilities on our consolidated balance sheet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Land</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Marine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3420" w:type="dxa"/>
            <w:vAlign w:val="bottom"/>
            <w:shd w:val="clear" w:color="auto" w:fill="CCEDFF"/>
          </w:tcPr>
          <w:p>
            <w:pPr>
              <w:ind w:left="40"/>
              <w:spacing w:after="0"/>
              <w:rPr>
                <w:sz w:val="20"/>
                <w:szCs w:val="20"/>
                <w:color w:val="auto"/>
              </w:rPr>
            </w:pPr>
            <w:r>
              <w:rPr>
                <w:rFonts w:ascii="Arial" w:cs="Arial" w:eastAsia="Arial" w:hAnsi="Arial"/>
                <w:sz w:val="14"/>
                <w:szCs w:val="14"/>
                <w:color w:val="auto"/>
              </w:rPr>
              <w:t>Balance as of December 31, 2017</w:t>
            </w:r>
          </w:p>
        </w:tc>
        <w:tc>
          <w:tcPr>
            <w:tcW w:w="1660" w:type="dxa"/>
            <w:vAlign w:val="bottom"/>
            <w:shd w:val="clear" w:color="auto" w:fill="CCEDFF"/>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0.7</w:t>
            </w:r>
          </w:p>
        </w:tc>
        <w:tc>
          <w:tcPr>
            <w:tcW w:w="360" w:type="dxa"/>
            <w:vAlign w:val="bottom"/>
            <w:shd w:val="clear" w:color="auto" w:fill="CCED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25.0</w:t>
            </w:r>
          </w:p>
        </w:tc>
        <w:tc>
          <w:tcPr>
            <w:tcW w:w="340" w:type="dxa"/>
            <w:vAlign w:val="bottom"/>
            <w:shd w:val="clear" w:color="auto" w:fill="CCED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CED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32.0</w:t>
            </w:r>
          </w:p>
        </w:tc>
      </w:tr>
      <w:tr>
        <w:trPr>
          <w:trHeight w:val="210"/>
        </w:trPr>
        <w:tc>
          <w:tcPr>
            <w:tcW w:w="3420" w:type="dxa"/>
            <w:vAlign w:val="bottom"/>
          </w:tcPr>
          <w:p>
            <w:pPr>
              <w:ind w:left="40"/>
              <w:spacing w:after="0"/>
              <w:rPr>
                <w:sz w:val="20"/>
                <w:szCs w:val="20"/>
                <w:color w:val="auto"/>
              </w:rPr>
            </w:pPr>
            <w:r>
              <w:rPr>
                <w:rFonts w:ascii="Arial" w:cs="Arial" w:eastAsia="Arial" w:hAnsi="Arial"/>
                <w:sz w:val="14"/>
                <w:szCs w:val="14"/>
                <w:color w:val="auto"/>
              </w:rPr>
              <w:t>Employee-related costs incurred</w:t>
            </w:r>
          </w:p>
        </w:tc>
        <w:tc>
          <w:tcPr>
            <w:tcW w:w="1660" w:type="dxa"/>
            <w:vAlign w:val="bottom"/>
          </w:tcPr>
          <w:p>
            <w:pPr>
              <w:spacing w:after="0"/>
              <w:rPr>
                <w:sz w:val="18"/>
                <w:szCs w:val="18"/>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03"/>
        </w:trPr>
        <w:tc>
          <w:tcPr>
            <w:tcW w:w="3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Paid during the period</w:t>
            </w:r>
          </w:p>
        </w:tc>
        <w:tc>
          <w:tcPr>
            <w:tcW w:w="1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210"/>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Restructuring charges as of September 30, 2018</w:t>
            </w:r>
          </w:p>
        </w:tc>
        <w:tc>
          <w:tcPr>
            <w:tcW w:w="16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2017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2017 10-K Report.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Our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68" w:lineRule="exact"/>
        <w:rPr>
          <w:sz w:val="20"/>
          <w:szCs w:val="20"/>
          <w:color w:val="auto"/>
        </w:rPr>
      </w:pPr>
    </w:p>
    <w:p>
      <w:pPr>
        <w:ind w:right="20" w:firstLine="324"/>
        <w:spacing w:after="0" w:line="284" w:lineRule="auto"/>
        <w:rPr>
          <w:sz w:val="20"/>
          <w:szCs w:val="20"/>
          <w:color w:val="auto"/>
        </w:rPr>
      </w:pPr>
      <w:r>
        <w:rPr>
          <w:rFonts w:ascii="Arial" w:cs="Arial" w:eastAsia="Arial" w:hAnsi="Arial"/>
          <w:sz w:val="17"/>
          <w:szCs w:val="17"/>
          <w:color w:val="auto"/>
        </w:rPr>
        <w:t xml:space="preserve">Examples of forward-looking statements in this 10-Q Report include, but are not limited to, our expectations about the conditions in the aviation, land, and marine markets and the impact on our business, our expectations regarding our continued focus on, and the impact of recent, cost management and portfolio rationalization, our expectations regarding government-related activity and the related profit contribution, our intent to focus on sustainable end user demand, our expectations regarding volumes, operating margin, and the impact of fuel prices on us and our customers, our ability to drive operational excellence, realize synergies associated with our previous acquisitions, and improve our technology platform for our land segment, </w:t>
      </w:r>
      <w:r>
        <w:rPr>
          <w:rFonts w:ascii="Arial" w:cs="Arial" w:eastAsia="Arial" w:hAnsi="Arial"/>
          <w:sz w:val="18"/>
          <w:szCs w:val="18"/>
          <w:color w:val="auto"/>
        </w:rPr>
        <w:t>o</w:t>
      </w:r>
      <w:r>
        <w:rPr>
          <w:rFonts w:ascii="Arial" w:cs="Arial" w:eastAsia="Arial" w:hAnsi="Arial"/>
          <w:sz w:val="17"/>
          <w:szCs w:val="17"/>
          <w:color w:val="auto"/>
        </w:rPr>
        <w:t>ur beliefs regarding improved profitability of our marine segment and the drivers of such profitability, our expectations regarding the opportunities that mandatory fuel standards may provide for us to drive greater profitability, our expectations regarding the impact of our investments in automation and technology, our intent to actively manage our working capital and inventory, as well as our business strategy, business prospects, operating results, effectiveness of internal controls to manage risk, working capital, liquidity, capital expenditure requirements and adequacy of funding to meet such capital expenditures and working capital requirements, as well as our expectations about tax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legal matters. These forward-looking statements are qualified in their entirety by cautionary statements and risk factor disclosures contained in our Securities and Exchange Commission filings. Important assumptions relating to the forward-looking statements include, among others, assumptions regarding our ability to effectively leverage technology and operating systems and realize the anticipated benefits, our ability to successfully execute and achieve efficiencies and other benefits related to our transformation initiatives and address market conditions, our ability to successfully divest or exit certain businesses, our ability to effectively integrate and derive benefits from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impacts associated with the U.K. referendum vote to exit from the European Union;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generate sufficient future taxable income in jurisdictions with material deferred tax assets and net operating loss carryforwards;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2017 10-K Report and those described from time to time in our other filings with the SEC.</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land and marine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overall aviation market remains strong, benefiting from continued growth in global passenger demand, while airline profitability remains healthy, notwithstanding the increasing costs from rising fuel prices. Our aviation segment has benefited from our increased logistics capability and we have expanded our aviation fueling operations footprint into additional international territories and airport locations. The aviation segment has also benefited from continued strong demand from government customers, principally the North Atlantic Treaty Organization (NATO) in Afghanistan. Sales to government customers account for a material portion of our aviation segment's profitability and while we expect our government-related activity to remain strong through the balance of 2018, such activity may decrease over time. Sales to government customers are driven by global events and military-related activities and therefore can vary significantly from period to period and materially impact our results of operations.</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land segment has grown primarily through acquisitions as we seek to build out our land fuel distribution capabilities, primarily in the U.S. and U.K. Recently, our land segment has been negatively impacted by our decision to reposition the portfolio and exit certain supply and trading activities which were not generating a sufficient economic return as a result of market conditions. In addition, our operating results in the U.S. and U.K. have been adversely impacted in the past by unseasonably warm winter weather conditions and accordingly, our results will continue to be impacted by future weather patterns. Meanwhile, our land segment has benefited from strong sales to government customers, including NATO in Afghanistan, and we expect such activity to remain consistent in the foreseeable future. We continue to focus on rationalizing our portfolio, including exiting activities involving low returns and reorienting our activities towards supplying more sustainable end user demand to provide greater leverage and ratability in our operating model. We are also focused on driving operational excellence, realizing the synergies associated with our previous acquisitions, and improving our technology platform.</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marine segment results have improved over the course of 2018 despite the weak overall conditions within the global shipping and offshore oil exploration markets. We believe overall volumes in our marine segment have stabilized and rising fuel prices, combined with the effects of our cost savings initiatives, are leading to improved profitability. The implementation of mandatory fuel standards, such as the International Maritime Organization's regulations limiting sulphur in fuel oil used on ships operating outside designated emission control areas that will be effective on January 1, 2020, may provide additional opportunities for us to drive greater profitability.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result of the challenges in the markets where we operate, we continue to rationalize our operating model and portfolio of businesses to gain efficiencies through various initiatives that are ongoing throughout the company. We are investing in automation and technology, most notably in our land segment, which we expect will ultimately lower our cost and improve scalability. Furthermore, we continue to implement our enterprise-wide restructuring plan designed to streamline the organization, and reallocate resources to better align our organizational structure and costs with our strategy with a view to ultimately improve operating efficiencies. The restructuring program involves reviewing non-core businesses and investments, our organizational structure, and business prospects in the markets we serve, as well as exiting certain business activities that generate low or highly variable economic value. We expect this portfolio rationalization will free up additional capital to invest in activities with recurring revenue and adequate returns while we continue to actively manage our working capital and inventory, particularly in a rising fuel price environment.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materially affected to the extent that we are required to provide for potential bad debt.</w:t>
      </w:r>
    </w:p>
    <w:p>
      <w:pPr>
        <w:spacing w:after="0" w:line="15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Corporate expenses are allocated to each segment based on usage, where possible, or on other factors according to the nature of the activity. We evaluate and manage our business segments using the performance measurement of income from operations. Selected financial information with respect to our business segments is provided in Note 9 to the accompanying consolidated financial statements included in this 10</w:t>
      </w:r>
      <w:r>
        <w:rPr>
          <w:rFonts w:ascii="MS PGothic" w:cs="MS PGothic" w:eastAsia="MS PGothic" w:hAnsi="MS PGothic"/>
          <w:sz w:val="17"/>
          <w:szCs w:val="17"/>
          <w:color w:val="auto"/>
        </w:rPr>
        <w:t>‑</w:t>
      </w:r>
      <w:r>
        <w:rPr>
          <w:rFonts w:ascii="Arial" w:cs="Arial" w:eastAsia="Arial" w:hAnsi="Arial"/>
          <w:sz w:val="17"/>
          <w:szCs w:val="17"/>
          <w:color w:val="auto"/>
        </w:rPr>
        <w:t>Q Report.</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2018 Compared to Three Months Ended September 30, 2017</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third quarter of 2018 was $10.4 billion, an increase of $1.9 billion, or 22.1%, as compared to the third quarter of 2017.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5,025.3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3,705.8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1,319.5</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2,854.4</w:t>
            </w:r>
          </w:p>
        </w:tc>
        <w:tc>
          <w:tcPr>
            <w:tcW w:w="5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2,770.5</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83.9</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2,549.8</w:t>
            </w: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2,066.7</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483.1</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10,429.5</w:t>
            </w:r>
          </w:p>
        </w:tc>
        <w:tc>
          <w:tcPr>
            <w:tcW w:w="5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8,543.0</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1,886.5</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in our aviation segment were $5.0 billion for the third quarter of 2018, an increase of $1.3 billion, or 35.6% as compared to the third quarter of 2017. The increase in aviation revenues was attributable to increased volume associated with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fueling operations, principally in Europe. Total volumes for the third quarter of 2018 were 2.1 billion gallons, an increase of 1.5%, as compared to the comparable prior year period. The overall increase in revenue was also driven by higher average jet fuel prices per gallon sold in the third quarter of 2018, where the average price per gallon sold was $2.30, as compared to $1.71 in the third quarter of 2017.</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segment were $2.9 billion for the third quarter of 2018, an increase of $0.1 billion, or 3.0%, as compared to the third quarter of 2017. The overall increase in revenue was influenced by a higher average fuel price per gallon sold in the third quarter of 2018, as compared to the third quarter of 2017. Volumes in our land segment experienced a 153 million gallon decrease for the third quarter of 2018, driven principally by our decision to reduce certain non-core, low margin activities in North America, which were not meeting our return expectations. This was partially offset by growth in Kinect, our global energy management services platform.</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$2.5 billion for the third quarter of 2018, an increase of $0.5 billion, or 23.4%, as compared to the third quarter of 2017. Volumes in our marine segment declined 12.5% to 6.0 million metric tons for the third quarter of 2018, as compared to the 2017 period, driven principally by our decision to discontinue certain low margin, low return activities over the past year. The increase in revenues was principally attributable to higher average bunker prices, where we experienced a 41.0% increase in the average price per metric ton sold, to $427.4 in the third quarter of 2018 as compared to $303.2 in the third quarter of 2017.</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third quarter of 2018 was $266.7 million, an increase of $26.8 million, or 11.2%, as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53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88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140.7</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123.9</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88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83.0</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85.5</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42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43.0</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w:t>
            </w:r>
          </w:p>
        </w:tc>
      </w:tr>
      <w:tr>
        <w:trPr>
          <w:trHeight w:val="231"/>
        </w:trPr>
        <w:tc>
          <w:tcPr>
            <w:tcW w:w="420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266.7</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239.9</w:t>
            </w:r>
          </w:p>
        </w:tc>
        <w:tc>
          <w:tcPr>
            <w:tcW w:w="5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26.8</w:t>
            </w:r>
          </w:p>
        </w:tc>
      </w:tr>
      <w:tr>
        <w:trPr>
          <w:trHeight w:val="33"/>
        </w:trPr>
        <w:tc>
          <w:tcPr>
            <w:tcW w:w="42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third quarter of 2018 was $140.7 million, an increase of $16.7 million, or 13.5%, as compared to the third quarter of 2017. The increase in aviation gross profit was primarily due to continued strength in our government-related activity, growth in our international fuel sales and a return to normalized profitability in North America, which was negatively impacted by hurricanes Harvey and Irma during the third quarter of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third quarter of 2018 was $83.0 million, a decrease of $2.5 million, or 2.9%, as compared to the third quarter of 2017. The decrease in land segment gross profit was primarily attributable to lower profitability in our operations in the U.K., driven by unseasonably warm and dry weather, and continued weakness in Brazil. The decrease was partially offset by higher profitability within Kinect, including the impact of recently acquired businesses that were not in the comparable prior year period.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marine segment gross profit for the third quarter of 2018 was $43.0 million, an increase of $12.6 million, or 41.3%, as compared to the third quarter of 2017. The gross profit increase was principally driven by higher profitability as a result of a sharp rise in bunker fuel prices for our core resale business, including the impact of certain seasonal activities.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third quarter of 2018 were $188.5 million, an increase of $10.0 million, or 5.6%,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2017. The increase in operating expenses was primarily attributable to our acquired businesses and severance costs. The following table sets forth our expense categories (in millions):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117.9</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107.6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70.6</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71.0</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188.5</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178.6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4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76.4</w:t>
            </w:r>
          </w:p>
        </w:tc>
        <w:tc>
          <w:tcPr>
            <w:tcW w:w="94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80" w:type="dxa"/>
            <w:vAlign w:val="bottom"/>
          </w:tcPr>
          <w:p>
            <w:pPr>
              <w:spacing w:after="0"/>
              <w:rPr>
                <w:sz w:val="20"/>
                <w:szCs w:val="20"/>
                <w:color w:val="auto"/>
              </w:rPr>
            </w:pPr>
          </w:p>
        </w:tc>
        <w:tc>
          <w:tcPr>
            <w:tcW w:w="540" w:type="dxa"/>
            <w:vAlign w:val="bottom"/>
          </w:tcPr>
          <w:p>
            <w:pPr>
              <w:jc w:val="right"/>
              <w:ind w:right="80"/>
              <w:spacing w:after="0"/>
              <w:rPr>
                <w:sz w:val="20"/>
                <w:szCs w:val="20"/>
                <w:color w:val="auto"/>
              </w:rPr>
            </w:pPr>
            <w:r>
              <w:rPr>
                <w:rFonts w:ascii="Arial" w:cs="Arial" w:eastAsia="Arial" w:hAnsi="Arial"/>
                <w:sz w:val="16"/>
                <w:szCs w:val="16"/>
                <w:color w:val="auto"/>
              </w:rPr>
              <w:t>7.8</w:t>
            </w:r>
          </w:p>
        </w:tc>
        <w:tc>
          <w:tcPr>
            <w:tcW w:w="9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14.4</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98.6</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79.1</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19.6</w:t>
            </w:r>
          </w:p>
        </w:tc>
      </w:tr>
      <w:tr>
        <w:trPr>
          <w:trHeight w:val="33"/>
        </w:trPr>
        <w:tc>
          <w:tcPr>
            <w:tcW w:w="47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overhead - unallocated</w:t>
            </w:r>
          </w:p>
        </w:tc>
        <w:tc>
          <w:tcPr>
            <w:tcW w:w="33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(20.5)</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1"/>
        </w:trPr>
        <w:tc>
          <w:tcPr>
            <w:tcW w:w="47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78.2</w:t>
            </w:r>
          </w:p>
        </w:tc>
        <w:tc>
          <w:tcPr>
            <w:tcW w:w="94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61.3</w:t>
            </w:r>
          </w:p>
        </w:tc>
        <w:tc>
          <w:tcPr>
            <w:tcW w:w="5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16.9</w:t>
            </w:r>
          </w:p>
        </w:tc>
      </w:tr>
      <w:tr>
        <w:trPr>
          <w:trHeight w:val="33"/>
        </w:trPr>
        <w:tc>
          <w:tcPr>
            <w:tcW w:w="47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income from operations for the third quarter of 2018 was $78.2 million, an increase of $16.9 million, or 27.5%, as compared to the third quarter of 2017. The increase was primarily attributable to our aviation and marine segments and was partially offset by declines within the land segment. The increase within our aviation segment was primarily due to increased volumes and profitability from our international fueling operations as well as the negative impact of hurricanes Harvey and Irma during the third quarter of 2017. Within our marine segment, we experienced higher profitability higher profitability as a result of a sharp rise in bunker fuel prices for our core resale business, including the impact of certain seasonal activities, as compared to the third quarter of 2017. Within our land segment, we experienced lower profitability in our operations in the U.K., driven by unseasonably warm and dry weather, and continued weakness in Brazil as compared to the third quarter of 2017, which were partially offset by higher profitability from acquired businesses within Kinect.</w:t>
      </w:r>
    </w:p>
    <w:p>
      <w:pPr>
        <w:spacing w:after="0" w:line="16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Corporate overhead costs not charged to the business segments for the third quarter of 2018 were $20.5 million, an increase of $2.7 million, or 15.2%, as compared to the third quarter of 2017, primarily attributable to increases in incentive compensation offset by the impact of our cost savings initiatives.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third quarter of 2018, we had non-operating expenses, net of $16.4 million, a decrease of $0.3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third quarter of 2017.</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third quarter of 2018, our effective income tax rate was 37.3% and our income tax provision was $23.0 million, as compared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income tax rate of 185.0% and an income tax provision of $82.6 million for the third quarter of 2017. The lower effective income tax rate for the third quarter of 2018 was primarily related to the recording of valuation allowances in various jurisdictions, changes in estimates of uncertain tax position, and our mix of income being generated in tax jurisdictions with varying tax rates recorded in the third quarter of 2017 as compared to the third quarter of 2018.</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third quarter of 2018, net income attributable to noncontrolling interest was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the same as the third quarter of 2017.</w:t>
      </w:r>
    </w:p>
    <w:p>
      <w:pPr>
        <w:spacing w:after="0" w:line="1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For the third quarter of 2018, we had net income of $38.2 million and diluted earnings per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 of $0.56 as compared to net loss of $38.5 million and diluted loss per common share of $0.57 for the third quarter of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2018 Compared to Nine Months Ended September 30, 2017</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nine months of 2018 was $29.8 billion, an increase of $4.9 billion, or 19.9%, as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For the Nine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14,218.9</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10,531.6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3,687.3</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8,675.3</w:t>
            </w:r>
          </w:p>
        </w:tc>
        <w:tc>
          <w:tcPr>
            <w:tcW w:w="5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8,117.9</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557.4</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6,867.5</w:t>
            </w: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6,173.9</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693.5</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29,761.7</w:t>
            </w:r>
          </w:p>
        </w:tc>
        <w:tc>
          <w:tcPr>
            <w:tcW w:w="5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24,823.4</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4,938.2</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$14.2 billion for the first nine months of 2018, an increase of $3.7 billion, or 35.0%, as compared to the first nine months of 2017. The overall increase in revenue was primarily driven by higher average jet fuel prices per gallon sold in the first nine months of 2018, where the average price per gallon sold was $2.21</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as compared to $1.67 in the first nine months of 2017. Total volumes for the first nine months of 2018 were 6.1 billion gallons, an increase of 3.8%, as compared to the comparable prior year period. The increased volumes was attributable to growth in our international fueling operations.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$8.7 billion for the first nine months of 2018, an increase of $0.6 billion, or 6.9%, as compared to the first nine months of 2017. The overall increase in revenue was influenced by a higher average fuel price per gallon sold in the first nine months of 2018, as compared to the first nine months of 2017. Volumes in our land segment declined moderately, experiencing a 0.2 billion gallon volume decrease for the first nine months of 2018, as compared to the first nine months of 2017.</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marine segment were $6.9 billion for the first nine months of 2018, an increase of $0.7 billion, or 11.2%, as compared to the first nine months of 2017. The increase in revenues was driven by higher average fuel prices, where we experienced a 28.8% increase in the average price per metric ton sold, to $389.6 in the first nine months of 2018 as compared to $302.5 in the first nine months of 2017. Volumes in our marine segment were 17.6 million metric tons, a decrease of 13.6%, for the first nine months of 2018 as compared to the 2017 period, driven principally by lower volumes in our core resale operations, including our decision to discontinue certain low margin, low return activities over the past year.</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nine months of 2018 was $756.3 million, an increase of $54.0 million, or 7.7%,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5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Aviation segment</w:t>
            </w:r>
          </w:p>
        </w:tc>
        <w:tc>
          <w:tcPr>
            <w:tcW w:w="38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378.0</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334.8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43.2</w:t>
            </w:r>
          </w:p>
        </w:tc>
      </w:tr>
      <w:tr>
        <w:trPr>
          <w:trHeight w:val="237"/>
        </w:trPr>
        <w:tc>
          <w:tcPr>
            <w:tcW w:w="4260" w:type="dxa"/>
            <w:vAlign w:val="bottom"/>
          </w:tcPr>
          <w:p>
            <w:pPr>
              <w:ind w:left="180"/>
              <w:spacing w:after="0"/>
              <w:rPr>
                <w:sz w:val="20"/>
                <w:szCs w:val="20"/>
                <w:color w:val="auto"/>
              </w:rPr>
            </w:pPr>
            <w:r>
              <w:rPr>
                <w:rFonts w:ascii="Arial" w:cs="Arial" w:eastAsia="Arial" w:hAnsi="Arial"/>
                <w:sz w:val="16"/>
                <w:szCs w:val="16"/>
                <w:color w:val="auto"/>
              </w:rPr>
              <w:t>Land segment</w:t>
            </w:r>
          </w:p>
        </w:tc>
        <w:tc>
          <w:tcPr>
            <w:tcW w:w="38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273.8</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270.5</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3.3</w:t>
            </w:r>
          </w:p>
        </w:tc>
      </w:tr>
      <w:tr>
        <w:trPr>
          <w:trHeight w:val="33"/>
        </w:trPr>
        <w:tc>
          <w:tcPr>
            <w:tcW w:w="4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Marine segment</w:t>
            </w:r>
          </w:p>
        </w:tc>
        <w:tc>
          <w:tcPr>
            <w:tcW w:w="3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104.5</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r>
      <w:tr>
        <w:trPr>
          <w:trHeight w:val="231"/>
        </w:trPr>
        <w:tc>
          <w:tcPr>
            <w:tcW w:w="426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756.3</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702.3</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54.0</w:t>
            </w:r>
          </w:p>
        </w:tc>
      </w:tr>
      <w:tr>
        <w:trPr>
          <w:trHeight w:val="33"/>
        </w:trPr>
        <w:tc>
          <w:tcPr>
            <w:tcW w:w="4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first nine months of 2018 was $378.0 million, an increase of $43.2 million, or 12.9%, as compared to the first nine months of 2017. The increase in aviation gross profit was primarily due to increased activity from our government-related business, growth in our international fueling operations and a return to normalized profitability in North America, which was negatively impacted by hurricanes Harvey and Irma during the third quarter of 2017.</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land segment gross profit for the first nine months of 2018 was $273.8 million, an increase of $3.3 million, or 1.2%, as compared to the first nine months of 2017. The increase in land segment gross profit is primarily attributable to higher profitability associated with Kinect, which was influenced by recently acquired businesses, and higher profits from our transaction processing activities. These increases were partially offset by lower profitability in our government business due to reduced margins as well as the strategic exit of certain convenience store activities in the U.S. in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marine segment gross profit for the first nine months of 2018 was $104.5 million, a increase of $7.5 million, or 7.7%, as compared to the first nine months of 2017. The gross profit increase was principally driven by higher profitability within our core resale business.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nine months of 2018 were $559.8 million, an increase of $20.4 million, or 3.8%,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2017. The total increase in operating expenses was primarily attributable to our acquired businesses and severance costs.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342.0</w:t>
            </w:r>
          </w:p>
        </w:tc>
        <w:tc>
          <w:tcPr>
            <w:tcW w:w="94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314.5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27.5</w:t>
            </w:r>
          </w:p>
        </w:tc>
      </w:tr>
      <w:tr>
        <w:trPr>
          <w:trHeight w:val="33"/>
        </w:trPr>
        <w:tc>
          <w:tcPr>
            <w:tcW w:w="48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217.8</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225.0</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1"/>
        </w:trPr>
        <w:tc>
          <w:tcPr>
            <w:tcW w:w="48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559.8</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539.5</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20.4</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4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264"/>
        </w:trPr>
        <w:tc>
          <w:tcPr>
            <w:tcW w:w="4720" w:type="dxa"/>
            <w:vAlign w:val="bottom"/>
            <w:tcBorders>
              <w:bottom w:val="single" w:sz="8" w:color="auto"/>
            </w:tcBorders>
            <w:shd w:val="clear" w:color="auto" w:fill="CCEEFF"/>
          </w:tcPr>
          <w:p>
            <w:pPr>
              <w:spacing w:after="0"/>
              <w:rPr>
                <w:sz w:val="22"/>
                <w:szCs w:val="22"/>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Aviation segment</w:t>
            </w:r>
          </w:p>
        </w:tc>
        <w:tc>
          <w:tcPr>
            <w:tcW w:w="336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188.3</w:t>
            </w:r>
          </w:p>
        </w:tc>
        <w:tc>
          <w:tcPr>
            <w:tcW w:w="92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151.7</w:t>
            </w:r>
          </w:p>
        </w:tc>
        <w:tc>
          <w:tcPr>
            <w:tcW w:w="5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36.6</w:t>
            </w:r>
          </w:p>
        </w:tc>
      </w:tr>
      <w:tr>
        <w:trPr>
          <w:trHeight w:val="33"/>
        </w:trPr>
        <w:tc>
          <w:tcPr>
            <w:tcW w:w="47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segment</w:t>
            </w:r>
          </w:p>
        </w:tc>
        <w:tc>
          <w:tcPr>
            <w:tcW w:w="3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37.7</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Marine Segment</w:t>
            </w:r>
          </w:p>
        </w:tc>
        <w:tc>
          <w:tcPr>
            <w:tcW w:w="33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30.9</w:t>
            </w:r>
          </w:p>
        </w:tc>
        <w:tc>
          <w:tcPr>
            <w:tcW w:w="9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11.0</w:t>
            </w:r>
          </w:p>
        </w:tc>
      </w:tr>
      <w:tr>
        <w:trPr>
          <w:trHeight w:val="3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256.9</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218.4</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Corporate overhead - unallocated</w:t>
            </w:r>
          </w:p>
        </w:tc>
        <w:tc>
          <w:tcPr>
            <w:tcW w:w="33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(60.4)</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(55.5)</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196.4</w:t>
            </w:r>
          </w:p>
        </w:tc>
        <w:tc>
          <w:tcPr>
            <w:tcW w:w="92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162.8</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income from operations for the first nine months of 2018 was $196.4 million, an increase of $33.6 million, or 20.6%, as compared to the first nine months of 2017. The increase was primarily attributable to our aviation and marine segments. Our aviation segment benefited from increased activity from our government-related activities and international fueling operations. Within our marine segment, we experienced higher profitability within our core resale business. Within our land segment, we experienced higher profitability associated with Kinect, which was influenced by recently acquired businesses and higher profits from our transaction processing activities. The increase was partially offset by lower profitability in our government business due to reduced margins, as well as the strategic exit of certain convenience store activities in the U.S. in 2017.</w:t>
      </w:r>
    </w:p>
    <w:p>
      <w:pPr>
        <w:spacing w:after="0" w:line="17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nine months of 2018 were $60.4 million, an increase of $4.9 million, or 8.9%, as compared to the first nine months of 2017.</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nine months of 2018 we had non-operating expenses, net of $54.5 million, an increase of $7.2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nine months of 2017 driven principally by higher finance costs associated with outstanding borrowings.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nine months of 2018, our effective income tax rate was 30.1% and our income tax provision was $42.7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79.8% and an income tax provision of $92.2 million for the first nine months of 2017. The lower effective income tax rate for the first nine months of 2018 was impacted by changes in the valuation allowance in various jurisdictions and our mix of income being generated in tax jurisdictions with varying income tax rates.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nine months of 2018, net income attributable to noncontrolling interest was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$0.6 million as compared to the first nine months of 2017.</w:t>
      </w:r>
    </w:p>
    <w:p>
      <w:pPr>
        <w:spacing w:after="0" w:line="170"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For the first nine months of 2018 we had net income of $98.1 million and diluted earnings per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 of $1.45 as compared to net income of $22.8 million and diluted earnings per common share of $0.33 for the first nine months of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changes in fuel prices. Availability under our Credit Facility is also limited by, among other things, our financial leverage ratio, which limits the total amount of indebtedness we may incur, and may therefore fluctuate from period to period.</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the current fuel price environment, cash and liquidity remains a significant priority for us.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rising fuel prices may reduce the amount of fuel which we can purchase on an unsecured basis, and in certain cases we may be required to prepay fuel purchases, which would negatively impact our liquidity. Fuel price increases may also negatively impact our customers, whereby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cash and cash equivalents as of September 30, 2018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2018 and 2017 (in millions). For additional details, please see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100" w:type="dxa"/>
            <w:vAlign w:val="bottom"/>
            <w:gridSpan w:val="3"/>
          </w:tcPr>
          <w:p>
            <w:pPr>
              <w:jc w:val="center"/>
              <w:ind w:left="625"/>
              <w:spacing w:after="0"/>
              <w:rPr>
                <w:sz w:val="20"/>
                <w:szCs w:val="20"/>
                <w:color w:val="auto"/>
              </w:rPr>
            </w:pPr>
            <w:r>
              <w:rPr>
                <w:rFonts w:ascii="Arial" w:cs="Arial" w:eastAsia="Arial" w:hAnsi="Arial"/>
                <w:sz w:val="14"/>
                <w:szCs w:val="14"/>
                <w:b w:val="1"/>
                <w:bCs w:val="1"/>
                <w:color w:val="auto"/>
                <w:w w:val="94"/>
              </w:rPr>
              <w:t>For the Nine Months Ended</w:t>
            </w:r>
          </w:p>
        </w:tc>
        <w:tc>
          <w:tcPr>
            <w:tcW w:w="64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423"/>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118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(316.0)</w:t>
            </w:r>
          </w:p>
        </w:tc>
        <w:tc>
          <w:tcPr>
            <w:tcW w:w="124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180" w:type="dxa"/>
            <w:vAlign w:val="bottom"/>
          </w:tcPr>
          <w:p>
            <w:pPr>
              <w:spacing w:after="0"/>
              <w:rPr>
                <w:sz w:val="20"/>
                <w:szCs w:val="20"/>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299.0</w:t>
            </w:r>
          </w:p>
        </w:tc>
        <w:tc>
          <w:tcPr>
            <w:tcW w:w="1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103.4</w:t>
            </w: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(212.0)</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6"/>
          <w:szCs w:val="16"/>
          <w:color w:val="auto"/>
        </w:rPr>
        <w:t xml:space="preserve">*The adoption of ASU 2016-15 resulted in operating cash flow decreases and investing cash flow increases of $357.5 million and $236.3 million for the </w:t>
      </w:r>
      <w:r>
        <w:rPr>
          <w:rFonts w:ascii="Arial" w:cs="Arial" w:eastAsia="Arial" w:hAnsi="Arial"/>
          <w:sz w:val="18"/>
          <w:szCs w:val="18"/>
          <w:color w:val="auto"/>
        </w:rPr>
        <w:t>nine</w:t>
      </w:r>
      <w:r>
        <w:rPr>
          <w:rFonts w:ascii="Arial" w:cs="Arial" w:eastAsia="Arial" w:hAnsi="Arial"/>
          <w:sz w:val="16"/>
          <w:szCs w:val="16"/>
          <w:color w:val="auto"/>
        </w:rPr>
        <w:t xml:space="preserve"> months ended </w:t>
      </w:r>
      <w:r>
        <w:rPr>
          <w:rFonts w:ascii="Arial" w:cs="Arial" w:eastAsia="Arial" w:hAnsi="Arial"/>
          <w:sz w:val="18"/>
          <w:szCs w:val="18"/>
          <w:color w:val="auto"/>
        </w:rPr>
        <w:t xml:space="preserve">September 30, 2018 </w:t>
      </w:r>
      <w:r>
        <w:rPr>
          <w:rFonts w:ascii="Arial" w:cs="Arial" w:eastAsia="Arial" w:hAnsi="Arial"/>
          <w:sz w:val="16"/>
          <w:szCs w:val="16"/>
          <w:color w:val="auto"/>
        </w:rPr>
        <w:t>and</w:t>
      </w:r>
      <w:r>
        <w:rPr>
          <w:rFonts w:ascii="Arial" w:cs="Arial" w:eastAsia="Arial" w:hAnsi="Arial"/>
          <w:sz w:val="18"/>
          <w:szCs w:val="18"/>
          <w:color w:val="auto"/>
        </w:rPr>
        <w:t xml:space="preserve"> 2017</w:t>
      </w:r>
      <w:r>
        <w:rPr>
          <w:rFonts w:ascii="Arial" w:cs="Arial" w:eastAsia="Arial" w:hAnsi="Arial"/>
          <w:sz w:val="16"/>
          <w:szCs w:val="16"/>
          <w:color w:val="auto"/>
        </w:rPr>
        <w:t>, respectively.</w:t>
      </w:r>
    </w:p>
    <w:p>
      <w:pPr>
        <w:spacing w:after="0" w:line="18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For the first nine months of 2018, net cash used in operating activities was $316.0 million as compared to net cash used in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of $191.1 million for the first nine months of 2017. The $124.9 million change in operating cash flows was principally due to year-over-year changes in accounts receivables, accounts payable and inventory. The increases in accounts receivable and accounts payable was primarily associated with higher average fuel prices and the timing of collections and payments. Cash flows from inventory decreased $107.6 million as compared to the first nine months of 2017, primarily as a result of strategic and seasonal inventory purchases and higher average fuel prices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beginning of 2018, accounting standards update 2016-15 (“ASU 2016-15”) became effective for us and provided revised guidance on the presentation of certain items, including those associated with retained beneficial interests in accounts receivable sale programs. Under the terms of our receivables purchase agreements (“RPAs”) with Wells Fargo and Citibank, we were entitled to retained beneficial interests, which gave us the right to receive additional cash consideration of either 10% or 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receiving cash consideration equal to either 90% or 94%, respectively of the total accounts receivables balance. Under the revised guidance, previously disclosed cash inflows attributable to held beneficial interests are no longer treated as a component of accounts receivables, net in operating activities, but instead are classified separately as an investing activity. However, during the quarter ended September 30, 2018, we amended the RPAs with Wells Fargo and Citibank to remove the retained beneficial interests, allowing us to sell 100% of our outstanding qualifying accounts receivable balances and receive cash consideration equal to the total balance, less a discount margin equal to LIBOR plus 1% to 3%.</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For the first nine months of 2018, net cash provided by investing activities was $299.0 million as compared to net cash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activities of $103.4 million for the first nine months of 2017. The $195.6 million increase in cash provided by investing activities was principally due to increased cash receipts of retained beneficial interests in receivables sales and decreased cash used for the acquisition of businesses.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first nine months of 2018, net cash used in financing activities was $212.0 million as compared to net cash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$72.7 million for the first nine months of 2017. The $139.3 million change was due to a $185.3 million increase in net repayments of debt under our credit facility in the first nine months of 2018 as compared to the first nine months of 2017 offset by a $41.9 million decrease in cash used for common stock repurchases in the first nine months of 2018 as compared to the first nine months of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September 30, 2018 and December 31, 2017, we had cash and cash equivalents of $142.1 million and $372.3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Credit Facility and Term Loans. </w:t>
      </w:r>
      <w:r>
        <w:rPr>
          <w:rFonts w:ascii="Arial" w:cs="Arial" w:eastAsia="Arial" w:hAnsi="Arial"/>
          <w:sz w:val="16"/>
          <w:szCs w:val="16"/>
          <w:color w:val="auto"/>
        </w:rPr>
        <w:t>On January 30, 2018, we amended our Credit Facility and elected to prepay $300.0 million of our outstanding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Loans and decrease the borrowing capacity of our Credit Facility to $1.16 billion.We had $523.2 million and $835.8 million in Term Loans outstanding as of September 30, 2018 and December 31, 2017, respectively. Our Credit Facility includes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$209.0 million and $60.0 million as of September 30, 2018 and December 31, 2017, respectively. Our issued letters of credit under the Credit Facility totaled $3.8 million and $8.6 million as of September 30, 2018 and December 31, 2017, respectively. As of September 30, 2018 and December 31, 2017, the unused portion of our Credit Facility was $947.2 million and $1.19 billion, respectively. The unused portion of our Credit Facility is limited by, among other things, our financial leverage ratio, which limits the total amount of indebtedness we may incur, and may therefore fluctuate from period to period.</w:t>
      </w:r>
    </w:p>
    <w:p>
      <w:pPr>
        <w:spacing w:after="0" w:line="16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September 30, 2018, we were in compliance with all financial covenants contained in our Credit Facility and our Term Loans.</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September 30, 2018 and December 31, 2017, our outstanding letters of credit and bank guarantees under these credit lines totaled $317.7 million and $272.0 million, respectively. We also have RPAs that allow for the sale of up to an aggregate of $725.0 million of our accounts receivable. Our sold accounts receivable under the RPAs was $553.7 million and $377.3 million, as of September 30, 2018 and December 31, 2017,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September 30, 2018, our short-term debt of $35.7 million primarily represents the current maturities (within the next twelve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Term Loan borrowings, certain promissory notes related to acquisitions and capital lease obligations.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2017 to September 30, 2018. For a discussion of these matters, refer to “Contractual Obligations and Off-Balance Sheet Arrangements” in Item 7 of our 2017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September 30, 2018, our net derivative obligations were $110.3 million, principally due within one year.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September 30, 2018, fixed purchase commitments under our derivative programs amounted to $59.2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September 30, 2018, we had issued letters of credit and bank guarantees totaling $321.5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Basis of Presentation and Significant Accounting Policies, in the “Notes to the Consolidated Financial Statements” in this 10-Q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September 30, 2018, see Notes to the Consolidated Financial Statements – </w:t>
      </w:r>
      <w:r>
        <w:rPr>
          <w:rFonts w:ascii="Arial" w:cs="Arial" w:eastAsia="Arial" w:hAnsi="Arial"/>
          <w:sz w:val="18"/>
          <w:szCs w:val="18"/>
          <w:i w:val="1"/>
          <w:iCs w:val="1"/>
          <w:color w:val="auto"/>
        </w:rPr>
        <w:t>Note 3.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2017. Please refer to our 2017 10-K Report for a complete discussion of our exposure to these risks.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September 30, 2018.</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2018.</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July 20, 2016, we were informed that the U.S. Department of Justice (the “DOJ”) is conducting an investigation into the aviation fuel supply industry, including certain activities by us and other industry participants at an airport in Central America. In connection therewith, we were served with formal requests by the DOJ about our activities at that airport and our aviation fuel supply business more broadly. We are cooperating with the investigation.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U.S., Brazil, Denmark and South Korea, where the amounts under controversy may be material. See Notes 7 and 11 of the accompanying consolidated financial statements for additional details regarding certain tax matters.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September 30, 2018 (in thousands, except average price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00" w:type="dxa"/>
            <w:vAlign w:val="bottom"/>
          </w:tcPr>
          <w:p>
            <w:pPr>
              <w:jc w:val="center"/>
              <w:ind w:left="888"/>
              <w:spacing w:after="0"/>
              <w:rPr>
                <w:sz w:val="20"/>
                <w:szCs w:val="20"/>
                <w:color w:val="auto"/>
              </w:rPr>
            </w:pPr>
            <w:r>
              <w:rPr>
                <w:rFonts w:ascii="Arial" w:cs="Arial" w:eastAsia="Arial" w:hAnsi="Arial"/>
                <w:sz w:val="14"/>
                <w:szCs w:val="14"/>
                <w:b w:val="1"/>
                <w:bCs w:val="1"/>
                <w:color w:val="auto"/>
                <w:w w:val="95"/>
              </w:rPr>
              <w:t>Total Number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00" w:type="dxa"/>
            <w:vAlign w:val="bottom"/>
            <w:vMerge w:val="restart"/>
          </w:tcPr>
          <w:p>
            <w:pPr>
              <w:jc w:val="center"/>
              <w:ind w:left="928"/>
              <w:spacing w:after="0"/>
              <w:rPr>
                <w:sz w:val="20"/>
                <w:szCs w:val="20"/>
                <w:color w:val="auto"/>
              </w:rPr>
            </w:pPr>
            <w:r>
              <w:rPr>
                <w:rFonts w:ascii="Arial" w:cs="Arial" w:eastAsia="Arial" w:hAnsi="Arial"/>
                <w:sz w:val="14"/>
                <w:szCs w:val="14"/>
                <w:b w:val="1"/>
                <w:bCs w:val="1"/>
                <w:color w:val="auto"/>
                <w:w w:val="95"/>
              </w:rPr>
              <w:t>Total Number</w:t>
            </w:r>
          </w:p>
        </w:tc>
        <w:tc>
          <w:tcPr>
            <w:tcW w:w="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0"/>
              </w:rPr>
              <w:t>of Shares Purchased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Average Price</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0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87"/>
              </w:rPr>
              <w:t>of Shares</w:t>
            </w:r>
          </w:p>
        </w:tc>
        <w:tc>
          <w:tcPr>
            <w:tcW w:w="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30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7"/>
                <w:szCs w:val="7"/>
                <w:b w:val="1"/>
                <w:bCs w:val="1"/>
                <w:color w:val="auto"/>
                <w:w w:val="90"/>
              </w:rPr>
              <w:t>(1)</w:t>
            </w: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Paid Per Share</w:t>
            </w:r>
          </w:p>
        </w:tc>
        <w:tc>
          <w:tcPr>
            <w:tcW w:w="230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w w:val="93"/>
              </w:rPr>
              <w:t>or Programs</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7"/>
                <w:szCs w:val="7"/>
                <w:b w:val="1"/>
                <w:bCs w:val="1"/>
                <w:color w:val="auto"/>
                <w:w w:val="92"/>
              </w:rPr>
              <w:t>(2)</w:t>
            </w: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7/1/2018 - 7/31/2018</w:t>
            </w:r>
          </w:p>
        </w:tc>
        <w:tc>
          <w:tcPr>
            <w:tcW w:w="2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2300" w:type="dxa"/>
            <w:vAlign w:val="bottom"/>
            <w:shd w:val="clear" w:color="auto" w:fill="CCEEFF"/>
          </w:tcPr>
          <w:p>
            <w:pPr>
              <w:jc w:val="right"/>
              <w:ind w:right="1828"/>
              <w:spacing w:after="0"/>
              <w:rPr>
                <w:sz w:val="20"/>
                <w:szCs w:val="20"/>
                <w:color w:val="auto"/>
              </w:rPr>
            </w:pPr>
            <w:r>
              <w:rPr>
                <w:rFonts w:ascii="Arial" w:cs="Arial" w:eastAsia="Arial" w:hAnsi="Arial"/>
                <w:sz w:val="14"/>
                <w:szCs w:val="14"/>
                <w:color w:val="auto"/>
              </w:rPr>
              <w:t>20.55</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color w:val="auto"/>
              </w:rPr>
              <w:t>8/1/2018 - 8/31/2018</w:t>
            </w:r>
          </w:p>
        </w:tc>
        <w:tc>
          <w:tcPr>
            <w:tcW w:w="2100" w:type="dxa"/>
            <w:vAlign w:val="bottom"/>
          </w:tcPr>
          <w:p>
            <w:pPr>
              <w:spacing w:after="0"/>
              <w:rPr>
                <w:sz w:val="22"/>
                <w:szCs w:val="22"/>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725</w:t>
            </w:r>
          </w:p>
        </w:tc>
        <w:tc>
          <w:tcPr>
            <w:tcW w:w="1660" w:type="dxa"/>
            <w:vAlign w:val="bottom"/>
          </w:tcPr>
          <w:p>
            <w:pPr>
              <w:spacing w:after="0"/>
              <w:rPr>
                <w:sz w:val="22"/>
                <w:szCs w:val="22"/>
                <w:color w:val="auto"/>
              </w:rPr>
            </w:pPr>
          </w:p>
        </w:tc>
        <w:tc>
          <w:tcPr>
            <w:tcW w:w="2300" w:type="dxa"/>
            <w:vAlign w:val="bottom"/>
          </w:tcPr>
          <w:p>
            <w:pPr>
              <w:jc w:val="right"/>
              <w:ind w:right="1828"/>
              <w:spacing w:after="0"/>
              <w:rPr>
                <w:sz w:val="20"/>
                <w:szCs w:val="20"/>
                <w:color w:val="auto"/>
              </w:rPr>
            </w:pPr>
            <w:r>
              <w:rPr>
                <w:rFonts w:ascii="Arial" w:cs="Arial" w:eastAsia="Arial" w:hAnsi="Arial"/>
                <w:sz w:val="14"/>
                <w:szCs w:val="14"/>
                <w:color w:val="auto"/>
              </w:rPr>
              <w:t>27.68</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723</w:t>
            </w:r>
          </w:p>
        </w:tc>
        <w:tc>
          <w:tcPr>
            <w:tcW w:w="3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79,986</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9/1/2018 - 9/30/2018</w:t>
            </w:r>
          </w:p>
        </w:tc>
        <w:tc>
          <w:tcPr>
            <w:tcW w:w="2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1828"/>
              <w:spacing w:after="0"/>
              <w:rPr>
                <w:sz w:val="20"/>
                <w:szCs w:val="20"/>
                <w:color w:val="auto"/>
              </w:rPr>
            </w:pPr>
            <w:r>
              <w:rPr>
                <w:rFonts w:ascii="Arial" w:cs="Arial" w:eastAsia="Arial" w:hAnsi="Arial"/>
                <w:sz w:val="14"/>
                <w:szCs w:val="14"/>
                <w:color w:val="auto"/>
              </w:rPr>
              <w:t>27.98</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79,986</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2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726</w:t>
            </w:r>
          </w:p>
        </w:tc>
        <w:tc>
          <w:tcPr>
            <w:tcW w:w="16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auto"/>
            </w:tcBorders>
          </w:tcPr>
          <w:p>
            <w:pPr>
              <w:jc w:val="right"/>
              <w:ind w:right="1828"/>
              <w:spacing w:after="0"/>
              <w:rPr>
                <w:sz w:val="20"/>
                <w:szCs w:val="20"/>
                <w:color w:val="auto"/>
              </w:rPr>
            </w:pPr>
            <w:r>
              <w:rPr>
                <w:rFonts w:ascii="Arial" w:cs="Arial" w:eastAsia="Arial" w:hAnsi="Arial"/>
                <w:sz w:val="14"/>
                <w:szCs w:val="14"/>
                <w:color w:val="auto"/>
              </w:rPr>
              <w:t>27.68</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723</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79,986</w:t>
            </w: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64"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40" w:lineRule="exact"/>
        <w:rPr>
          <w:rFonts w:ascii="Arial" w:cs="Arial" w:eastAsia="Arial" w:hAnsi="Arial"/>
          <w:sz w:val="18"/>
          <w:szCs w:val="18"/>
          <w:color w:val="auto"/>
        </w:rPr>
      </w:pPr>
    </w:p>
    <w:p>
      <w:pPr>
        <w:ind w:left="340" w:hanging="332"/>
        <w:spacing w:after="0" w:line="297" w:lineRule="auto"/>
        <w:tabs>
          <w:tab w:leader="none" w:pos="271"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September 30, 2018, approximately 80.0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196" w:lineRule="exact"/>
              <w:rPr>
                <w:rFonts w:ascii="Arial" w:cs="Arial" w:eastAsia="Arial" w:hAnsi="Arial"/>
                <w:sz w:val="18"/>
                <w:szCs w:val="18"/>
                <w:color w:val="0000FF"/>
                <w:w w:val="85"/>
              </w:rPr>
            </w:pPr>
            <w:hyperlink w:anchor="page3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37" w:lineRule="exact"/>
        <w:rPr>
          <w:sz w:val="20"/>
          <w:szCs w:val="20"/>
          <w:color w:val="auto"/>
        </w:rPr>
      </w:pPr>
    </w:p>
    <w:p>
      <w:pPr>
        <w:jc w:val="both"/>
        <w:ind w:left="1980" w:right="40" w:hanging="1357"/>
        <w:spacing w:after="0" w:line="259"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September 30, 2018,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30, 2018</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September 30,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2018</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September 30, 2018;</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30,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2018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emdash "/>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2019-12-28T18:54:20Z</dcterms:created>
  <dcterms:modified xsi:type="dcterms:W3CDTF">2019-12-28T18:54:20Z</dcterms:modified>
</cp:coreProperties>
</file>