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120650</wp:posOffset>
            </wp:positionV>
            <wp:extent cx="149161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148590</wp:posOffset>
            </wp:positionV>
            <wp:extent cx="149161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30,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WORLD FUEL SERVICES CORPORATION</w:t>
      </w:r>
    </w:p>
    <w:p>
      <w:pPr>
        <w:spacing w:after="0" w:line="45"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7100" w:type="dxa"/>
            <w:vAlign w:val="bottom"/>
            <w:gridSpan w:val="3"/>
          </w:tcPr>
          <w:p>
            <w:pPr>
              <w:jc w:val="center"/>
              <w:ind w:left="2730"/>
              <w:spacing w:after="0"/>
              <w:rPr>
                <w:sz w:val="20"/>
                <w:szCs w:val="20"/>
                <w:color w:val="auto"/>
              </w:rPr>
            </w:pPr>
            <w:r>
              <w:rPr>
                <w:rFonts w:ascii="Arial" w:cs="Arial" w:eastAsia="Arial" w:hAnsi="Arial"/>
                <w:sz w:val="18"/>
                <w:szCs w:val="18"/>
                <w:color w:val="auto"/>
                <w:w w:val="90"/>
              </w:rPr>
              <w:t>(Exact name of registrant as specified in its charter)</w:t>
            </w:r>
          </w:p>
        </w:tc>
        <w:tc>
          <w:tcPr>
            <w:tcW w:w="2380" w:type="dxa"/>
            <w:vAlign w:val="bottom"/>
          </w:tcPr>
          <w:p>
            <w:pPr>
              <w:spacing w:after="0"/>
              <w:rPr>
                <w:sz w:val="20"/>
                <w:szCs w:val="20"/>
                <w:color w:val="auto"/>
              </w:rPr>
            </w:pPr>
          </w:p>
        </w:tc>
      </w:tr>
      <w:tr>
        <w:trPr>
          <w:trHeight w:val="207"/>
        </w:trPr>
        <w:tc>
          <w:tcPr>
            <w:tcW w:w="3800" w:type="dxa"/>
            <w:vAlign w:val="bottom"/>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10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46"/>
        </w:trPr>
        <w:tc>
          <w:tcPr>
            <w:tcW w:w="38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6"/>
              </w:rPr>
              <w:t>Florida</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1-9533</w:t>
            </w:r>
          </w:p>
        </w:tc>
        <w:tc>
          <w:tcPr>
            <w:tcW w:w="1000" w:type="dxa"/>
            <w:vAlign w:val="bottom"/>
          </w:tcPr>
          <w:p>
            <w:pPr>
              <w:spacing w:after="0"/>
              <w:rPr>
                <w:sz w:val="24"/>
                <w:szCs w:val="24"/>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59-2459427</w:t>
            </w:r>
          </w:p>
        </w:tc>
      </w:tr>
      <w:tr>
        <w:trPr>
          <w:trHeight w:val="225"/>
        </w:trPr>
        <w:tc>
          <w:tcPr>
            <w:tcW w:w="38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(State or other jurisdiction of</w:t>
            </w:r>
          </w:p>
        </w:tc>
        <w:tc>
          <w:tcPr>
            <w:tcW w:w="33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1"/>
              </w:rPr>
              <w:t>(Commission File Number)</w:t>
            </w:r>
          </w:p>
        </w:tc>
        <w:tc>
          <w:tcPr>
            <w:tcW w:w="2380" w:type="dxa"/>
            <w:vAlign w:val="bottom"/>
          </w:tcPr>
          <w:p>
            <w:pPr>
              <w:jc w:val="center"/>
              <w:ind w:left="8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8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1"/>
              </w:rPr>
              <w:t>incorporation)</w:t>
            </w: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2"/>
              </w:rPr>
              <w:t>Identification No.)</w:t>
            </w:r>
          </w:p>
        </w:tc>
      </w:tr>
      <w:tr>
        <w:trPr>
          <w:trHeight w:val="941"/>
        </w:trPr>
        <w:tc>
          <w:tcPr>
            <w:tcW w:w="380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4"/>
        </w:trPr>
        <w:tc>
          <w:tcPr>
            <w:tcW w:w="380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Miami, Florida</w:t>
            </w: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right"/>
              <w:ind w:right="1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380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tcPr>
          <w:p>
            <w:pPr>
              <w:jc w:val="center"/>
              <w:ind w:right="890"/>
              <w:spacing w:after="0"/>
              <w:rPr>
                <w:sz w:val="20"/>
                <w:szCs w:val="20"/>
                <w:color w:val="auto"/>
              </w:rPr>
            </w:pPr>
            <w:r>
              <w:rPr>
                <w:rFonts w:ascii="Arial" w:cs="Arial" w:eastAsia="Arial" w:hAnsi="Arial"/>
                <w:sz w:val="18"/>
                <w:szCs w:val="18"/>
                <w:b w:val="1"/>
                <w:bCs w:val="1"/>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4340225</wp:posOffset>
            </wp:positionH>
            <wp:positionV relativeFrom="paragraph">
              <wp:posOffset>-1504315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-1504315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56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456565</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949"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2"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22"/>
          <w:szCs w:val="22"/>
          <w:color w:val="auto"/>
        </w:rPr>
        <w:t>The following information is provided pursuant to Item 7.01 of Form 8-K, “Regulation FD Disclosure” and Item 2.02 of Form 8-K, “Results of Operations and Financial Condition.”</w:t>
      </w:r>
    </w:p>
    <w:p>
      <w:pPr>
        <w:spacing w:after="0" w:line="173" w:lineRule="exact"/>
        <w:rPr>
          <w:sz w:val="20"/>
          <w:szCs w:val="20"/>
          <w:color w:val="auto"/>
        </w:rPr>
      </w:pPr>
    </w:p>
    <w:p>
      <w:pPr>
        <w:jc w:val="both"/>
        <w:ind w:right="20" w:firstLine="405"/>
        <w:spacing w:after="0" w:line="251" w:lineRule="auto"/>
        <w:rPr>
          <w:sz w:val="20"/>
          <w:szCs w:val="20"/>
          <w:color w:val="auto"/>
        </w:rPr>
      </w:pPr>
      <w:r>
        <w:rPr>
          <w:rFonts w:ascii="Arial" w:cs="Arial" w:eastAsia="Arial" w:hAnsi="Arial"/>
          <w:sz w:val="22"/>
          <w:szCs w:val="22"/>
          <w:color w:val="auto"/>
        </w:rPr>
        <w:t>On April 30, 2015, World Fuel Services Corporation issued a press release reporting its financial results for the first quarter ended March 31, 2015. A copy of the press release is attached hereto as Exhibit 99.1.</w:t>
      </w:r>
    </w:p>
    <w:p>
      <w:pPr>
        <w:spacing w:after="0" w:line="17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(d)</w:t>
            </w:r>
          </w:p>
        </w:tc>
        <w:tc>
          <w:tcPr>
            <w:tcW w:w="112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40" w:type="dxa"/>
            <w:vAlign w:val="bottom"/>
          </w:tcPr>
          <w:p>
            <w:pPr>
              <w:spacing w:after="0"/>
              <w:rPr>
                <w:sz w:val="20"/>
                <w:szCs w:val="20"/>
                <w:color w:val="auto"/>
              </w:rPr>
            </w:pPr>
          </w:p>
        </w:tc>
      </w:tr>
      <w:tr>
        <w:trPr>
          <w:trHeight w:val="446"/>
        </w:trPr>
        <w:tc>
          <w:tcPr>
            <w:tcW w:w="9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380" w:type="dxa"/>
            <w:vAlign w:val="bottom"/>
            <w:gridSpan w:val="3"/>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9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264"/>
        </w:trPr>
        <w:tc>
          <w:tcPr>
            <w:tcW w:w="920" w:type="dxa"/>
            <w:vAlign w:val="bottom"/>
          </w:tcPr>
          <w:p>
            <w:pPr>
              <w:spacing w:after="0"/>
              <w:rPr>
                <w:sz w:val="22"/>
                <w:szCs w:val="22"/>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2"/>
                <w:szCs w:val="22"/>
                <w:color w:val="auto"/>
              </w:rPr>
            </w:pP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Press Release, dated April 30, 2015.</w:t>
            </w:r>
          </w:p>
        </w:tc>
      </w:tr>
      <w:tr>
        <w:trPr>
          <w:trHeight w:val="230"/>
        </w:trPr>
        <w:tc>
          <w:tcPr>
            <w:tcW w:w="92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8240" w:type="dxa"/>
            <w:vAlign w:val="bottom"/>
            <w:tcBorders>
              <w:bottom w:val="single" w:sz="8" w:color="9A9A9A"/>
            </w:tcBorders>
          </w:tcPr>
          <w:p>
            <w:pPr>
              <w:spacing w:after="0"/>
              <w:rPr>
                <w:sz w:val="19"/>
                <w:szCs w:val="19"/>
                <w:color w:val="auto"/>
              </w:rPr>
            </w:pPr>
          </w:p>
        </w:tc>
      </w:tr>
      <w:tr>
        <w:trPr>
          <w:trHeight w:val="21"/>
        </w:trPr>
        <w:tc>
          <w:tcPr>
            <w:tcW w:w="9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8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April 30, 2015</w:t>
      </w:r>
      <w:r>
        <w:rPr>
          <w:sz w:val="20"/>
          <w:szCs w:val="20"/>
          <w:color w:val="auto"/>
        </w:rPr>
        <w:tab/>
      </w:r>
      <w:r>
        <w:rPr>
          <w:rFonts w:ascii="Arial" w:cs="Arial" w:eastAsia="Arial" w:hAnsi="Arial"/>
          <w:sz w:val="16"/>
          <w:szCs w:val="16"/>
          <w:b w:val="1"/>
          <w:bCs w:val="1"/>
          <w:color w:val="auto"/>
        </w:rPr>
        <w:t>World Fuel Services Corporation</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00"/>
          </w:cols>
          <w:pgMar w:left="240" w:top="121" w:right="9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160" w:type="dxa"/>
            <w:vAlign w:val="bottom"/>
          </w:tcPr>
          <w:p>
            <w:pPr>
              <w:spacing w:after="0"/>
              <w:rPr>
                <w:sz w:val="20"/>
                <w:szCs w:val="20"/>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16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Press Release, dated April 30, 2015.</w:t>
            </w:r>
          </w:p>
        </w:tc>
      </w:tr>
    </w:tbl>
    <w:p>
      <w:pPr>
        <w:sectPr>
          <w:pgSz w:w="11900" w:h="16838" w:orient="portrait"/>
          <w:cols w:equalWidth="0" w:num="1">
            <w:col w:w="11420"/>
          </w:cols>
          <w:pgMar w:left="240" w:top="11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Reports Record First Quarter Earnings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Generated $107 million of Operating Cash Flow in the First Quarter</w:t>
      </w:r>
    </w:p>
    <w:p>
      <w:pPr>
        <w:spacing w:after="0" w:line="212"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MIAMI--(BUSINESS WIRE)--April 30, 2015--World Fuel Services Corporation (NYSE: INT) today reported first quarter net income of $55.6 million or $0.78 diluted earnings per share compared to $50.7 million or $0.71 diluted earnings per share in the first quarter of 2014. Excluding the impact of the previously disclosed retirement of our former aviation segment president and a deferred revenue purchase accounting adjustment, adjusted first quarter net income was $59.0 million or $0.83 diluted earnings per share. Non-GAAP net income and diluted earnings per share for the first quarter, excluding share-based compensation, amortization of acquired intangible assets, costs associated with the aforementioned retirement and deferred revenue adjustments were $65.0 million and $0.91, respectively, compared to $58.5 million and $0.83 in 2014.</w:t>
      </w:r>
    </w:p>
    <w:p>
      <w:pPr>
        <w:spacing w:after="0" w:line="153"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“The strength of our business model and the diversity of our markets served us well as we posted a solid result in the first quarter,” stated Michael J. Kasbar, chairman and chief executive officer of World Fuel Services Corporation. “We continue to develop our global energy, logistics, transaction management and payment processing platform within our existing markets and products and expand into adjacencies that will provide us with sustainable growth.”</w:t>
      </w:r>
    </w:p>
    <w:p>
      <w:pPr>
        <w:spacing w:after="0" w:line="185"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The company’s aviation segment generated gross profit of $82.9 million, an increase of $8.3 million or 11% sequentially and $14 million or 20% year-over-year. The company’s marine segment generated gross profit of $53.9 million, a decrease of $5.6 million or 9% sequentially, but an increase of $6.1 million or 13% year-over-year. The company’s land segment posted gross profit of $78.6 million, a decrease of $6.7 million or 8% sequentially, but an increase of $7.3 million or 10% year-over-year.</w:t>
      </w:r>
    </w:p>
    <w:p>
      <w:pPr>
        <w:spacing w:after="0" w:line="143"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“We generated $107 million of operating cash flow in the first quarter, which marks the eleventh consecutive quarter of positive cash flow from operations and totals more than $700 million over this period,” said Ira M. Birns, executive vice president and chief financial officer. “We continue to drive operational excellence across all of our business segments, while delivering solid returns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Non-GAAP Financial Measures</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The non-GAAP financial measures exclude costs associated with share-based compensation, amortization of acquired intangible assets, deferred revenue purchase accounting adjustments, expenses related to the acquisition of Watson Petroleum and the termination of an employment agreement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the expenses related to the acquisition of Watson Petroleum and the termination of an employment agreement are useful for purposes of evaluating operating performance of our core operating results and comparing them period over period. In accordance with the fair value provisions applicable to the accounting for business combinations, acquired deferred revenue is often recorded on the opening balance sheet at an amount that is lower than the historical carrying value. Although this acquisition accounting requirement has no impact on our business or cash flows, it adversely impacts our reported GAAP revenue in the reporting periods following an acquisition. We believe that the exclusion of the deferred revenue purchase accounting adjustment is useful to investors as an additional means to reflect trends of our business and provides investors with financial information that facilitates comparison of both historical and future results.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200" w:lineRule="exact"/>
        <w:rPr>
          <w:sz w:val="20"/>
          <w:szCs w:val="20"/>
          <w:color w:val="auto"/>
        </w:rPr>
      </w:pPr>
    </w:p>
    <w:p>
      <w:pPr>
        <w:spacing w:after="0" w:line="216"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Non-GAAP financial measures should not be considered in isolation from, or as a substitute for, financial information prepared in accordance with GAAP. In addition, our presentation of non-GAAP net income and non-GAAP diluted earnings per common share may not be comparable to the presentation of such metrics by other companies. Non-GAAP diluted earnings per common share is computed by dividing non-GAAP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6"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This release includes forward-looking statements within the meaning of the Private Securities Litigation Reform Act of 1995, including statements regarding our expectations about our expansion and sustainable growth. These forward-looking statements are qualified in their entirety by cautionary statements and risk factor disclosures contained in the company’s Securities and Exchange Commission (“SEC”) filings, including the company’s Annual Report on Form 10-K filed with the SEC on February 12, 2015. Actual results may differ materially from any forward-looking statements due to risks and uncertainties, including, but not limited to: our ability to effectively integrate and derive benefits from acquired businesses, our ability to capitalize on new market opportunities, potential liabilities and the extent of any insurance coverage, the outcome of pending litigation and other proceedings, the impact of quarterly fluctuations in results,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758"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As of</w:t>
            </w:r>
          </w:p>
        </w:tc>
        <w:tc>
          <w:tcPr>
            <w:tcW w:w="1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color w:val="auto"/>
              </w:rPr>
              <w:t>March 31,</w:t>
            </w:r>
          </w:p>
        </w:tc>
        <w:tc>
          <w:tcPr>
            <w:tcW w:w="440" w:type="dxa"/>
            <w:vAlign w:val="bottom"/>
          </w:tcPr>
          <w:p>
            <w:pPr>
              <w:spacing w:after="0"/>
              <w:rPr>
                <w:sz w:val="14"/>
                <w:szCs w:val="14"/>
                <w:color w:val="auto"/>
              </w:rPr>
            </w:pPr>
          </w:p>
        </w:tc>
        <w:tc>
          <w:tcPr>
            <w:tcW w:w="1460" w:type="dxa"/>
            <w:vAlign w:val="bottom"/>
          </w:tcPr>
          <w:p>
            <w:pPr>
              <w:jc w:val="right"/>
              <w:ind w:right="468"/>
              <w:spacing w:after="0"/>
              <w:rPr>
                <w:sz w:val="20"/>
                <w:szCs w:val="20"/>
                <w:color w:val="auto"/>
              </w:rPr>
            </w:pPr>
            <w:r>
              <w:rPr>
                <w:rFonts w:ascii="Arial" w:cs="Arial" w:eastAsia="Arial" w:hAnsi="Arial"/>
                <w:sz w:val="14"/>
                <w:szCs w:val="14"/>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2015</w:t>
            </w: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980" w:type="dxa"/>
            <w:vAlign w:val="bottom"/>
          </w:tcPr>
          <w:p>
            <w:pPr>
              <w:spacing w:after="0"/>
              <w:rPr>
                <w:sz w:val="20"/>
                <w:szCs w:val="20"/>
                <w:color w:val="auto"/>
              </w:rPr>
            </w:pPr>
            <w:r>
              <w:rPr>
                <w:rFonts w:ascii="Arial" w:cs="Arial" w:eastAsia="Arial" w:hAnsi="Arial"/>
                <w:sz w:val="14"/>
                <w:szCs w:val="14"/>
                <w:color w:val="auto"/>
              </w:rPr>
              <w:t>Assets: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80" w:type="dxa"/>
            <w:vAlign w:val="bottom"/>
          </w:tcPr>
          <w:p>
            <w:pPr>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8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391.0</w:t>
            </w:r>
          </w:p>
        </w:tc>
        <w:tc>
          <w:tcPr>
            <w:tcW w:w="160" w:type="dxa"/>
            <w:vAlign w:val="bottom"/>
          </w:tcPr>
          <w:p>
            <w:pPr>
              <w:spacing w:after="0"/>
              <w:rPr>
                <w:sz w:val="15"/>
                <w:szCs w:val="15"/>
                <w:color w:val="auto"/>
              </w:rPr>
            </w:pP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302.3</w:t>
            </w:r>
          </w:p>
        </w:tc>
        <w:tc>
          <w:tcPr>
            <w:tcW w:w="0" w:type="dxa"/>
            <w:vAlign w:val="bottom"/>
          </w:tcPr>
          <w:p>
            <w:pPr>
              <w:spacing w:after="0"/>
              <w:rPr>
                <w:sz w:val="1"/>
                <w:szCs w:val="1"/>
                <w:color w:val="auto"/>
              </w:rPr>
            </w:pPr>
          </w:p>
        </w:tc>
      </w:tr>
      <w:tr>
        <w:trPr>
          <w:trHeight w:val="176"/>
        </w:trPr>
        <w:tc>
          <w:tcPr>
            <w:tcW w:w="798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2,202.3</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2,307.9</w:t>
            </w:r>
          </w:p>
        </w:tc>
        <w:tc>
          <w:tcPr>
            <w:tcW w:w="0" w:type="dxa"/>
            <w:vAlign w:val="bottom"/>
          </w:tcPr>
          <w:p>
            <w:pPr>
              <w:spacing w:after="0"/>
              <w:rPr>
                <w:sz w:val="1"/>
                <w:szCs w:val="1"/>
                <w:color w:val="auto"/>
              </w:rPr>
            </w:pPr>
          </w:p>
        </w:tc>
      </w:tr>
      <w:tr>
        <w:trPr>
          <w:trHeight w:val="176"/>
        </w:trPr>
        <w:tc>
          <w:tcPr>
            <w:tcW w:w="798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421.9</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437.6</w:t>
            </w:r>
          </w:p>
        </w:tc>
        <w:tc>
          <w:tcPr>
            <w:tcW w:w="0" w:type="dxa"/>
            <w:vAlign w:val="bottom"/>
          </w:tcPr>
          <w:p>
            <w:pPr>
              <w:spacing w:after="0"/>
              <w:rPr>
                <w:sz w:val="1"/>
                <w:szCs w:val="1"/>
                <w:color w:val="auto"/>
              </w:rPr>
            </w:pPr>
          </w:p>
        </w:tc>
      </w:tr>
      <w:tr>
        <w:trPr>
          <w:trHeight w:val="181"/>
        </w:trPr>
        <w:tc>
          <w:tcPr>
            <w:tcW w:w="7980" w:type="dxa"/>
            <w:vAlign w:val="bottom"/>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580.4</w:t>
            </w: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980" w:type="dxa"/>
            <w:vAlign w:val="bottom"/>
          </w:tcPr>
          <w:p>
            <w:pPr>
              <w:ind w:left="280"/>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3,595.6</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3,674.9</w:t>
            </w:r>
          </w:p>
        </w:tc>
        <w:tc>
          <w:tcPr>
            <w:tcW w:w="0" w:type="dxa"/>
            <w:vAlign w:val="bottom"/>
          </w:tcPr>
          <w:p>
            <w:pPr>
              <w:spacing w:after="0"/>
              <w:rPr>
                <w:sz w:val="1"/>
                <w:szCs w:val="1"/>
                <w:color w:val="auto"/>
              </w:rPr>
            </w:pPr>
          </w:p>
        </w:tc>
      </w:tr>
      <w:tr>
        <w:trPr>
          <w:trHeight w:val="351"/>
        </w:trPr>
        <w:tc>
          <w:tcPr>
            <w:tcW w:w="798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203.9</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350"/>
        </w:trPr>
        <w:tc>
          <w:tcPr>
            <w:tcW w:w="7980" w:type="dxa"/>
            <w:vAlign w:val="bottom"/>
          </w:tcPr>
          <w:p>
            <w:pPr>
              <w:spacing w:after="0"/>
              <w:rPr>
                <w:sz w:val="20"/>
                <w:szCs w:val="20"/>
                <w:color w:val="auto"/>
              </w:rPr>
            </w:pPr>
            <w:r>
              <w:rPr>
                <w:rFonts w:ascii="Arial" w:cs="Arial" w:eastAsia="Arial" w:hAnsi="Arial"/>
                <w:sz w:val="14"/>
                <w:szCs w:val="14"/>
                <w:color w:val="auto"/>
              </w:rPr>
              <w:t>Goodwill, identifiable intangible and other non-current assets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988.5</w:t>
            </w:r>
          </w:p>
        </w:tc>
        <w:tc>
          <w:tcPr>
            <w:tcW w:w="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980" w:type="dxa"/>
            <w:vAlign w:val="bottom"/>
          </w:tcPr>
          <w:p>
            <w:pPr>
              <w:ind w:left="420"/>
              <w:spacing w:after="0"/>
              <w:rPr>
                <w:sz w:val="20"/>
                <w:szCs w:val="20"/>
                <w:color w:val="auto"/>
              </w:rPr>
            </w:pPr>
            <w:r>
              <w:rPr>
                <w:rFonts w:ascii="Arial" w:cs="Arial" w:eastAsia="Arial" w:hAnsi="Arial"/>
                <w:sz w:val="14"/>
                <w:szCs w:val="14"/>
                <w:color w:val="auto"/>
              </w:rPr>
              <w:t>Total assets</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4,788.0</w:t>
            </w:r>
          </w:p>
        </w:tc>
        <w:tc>
          <w:tcPr>
            <w:tcW w:w="160" w:type="dxa"/>
            <w:vAlign w:val="bottom"/>
          </w:tcPr>
          <w:p>
            <w:pPr>
              <w:spacing w:after="0"/>
              <w:rPr>
                <w:sz w:val="24"/>
                <w:szCs w:val="24"/>
                <w:color w:val="auto"/>
              </w:rPr>
            </w:pP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4,880.0</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4"/>
                <w:szCs w:val="14"/>
                <w:color w:val="auto"/>
              </w:rPr>
              <w:t>Liabilities and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80" w:type="dxa"/>
            <w:vAlign w:val="bottom"/>
          </w:tcPr>
          <w:p>
            <w:pPr>
              <w:spacing w:after="0"/>
              <w:rPr>
                <w:sz w:val="20"/>
                <w:szCs w:val="20"/>
                <w:color w:val="auto"/>
              </w:rPr>
            </w:pPr>
            <w:r>
              <w:rPr>
                <w:rFonts w:ascii="Arial" w:cs="Arial" w:eastAsia="Arial" w:hAnsi="Arial"/>
                <w:sz w:val="14"/>
                <w:szCs w:val="14"/>
                <w:color w:val="auto"/>
              </w:rPr>
              <w:t>Liabilities:</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80" w:type="dxa"/>
            <w:vAlign w:val="bottom"/>
          </w:tcPr>
          <w:p>
            <w:pPr>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80" w:type="dxa"/>
            <w:vAlign w:val="bottom"/>
          </w:tcPr>
          <w:p>
            <w:pPr>
              <w:ind w:left="140"/>
              <w:spacing w:after="0"/>
              <w:rPr>
                <w:sz w:val="20"/>
                <w:szCs w:val="20"/>
                <w:color w:val="auto"/>
              </w:rPr>
            </w:pPr>
            <w:r>
              <w:rPr>
                <w:rFonts w:ascii="Arial" w:cs="Arial" w:eastAsia="Arial" w:hAnsi="Arial"/>
                <w:sz w:val="14"/>
                <w:szCs w:val="14"/>
                <w:color w:val="auto"/>
              </w:rPr>
              <w:t>Short-term debt</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21.4</w:t>
            </w:r>
          </w:p>
        </w:tc>
        <w:tc>
          <w:tcPr>
            <w:tcW w:w="160" w:type="dxa"/>
            <w:vAlign w:val="bottom"/>
          </w:tcPr>
          <w:p>
            <w:pPr>
              <w:spacing w:after="0"/>
              <w:rPr>
                <w:sz w:val="15"/>
                <w:szCs w:val="15"/>
                <w:color w:val="auto"/>
              </w:rPr>
            </w:pP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76"/>
        </w:trPr>
        <w:tc>
          <w:tcPr>
            <w:tcW w:w="798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1,736.2</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1,850.1</w:t>
            </w:r>
          </w:p>
        </w:tc>
        <w:tc>
          <w:tcPr>
            <w:tcW w:w="0" w:type="dxa"/>
            <w:vAlign w:val="bottom"/>
          </w:tcPr>
          <w:p>
            <w:pPr>
              <w:spacing w:after="0"/>
              <w:rPr>
                <w:sz w:val="1"/>
                <w:szCs w:val="1"/>
                <w:color w:val="auto"/>
              </w:rPr>
            </w:pPr>
          </w:p>
        </w:tc>
      </w:tr>
      <w:tr>
        <w:trPr>
          <w:trHeight w:val="181"/>
        </w:trPr>
        <w:tc>
          <w:tcPr>
            <w:tcW w:w="7980" w:type="dxa"/>
            <w:vAlign w:val="bottom"/>
          </w:tcPr>
          <w:p>
            <w:pPr>
              <w:ind w:left="140"/>
              <w:spacing w:after="0"/>
              <w:rPr>
                <w:sz w:val="20"/>
                <w:szCs w:val="20"/>
                <w:color w:val="auto"/>
              </w:rPr>
            </w:pPr>
            <w:r>
              <w:rPr>
                <w:rFonts w:ascii="Arial" w:cs="Arial" w:eastAsia="Arial" w:hAnsi="Arial"/>
                <w:sz w:val="14"/>
                <w:szCs w:val="14"/>
                <w:color w:val="auto"/>
              </w:rPr>
              <w:t>Accrued expenses and other current liabilities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355.2</w:t>
            </w: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98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2,112.8</w:t>
            </w:r>
          </w:p>
        </w:tc>
        <w:tc>
          <w:tcPr>
            <w:tcW w:w="44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2,241.3</w:t>
            </w:r>
          </w:p>
        </w:tc>
        <w:tc>
          <w:tcPr>
            <w:tcW w:w="0" w:type="dxa"/>
            <w:vAlign w:val="bottom"/>
          </w:tcPr>
          <w:p>
            <w:pPr>
              <w:spacing w:after="0"/>
              <w:rPr>
                <w:sz w:val="1"/>
                <w:szCs w:val="1"/>
                <w:color w:val="auto"/>
              </w:rPr>
            </w:pPr>
          </w:p>
        </w:tc>
      </w:tr>
      <w:tr>
        <w:trPr>
          <w:trHeight w:val="344"/>
        </w:trPr>
        <w:tc>
          <w:tcPr>
            <w:tcW w:w="7980" w:type="dxa"/>
            <w:vAlign w:val="bottom"/>
          </w:tcPr>
          <w:p>
            <w:pPr>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679.4</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672.0</w:t>
            </w:r>
          </w:p>
        </w:tc>
        <w:tc>
          <w:tcPr>
            <w:tcW w:w="0" w:type="dxa"/>
            <w:vAlign w:val="bottom"/>
          </w:tcPr>
          <w:p>
            <w:pPr>
              <w:spacing w:after="0"/>
              <w:rPr>
                <w:sz w:val="1"/>
                <w:szCs w:val="1"/>
                <w:color w:val="auto"/>
              </w:rPr>
            </w:pPr>
          </w:p>
        </w:tc>
      </w:tr>
      <w:tr>
        <w:trPr>
          <w:trHeight w:val="181"/>
        </w:trPr>
        <w:tc>
          <w:tcPr>
            <w:tcW w:w="798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113.6</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69"/>
        </w:trPr>
        <w:tc>
          <w:tcPr>
            <w:tcW w:w="7980" w:type="dxa"/>
            <w:vAlign w:val="bottom"/>
          </w:tcPr>
          <w:p>
            <w:pPr>
              <w:ind w:left="42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2,905.8</w:t>
            </w:r>
          </w:p>
        </w:tc>
        <w:tc>
          <w:tcPr>
            <w:tcW w:w="16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7980" w:type="dxa"/>
            <w:vAlign w:val="bottom"/>
          </w:tcPr>
          <w:p>
            <w:pPr>
              <w:spacing w:after="0"/>
              <w:rPr>
                <w:sz w:val="20"/>
                <w:szCs w:val="20"/>
                <w:color w:val="auto"/>
              </w:rPr>
            </w:pPr>
            <w:r>
              <w:rPr>
                <w:rFonts w:ascii="Arial" w:cs="Arial" w:eastAsia="Arial" w:hAnsi="Arial"/>
                <w:sz w:val="14"/>
                <w:szCs w:val="14"/>
                <w:color w:val="auto"/>
              </w:rPr>
              <w:t>Equity:</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80" w:type="dxa"/>
            <w:vAlign w:val="bottom"/>
          </w:tcPr>
          <w:p>
            <w:pPr>
              <w:ind w:left="140"/>
              <w:spacing w:after="0"/>
              <w:rPr>
                <w:sz w:val="20"/>
                <w:szCs w:val="20"/>
                <w:color w:val="auto"/>
              </w:rPr>
            </w:pPr>
            <w:r>
              <w:rPr>
                <w:rFonts w:ascii="Arial" w:cs="Arial" w:eastAsia="Arial" w:hAnsi="Arial"/>
                <w:sz w:val="14"/>
                <w:szCs w:val="14"/>
                <w:color w:val="auto"/>
              </w:rPr>
              <w:t>World Fuel shareholders' equity</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1,871.5</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1,855.4</w:t>
            </w:r>
          </w:p>
        </w:tc>
        <w:tc>
          <w:tcPr>
            <w:tcW w:w="0" w:type="dxa"/>
            <w:vAlign w:val="bottom"/>
          </w:tcPr>
          <w:p>
            <w:pPr>
              <w:spacing w:after="0"/>
              <w:rPr>
                <w:sz w:val="1"/>
                <w:szCs w:val="1"/>
                <w:color w:val="auto"/>
              </w:rPr>
            </w:pPr>
          </w:p>
        </w:tc>
      </w:tr>
      <w:tr>
        <w:trPr>
          <w:trHeight w:val="181"/>
        </w:trPr>
        <w:tc>
          <w:tcPr>
            <w:tcW w:w="7980" w:type="dxa"/>
            <w:vAlign w:val="bottom"/>
          </w:tcPr>
          <w:p>
            <w:pPr>
              <w:ind w:left="140"/>
              <w:spacing w:after="0"/>
              <w:rPr>
                <w:sz w:val="20"/>
                <w:szCs w:val="20"/>
                <w:color w:val="auto"/>
              </w:rPr>
            </w:pPr>
            <w:r>
              <w:rPr>
                <w:rFonts w:ascii="Arial" w:cs="Arial" w:eastAsia="Arial" w:hAnsi="Arial"/>
                <w:sz w:val="14"/>
                <w:szCs w:val="14"/>
                <w:color w:val="auto"/>
              </w:rPr>
              <w:t>Noncontrolling interest equity</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69"/>
        </w:trPr>
        <w:tc>
          <w:tcPr>
            <w:tcW w:w="7980" w:type="dxa"/>
            <w:vAlign w:val="bottom"/>
          </w:tcPr>
          <w:p>
            <w:pPr>
              <w:ind w:left="420"/>
              <w:spacing w:after="0"/>
              <w:rPr>
                <w:sz w:val="20"/>
                <w:szCs w:val="20"/>
                <w:color w:val="auto"/>
              </w:rPr>
            </w:pPr>
            <w:r>
              <w:rPr>
                <w:rFonts w:ascii="Arial" w:cs="Arial" w:eastAsia="Arial" w:hAnsi="Arial"/>
                <w:sz w:val="14"/>
                <w:szCs w:val="14"/>
                <w:color w:val="auto"/>
              </w:rPr>
              <w:t>Total equity</w:t>
            </w:r>
          </w:p>
        </w:tc>
        <w:tc>
          <w:tcPr>
            <w:tcW w:w="3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1,882.2</w:t>
            </w:r>
          </w:p>
        </w:tc>
        <w:tc>
          <w:tcPr>
            <w:tcW w:w="16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7980" w:type="dxa"/>
            <w:vAlign w:val="bottom"/>
          </w:tcPr>
          <w:p>
            <w:pPr>
              <w:ind w:left="420"/>
              <w:spacing w:after="0"/>
              <w:rPr>
                <w:sz w:val="20"/>
                <w:szCs w:val="20"/>
                <w:color w:val="auto"/>
              </w:rPr>
            </w:pPr>
            <w:r>
              <w:rPr>
                <w:rFonts w:ascii="Arial" w:cs="Arial" w:eastAsia="Arial" w:hAnsi="Arial"/>
                <w:sz w:val="14"/>
                <w:szCs w:val="14"/>
                <w:color w:val="auto"/>
              </w:rPr>
              <w:t>Total liabilities and equity</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4,788.0</w:t>
            </w:r>
          </w:p>
        </w:tc>
        <w:tc>
          <w:tcPr>
            <w:tcW w:w="160" w:type="dxa"/>
            <w:vAlign w:val="bottom"/>
          </w:tcPr>
          <w:p>
            <w:pPr>
              <w:spacing w:after="0"/>
              <w:rPr>
                <w:sz w:val="24"/>
                <w:szCs w:val="24"/>
                <w:color w:val="auto"/>
              </w:rPr>
            </w:pP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4,880.0</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9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MILLIONS, EXCEPT EARNINGS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color w:val="auto"/>
              </w:rPr>
              <w:t>For the Three Months ended</w:t>
            </w:r>
          </w:p>
        </w:tc>
        <w:tc>
          <w:tcPr>
            <w:tcW w:w="1340" w:type="dxa"/>
            <w:vAlign w:val="bottom"/>
          </w:tcPr>
          <w:p>
            <w:pPr>
              <w:spacing w:after="0"/>
              <w:rPr>
                <w:sz w:val="15"/>
                <w:szCs w:val="15"/>
                <w:color w:val="auto"/>
              </w:rPr>
            </w:pPr>
          </w:p>
        </w:tc>
      </w:tr>
      <w:tr>
        <w:trPr>
          <w:trHeight w:val="181"/>
        </w:trPr>
        <w:tc>
          <w:tcPr>
            <w:tcW w:w="70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color w:val="auto"/>
                <w:w w:val="99"/>
              </w:rPr>
              <w:t>March 31,</w:t>
            </w:r>
          </w:p>
        </w:tc>
        <w:tc>
          <w:tcPr>
            <w:tcW w:w="1340" w:type="dxa"/>
            <w:vAlign w:val="bottom"/>
            <w:tcBorders>
              <w:bottom w:val="single" w:sz="8" w:color="auto"/>
            </w:tcBorders>
          </w:tcPr>
          <w:p>
            <w:pPr>
              <w:spacing w:after="0"/>
              <w:rPr>
                <w:sz w:val="15"/>
                <w:szCs w:val="15"/>
                <w:color w:val="auto"/>
              </w:rPr>
            </w:pPr>
          </w:p>
        </w:tc>
      </w:tr>
      <w:tr>
        <w:trPr>
          <w:trHeight w:val="169"/>
        </w:trPr>
        <w:tc>
          <w:tcPr>
            <w:tcW w:w="7080" w:type="dxa"/>
            <w:vAlign w:val="bottom"/>
          </w:tcPr>
          <w:p>
            <w:pPr>
              <w:spacing w:after="0"/>
              <w:rPr>
                <w:sz w:val="14"/>
                <w:szCs w:val="14"/>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2015</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w w:val="96"/>
              </w:rPr>
              <w:t>2014</w:t>
            </w:r>
          </w:p>
        </w:tc>
      </w:tr>
      <w:tr>
        <w:trPr>
          <w:trHeight w:val="515"/>
        </w:trPr>
        <w:tc>
          <w:tcPr>
            <w:tcW w:w="7080" w:type="dxa"/>
            <w:vAlign w:val="bottom"/>
          </w:tcPr>
          <w:p>
            <w:pPr>
              <w:spacing w:after="0"/>
              <w:rPr>
                <w:sz w:val="20"/>
                <w:szCs w:val="20"/>
                <w:color w:val="auto"/>
              </w:rPr>
            </w:pPr>
            <w:r>
              <w:rPr>
                <w:rFonts w:ascii="Arial" w:cs="Arial" w:eastAsia="Arial" w:hAnsi="Arial"/>
                <w:sz w:val="14"/>
                <w:szCs w:val="14"/>
                <w:color w:val="auto"/>
              </w:rPr>
              <w:t>Revenue</w:t>
            </w:r>
          </w:p>
        </w:tc>
        <w:tc>
          <w:tcPr>
            <w:tcW w:w="112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7,340.7</w:t>
            </w:r>
          </w:p>
        </w:tc>
        <w:tc>
          <w:tcPr>
            <w:tcW w:w="1180" w:type="dxa"/>
            <w:vAlign w:val="bottom"/>
            <w:gridSpan w:val="2"/>
          </w:tcPr>
          <w:p>
            <w:pPr>
              <w:jc w:val="right"/>
              <w:ind w:right="68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08"/>
              <w:spacing w:after="0"/>
              <w:rPr>
                <w:sz w:val="20"/>
                <w:szCs w:val="20"/>
                <w:color w:val="auto"/>
              </w:rPr>
            </w:pPr>
            <w:r>
              <w:rPr>
                <w:rFonts w:ascii="Arial" w:cs="Arial" w:eastAsia="Arial" w:hAnsi="Arial"/>
                <w:sz w:val="14"/>
                <w:szCs w:val="14"/>
                <w:color w:val="auto"/>
              </w:rPr>
              <w:t>10,550.9</w:t>
            </w:r>
          </w:p>
        </w:tc>
      </w:tr>
      <w:tr>
        <w:trPr>
          <w:trHeight w:val="181"/>
        </w:trPr>
        <w:tc>
          <w:tcPr>
            <w:tcW w:w="7080" w:type="dxa"/>
            <w:vAlign w:val="bottom"/>
          </w:tcPr>
          <w:p>
            <w:pPr>
              <w:spacing w:after="0"/>
              <w:rPr>
                <w:sz w:val="20"/>
                <w:szCs w:val="20"/>
                <w:color w:val="auto"/>
              </w:rPr>
            </w:pPr>
            <w:r>
              <w:rPr>
                <w:rFonts w:ascii="Arial" w:cs="Arial" w:eastAsia="Arial" w:hAnsi="Arial"/>
                <w:sz w:val="14"/>
                <w:szCs w:val="14"/>
                <w:color w:val="auto"/>
              </w:rPr>
              <w:t>Cost of revenue</w:t>
            </w: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7,125.3</w:t>
            </w:r>
          </w:p>
        </w:tc>
        <w:tc>
          <w:tcPr>
            <w:tcW w:w="2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10,362.9</w:t>
            </w:r>
          </w:p>
        </w:tc>
      </w:tr>
      <w:tr>
        <w:trPr>
          <w:trHeight w:val="345"/>
        </w:trPr>
        <w:tc>
          <w:tcPr>
            <w:tcW w:w="7080" w:type="dxa"/>
            <w:vAlign w:val="bottom"/>
          </w:tcPr>
          <w:p>
            <w:pPr>
              <w:ind w:left="420"/>
              <w:spacing w:after="0"/>
              <w:rPr>
                <w:sz w:val="20"/>
                <w:szCs w:val="20"/>
                <w:color w:val="auto"/>
              </w:rPr>
            </w:pPr>
            <w:r>
              <w:rPr>
                <w:rFonts w:ascii="Arial" w:cs="Arial" w:eastAsia="Arial" w:hAnsi="Arial"/>
                <w:sz w:val="14"/>
                <w:szCs w:val="14"/>
                <w:color w:val="auto"/>
              </w:rPr>
              <w:t>Gross profit</w:t>
            </w:r>
          </w:p>
        </w:tc>
        <w:tc>
          <w:tcPr>
            <w:tcW w:w="1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215.4</w:t>
            </w:r>
          </w:p>
        </w:tc>
        <w:tc>
          <w:tcPr>
            <w:tcW w:w="2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188.0</w:t>
            </w:r>
          </w:p>
        </w:tc>
      </w:tr>
      <w:tr>
        <w:trPr>
          <w:trHeight w:val="339"/>
        </w:trPr>
        <w:tc>
          <w:tcPr>
            <w:tcW w:w="7080" w:type="dxa"/>
            <w:vAlign w:val="bottom"/>
          </w:tcPr>
          <w:p>
            <w:pPr>
              <w:spacing w:after="0"/>
              <w:rPr>
                <w:sz w:val="20"/>
                <w:szCs w:val="20"/>
                <w:color w:val="auto"/>
              </w:rPr>
            </w:pPr>
            <w:r>
              <w:rPr>
                <w:rFonts w:ascii="Arial" w:cs="Arial" w:eastAsia="Arial" w:hAnsi="Arial"/>
                <w:sz w:val="14"/>
                <w:szCs w:val="14"/>
                <w:color w:val="auto"/>
              </w:rPr>
              <w:t>Operating expenses:</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7080" w:type="dxa"/>
            <w:vAlign w:val="bottom"/>
          </w:tcPr>
          <w:p>
            <w:pPr>
              <w:ind w:left="280"/>
              <w:spacing w:after="0"/>
              <w:rPr>
                <w:sz w:val="20"/>
                <w:szCs w:val="20"/>
                <w:color w:val="auto"/>
              </w:rPr>
            </w:pPr>
            <w:r>
              <w:rPr>
                <w:rFonts w:ascii="Arial" w:cs="Arial" w:eastAsia="Arial" w:hAnsi="Arial"/>
                <w:sz w:val="14"/>
                <w:szCs w:val="14"/>
                <w:color w:val="auto"/>
              </w:rPr>
              <w:t>Compensation and employee benefits</w:t>
            </w:r>
          </w:p>
        </w:tc>
        <w:tc>
          <w:tcPr>
            <w:tcW w:w="112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88.6</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jc w:val="right"/>
              <w:ind w:right="208"/>
              <w:spacing w:after="0"/>
              <w:rPr>
                <w:sz w:val="20"/>
                <w:szCs w:val="20"/>
                <w:color w:val="auto"/>
              </w:rPr>
            </w:pPr>
            <w:r>
              <w:rPr>
                <w:rFonts w:ascii="Arial" w:cs="Arial" w:eastAsia="Arial" w:hAnsi="Arial"/>
                <w:sz w:val="14"/>
                <w:szCs w:val="14"/>
                <w:color w:val="auto"/>
              </w:rPr>
              <w:t>71.1</w:t>
            </w:r>
          </w:p>
        </w:tc>
      </w:tr>
      <w:tr>
        <w:trPr>
          <w:trHeight w:val="176"/>
        </w:trPr>
        <w:tc>
          <w:tcPr>
            <w:tcW w:w="7080" w:type="dxa"/>
            <w:vAlign w:val="bottom"/>
          </w:tcPr>
          <w:p>
            <w:pPr>
              <w:ind w:left="280"/>
              <w:spacing w:after="0"/>
              <w:rPr>
                <w:sz w:val="20"/>
                <w:szCs w:val="20"/>
                <w:color w:val="auto"/>
              </w:rPr>
            </w:pPr>
            <w:r>
              <w:rPr>
                <w:rFonts w:ascii="Arial" w:cs="Arial" w:eastAsia="Arial" w:hAnsi="Arial"/>
                <w:sz w:val="14"/>
                <w:szCs w:val="14"/>
                <w:color w:val="auto"/>
              </w:rPr>
              <w:t>Provision for bad debt</w:t>
            </w:r>
          </w:p>
        </w:tc>
        <w:tc>
          <w:tcPr>
            <w:tcW w:w="112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jc w:val="right"/>
              <w:ind w:right="208"/>
              <w:spacing w:after="0"/>
              <w:rPr>
                <w:sz w:val="20"/>
                <w:szCs w:val="20"/>
                <w:color w:val="auto"/>
              </w:rPr>
            </w:pPr>
            <w:r>
              <w:rPr>
                <w:rFonts w:ascii="Arial" w:cs="Arial" w:eastAsia="Arial" w:hAnsi="Arial"/>
                <w:sz w:val="14"/>
                <w:szCs w:val="14"/>
                <w:color w:val="auto"/>
              </w:rPr>
              <w:t>1.1</w:t>
            </w:r>
          </w:p>
        </w:tc>
      </w:tr>
      <w:tr>
        <w:trPr>
          <w:trHeight w:val="181"/>
        </w:trPr>
        <w:tc>
          <w:tcPr>
            <w:tcW w:w="7080" w:type="dxa"/>
            <w:vAlign w:val="bottom"/>
          </w:tcPr>
          <w:p>
            <w:pPr>
              <w:ind w:left="280"/>
              <w:spacing w:after="0"/>
              <w:rPr>
                <w:sz w:val="20"/>
                <w:szCs w:val="20"/>
                <w:color w:val="auto"/>
              </w:rPr>
            </w:pPr>
            <w:r>
              <w:rPr>
                <w:rFonts w:ascii="Arial" w:cs="Arial" w:eastAsia="Arial" w:hAnsi="Arial"/>
                <w:sz w:val="14"/>
                <w:szCs w:val="14"/>
                <w:color w:val="auto"/>
              </w:rPr>
              <w:t>General and administrative</w:t>
            </w: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54.0</w:t>
            </w:r>
          </w:p>
        </w:tc>
        <w:tc>
          <w:tcPr>
            <w:tcW w:w="2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51.5</w:t>
            </w:r>
          </w:p>
        </w:tc>
      </w:tr>
      <w:tr>
        <w:trPr>
          <w:trHeight w:val="345"/>
        </w:trPr>
        <w:tc>
          <w:tcPr>
            <w:tcW w:w="7080" w:type="dxa"/>
            <w:vAlign w:val="bottom"/>
          </w:tcPr>
          <w:p>
            <w:pPr>
              <w:ind w:left="420"/>
              <w:spacing w:after="0"/>
              <w:rPr>
                <w:sz w:val="20"/>
                <w:szCs w:val="20"/>
                <w:color w:val="auto"/>
              </w:rPr>
            </w:pPr>
            <w:r>
              <w:rPr>
                <w:rFonts w:ascii="Arial" w:cs="Arial" w:eastAsia="Arial" w:hAnsi="Arial"/>
                <w:sz w:val="14"/>
                <w:szCs w:val="14"/>
                <w:color w:val="auto"/>
              </w:rPr>
              <w:t>Total operating expenses</w:t>
            </w:r>
          </w:p>
        </w:tc>
        <w:tc>
          <w:tcPr>
            <w:tcW w:w="1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143.9</w:t>
            </w:r>
          </w:p>
        </w:tc>
        <w:tc>
          <w:tcPr>
            <w:tcW w:w="2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123.7</w:t>
            </w:r>
          </w:p>
        </w:tc>
      </w:tr>
      <w:tr>
        <w:trPr>
          <w:trHeight w:val="339"/>
        </w:trPr>
        <w:tc>
          <w:tcPr>
            <w:tcW w:w="7080" w:type="dxa"/>
            <w:vAlign w:val="bottom"/>
          </w:tcPr>
          <w:p>
            <w:pPr>
              <w:ind w:left="420"/>
              <w:spacing w:after="0"/>
              <w:rPr>
                <w:sz w:val="20"/>
                <w:szCs w:val="20"/>
                <w:color w:val="auto"/>
              </w:rPr>
            </w:pPr>
            <w:r>
              <w:rPr>
                <w:rFonts w:ascii="Arial" w:cs="Arial" w:eastAsia="Arial" w:hAnsi="Arial"/>
                <w:sz w:val="14"/>
                <w:szCs w:val="14"/>
                <w:color w:val="auto"/>
              </w:rPr>
              <w:t>Income from operations</w:t>
            </w:r>
          </w:p>
        </w:tc>
        <w:tc>
          <w:tcPr>
            <w:tcW w:w="1120" w:type="dxa"/>
            <w:vAlign w:val="bottom"/>
          </w:tcPr>
          <w:p>
            <w:pPr>
              <w:spacing w:after="0"/>
              <w:rPr>
                <w:sz w:val="24"/>
                <w:szCs w:val="24"/>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71.5</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jc w:val="right"/>
              <w:ind w:right="208"/>
              <w:spacing w:after="0"/>
              <w:rPr>
                <w:sz w:val="20"/>
                <w:szCs w:val="20"/>
                <w:color w:val="auto"/>
              </w:rPr>
            </w:pPr>
            <w:r>
              <w:rPr>
                <w:rFonts w:ascii="Arial" w:cs="Arial" w:eastAsia="Arial" w:hAnsi="Arial"/>
                <w:sz w:val="14"/>
                <w:szCs w:val="14"/>
                <w:color w:val="auto"/>
              </w:rPr>
              <w:t>64.3</w:t>
            </w:r>
          </w:p>
        </w:tc>
      </w:tr>
      <w:tr>
        <w:trPr>
          <w:trHeight w:val="181"/>
        </w:trPr>
        <w:tc>
          <w:tcPr>
            <w:tcW w:w="7080" w:type="dxa"/>
            <w:vAlign w:val="bottom"/>
          </w:tcPr>
          <w:p>
            <w:pPr>
              <w:spacing w:after="0"/>
              <w:rPr>
                <w:sz w:val="20"/>
                <w:szCs w:val="20"/>
                <w:color w:val="auto"/>
              </w:rPr>
            </w:pPr>
            <w:r>
              <w:rPr>
                <w:rFonts w:ascii="Arial" w:cs="Arial" w:eastAsia="Arial" w:hAnsi="Arial"/>
                <w:sz w:val="14"/>
                <w:szCs w:val="14"/>
                <w:color w:val="auto"/>
              </w:rPr>
              <w:t>Non-operating expenses, net</w:t>
            </w: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w:t>
            </w:r>
          </w:p>
        </w:tc>
        <w:tc>
          <w:tcPr>
            <w:tcW w:w="2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(2.5)</w:t>
            </w:r>
          </w:p>
        </w:tc>
      </w:tr>
      <w:tr>
        <w:trPr>
          <w:trHeight w:val="339"/>
        </w:trPr>
        <w:tc>
          <w:tcPr>
            <w:tcW w:w="708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1120" w:type="dxa"/>
            <w:vAlign w:val="bottom"/>
          </w:tcPr>
          <w:p>
            <w:pPr>
              <w:spacing w:after="0"/>
              <w:rPr>
                <w:sz w:val="24"/>
                <w:szCs w:val="24"/>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64.5</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jc w:val="right"/>
              <w:ind w:right="208"/>
              <w:spacing w:after="0"/>
              <w:rPr>
                <w:sz w:val="20"/>
                <w:szCs w:val="20"/>
                <w:color w:val="auto"/>
              </w:rPr>
            </w:pPr>
            <w:r>
              <w:rPr>
                <w:rFonts w:ascii="Arial" w:cs="Arial" w:eastAsia="Arial" w:hAnsi="Arial"/>
                <w:sz w:val="14"/>
                <w:szCs w:val="14"/>
                <w:color w:val="auto"/>
              </w:rPr>
              <w:t>61.8</w:t>
            </w:r>
          </w:p>
        </w:tc>
      </w:tr>
      <w:tr>
        <w:trPr>
          <w:trHeight w:val="181"/>
        </w:trPr>
        <w:tc>
          <w:tcPr>
            <w:tcW w:w="708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9.9</w:t>
            </w:r>
          </w:p>
        </w:tc>
        <w:tc>
          <w:tcPr>
            <w:tcW w:w="2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11.3</w:t>
            </w:r>
          </w:p>
        </w:tc>
      </w:tr>
      <w:tr>
        <w:trPr>
          <w:trHeight w:val="339"/>
        </w:trPr>
        <w:tc>
          <w:tcPr>
            <w:tcW w:w="7080" w:type="dxa"/>
            <w:vAlign w:val="bottom"/>
          </w:tcPr>
          <w:p>
            <w:pPr>
              <w:spacing w:after="0"/>
              <w:rPr>
                <w:sz w:val="20"/>
                <w:szCs w:val="20"/>
                <w:color w:val="auto"/>
              </w:rPr>
            </w:pPr>
            <w:r>
              <w:rPr>
                <w:rFonts w:ascii="Arial" w:cs="Arial" w:eastAsia="Arial" w:hAnsi="Arial"/>
                <w:sz w:val="14"/>
                <w:szCs w:val="14"/>
                <w:color w:val="auto"/>
              </w:rPr>
              <w:t>Net income including noncontrolling interest</w:t>
            </w:r>
          </w:p>
        </w:tc>
        <w:tc>
          <w:tcPr>
            <w:tcW w:w="1120" w:type="dxa"/>
            <w:vAlign w:val="bottom"/>
          </w:tcPr>
          <w:p>
            <w:pPr>
              <w:spacing w:after="0"/>
              <w:rPr>
                <w:sz w:val="24"/>
                <w:szCs w:val="24"/>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54.6</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jc w:val="right"/>
              <w:ind w:right="208"/>
              <w:spacing w:after="0"/>
              <w:rPr>
                <w:sz w:val="20"/>
                <w:szCs w:val="20"/>
                <w:color w:val="auto"/>
              </w:rPr>
            </w:pPr>
            <w:r>
              <w:rPr>
                <w:rFonts w:ascii="Arial" w:cs="Arial" w:eastAsia="Arial" w:hAnsi="Arial"/>
                <w:sz w:val="14"/>
                <w:szCs w:val="14"/>
                <w:color w:val="auto"/>
              </w:rPr>
              <w:t>50.5</w:t>
            </w:r>
          </w:p>
        </w:tc>
      </w:tr>
      <w:tr>
        <w:trPr>
          <w:trHeight w:val="181"/>
        </w:trPr>
        <w:tc>
          <w:tcPr>
            <w:tcW w:w="7080" w:type="dxa"/>
            <w:vAlign w:val="bottom"/>
          </w:tcPr>
          <w:p>
            <w:pPr>
              <w:spacing w:after="0"/>
              <w:rPr>
                <w:sz w:val="20"/>
                <w:szCs w:val="20"/>
                <w:color w:val="auto"/>
              </w:rPr>
            </w:pPr>
            <w:r>
              <w:rPr>
                <w:rFonts w:ascii="Arial" w:cs="Arial" w:eastAsia="Arial" w:hAnsi="Arial"/>
                <w:sz w:val="14"/>
                <w:szCs w:val="14"/>
                <w:color w:val="auto"/>
              </w:rPr>
              <w:t>Net loss attributable to noncontrolling interest</w:t>
            </w: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(0.2)</w:t>
            </w:r>
          </w:p>
        </w:tc>
      </w:tr>
      <w:tr>
        <w:trPr>
          <w:trHeight w:val="345"/>
        </w:trPr>
        <w:tc>
          <w:tcPr>
            <w:tcW w:w="7080" w:type="dxa"/>
            <w:vAlign w:val="bottom"/>
          </w:tcPr>
          <w:p>
            <w:pPr>
              <w:spacing w:after="0"/>
              <w:rPr>
                <w:sz w:val="20"/>
                <w:szCs w:val="20"/>
                <w:color w:val="auto"/>
              </w:rPr>
            </w:pPr>
            <w:r>
              <w:rPr>
                <w:rFonts w:ascii="Arial" w:cs="Arial" w:eastAsia="Arial" w:hAnsi="Arial"/>
                <w:sz w:val="14"/>
                <w:szCs w:val="14"/>
                <w:color w:val="auto"/>
              </w:rPr>
              <w:t>Net income attributable to World Fuel</w:t>
            </w:r>
          </w:p>
        </w:tc>
        <w:tc>
          <w:tcPr>
            <w:tcW w:w="112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55.6</w:t>
            </w:r>
          </w:p>
        </w:tc>
        <w:tc>
          <w:tcPr>
            <w:tcW w:w="200" w:type="dxa"/>
            <w:vAlign w:val="bottom"/>
          </w:tcPr>
          <w:p>
            <w:pPr>
              <w:spacing w:after="0"/>
              <w:rPr>
                <w:sz w:val="24"/>
                <w:szCs w:val="24"/>
                <w:color w:val="auto"/>
              </w:rPr>
            </w:pPr>
          </w:p>
        </w:tc>
        <w:tc>
          <w:tcPr>
            <w:tcW w:w="9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50.7</w:t>
            </w:r>
          </w:p>
        </w:tc>
      </w:tr>
      <w:tr>
        <w:trPr>
          <w:trHeight w:val="20"/>
        </w:trPr>
        <w:tc>
          <w:tcPr>
            <w:tcW w:w="7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32"/>
        </w:trPr>
        <w:tc>
          <w:tcPr>
            <w:tcW w:w="7080" w:type="dxa"/>
            <w:vAlign w:val="bottom"/>
          </w:tcPr>
          <w:p>
            <w:pPr>
              <w:spacing w:after="0"/>
              <w:rPr>
                <w:sz w:val="20"/>
                <w:szCs w:val="20"/>
                <w:color w:val="auto"/>
              </w:rPr>
            </w:pPr>
            <w:r>
              <w:rPr>
                <w:rFonts w:ascii="Arial" w:cs="Arial" w:eastAsia="Arial" w:hAnsi="Arial"/>
                <w:sz w:val="14"/>
                <w:szCs w:val="14"/>
                <w:color w:val="auto"/>
              </w:rPr>
              <w:t>Basic earnings per common share</w:t>
            </w:r>
          </w:p>
        </w:tc>
        <w:tc>
          <w:tcPr>
            <w:tcW w:w="112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0.79</w:t>
            </w:r>
          </w:p>
        </w:tc>
        <w:tc>
          <w:tcPr>
            <w:tcW w:w="1180" w:type="dxa"/>
            <w:vAlign w:val="bottom"/>
            <w:gridSpan w:val="2"/>
          </w:tcPr>
          <w:p>
            <w:pPr>
              <w:jc w:val="right"/>
              <w:ind w:right="68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08"/>
              <w:spacing w:after="0"/>
              <w:rPr>
                <w:sz w:val="20"/>
                <w:szCs w:val="20"/>
                <w:color w:val="auto"/>
              </w:rPr>
            </w:pPr>
            <w:r>
              <w:rPr>
                <w:rFonts w:ascii="Arial" w:cs="Arial" w:eastAsia="Arial" w:hAnsi="Arial"/>
                <w:sz w:val="14"/>
                <w:szCs w:val="14"/>
                <w:color w:val="auto"/>
              </w:rPr>
              <w:t>0.72</w:t>
            </w:r>
          </w:p>
        </w:tc>
      </w:tr>
      <w:tr>
        <w:trPr>
          <w:trHeight w:val="20"/>
        </w:trPr>
        <w:tc>
          <w:tcPr>
            <w:tcW w:w="70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7080" w:type="dxa"/>
            <w:vAlign w:val="bottom"/>
          </w:tcPr>
          <w:p>
            <w:pPr>
              <w:spacing w:after="0"/>
              <w:rPr>
                <w:sz w:val="20"/>
                <w:szCs w:val="20"/>
                <w:color w:val="auto"/>
              </w:rPr>
            </w:pPr>
            <w:r>
              <w:rPr>
                <w:rFonts w:ascii="Arial" w:cs="Arial" w:eastAsia="Arial" w:hAnsi="Arial"/>
                <w:sz w:val="14"/>
                <w:szCs w:val="14"/>
                <w:color w:val="auto"/>
              </w:rPr>
              <w:t>Basic weighted average common shares</w:t>
            </w:r>
          </w:p>
        </w:tc>
        <w:tc>
          <w:tcPr>
            <w:tcW w:w="1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70.7</w:t>
            </w:r>
          </w:p>
        </w:tc>
        <w:tc>
          <w:tcPr>
            <w:tcW w:w="2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70.7</w:t>
            </w:r>
          </w:p>
        </w:tc>
      </w:tr>
      <w:tr>
        <w:trPr>
          <w:trHeight w:val="20"/>
        </w:trPr>
        <w:tc>
          <w:tcPr>
            <w:tcW w:w="7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32"/>
        </w:trPr>
        <w:tc>
          <w:tcPr>
            <w:tcW w:w="7080" w:type="dxa"/>
            <w:vAlign w:val="bottom"/>
          </w:tcPr>
          <w:p>
            <w:pPr>
              <w:spacing w:after="0"/>
              <w:rPr>
                <w:sz w:val="20"/>
                <w:szCs w:val="20"/>
                <w:color w:val="auto"/>
              </w:rPr>
            </w:pPr>
            <w:r>
              <w:rPr>
                <w:rFonts w:ascii="Arial" w:cs="Arial" w:eastAsia="Arial" w:hAnsi="Arial"/>
                <w:sz w:val="14"/>
                <w:szCs w:val="14"/>
                <w:color w:val="auto"/>
              </w:rPr>
              <w:t>Diluted earnings per common share</w:t>
            </w:r>
          </w:p>
        </w:tc>
        <w:tc>
          <w:tcPr>
            <w:tcW w:w="112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0.78</w:t>
            </w:r>
          </w:p>
        </w:tc>
        <w:tc>
          <w:tcPr>
            <w:tcW w:w="1180" w:type="dxa"/>
            <w:vAlign w:val="bottom"/>
            <w:gridSpan w:val="2"/>
          </w:tcPr>
          <w:p>
            <w:pPr>
              <w:jc w:val="right"/>
              <w:ind w:right="68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08"/>
              <w:spacing w:after="0"/>
              <w:rPr>
                <w:sz w:val="20"/>
                <w:szCs w:val="20"/>
                <w:color w:val="auto"/>
              </w:rPr>
            </w:pPr>
            <w:r>
              <w:rPr>
                <w:rFonts w:ascii="Arial" w:cs="Arial" w:eastAsia="Arial" w:hAnsi="Arial"/>
                <w:sz w:val="14"/>
                <w:szCs w:val="14"/>
                <w:color w:val="auto"/>
              </w:rPr>
              <w:t>0.71</w:t>
            </w:r>
          </w:p>
        </w:tc>
      </w:tr>
      <w:tr>
        <w:trPr>
          <w:trHeight w:val="20"/>
        </w:trPr>
        <w:tc>
          <w:tcPr>
            <w:tcW w:w="70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7080" w:type="dxa"/>
            <w:vAlign w:val="bottom"/>
          </w:tcPr>
          <w:p>
            <w:pPr>
              <w:spacing w:after="0"/>
              <w:rPr>
                <w:sz w:val="20"/>
                <w:szCs w:val="20"/>
                <w:color w:val="auto"/>
              </w:rPr>
            </w:pPr>
            <w:r>
              <w:rPr>
                <w:rFonts w:ascii="Arial" w:cs="Arial" w:eastAsia="Arial" w:hAnsi="Arial"/>
                <w:sz w:val="14"/>
                <w:szCs w:val="14"/>
                <w:color w:val="auto"/>
              </w:rPr>
              <w:t>Diluted weighted average common shares</w:t>
            </w:r>
          </w:p>
        </w:tc>
        <w:tc>
          <w:tcPr>
            <w:tcW w:w="1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71.4</w:t>
            </w:r>
          </w:p>
        </w:tc>
        <w:tc>
          <w:tcPr>
            <w:tcW w:w="2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71.4</w:t>
            </w:r>
          </w:p>
        </w:tc>
      </w:tr>
      <w:tr>
        <w:trPr>
          <w:trHeight w:val="20"/>
        </w:trPr>
        <w:tc>
          <w:tcPr>
            <w:tcW w:w="7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16"/>
        </w:trPr>
        <w:tc>
          <w:tcPr>
            <w:tcW w:w="70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r>
        <w:trPr>
          <w:trHeight w:val="21"/>
        </w:trPr>
        <w:tc>
          <w:tcPr>
            <w:tcW w:w="708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20" w:type="dxa"/>
            <w:vAlign w:val="bottom"/>
          </w:tcPr>
          <w:p>
            <w:pPr>
              <w:spacing w:after="0"/>
              <w:rPr>
                <w:sz w:val="15"/>
                <w:szCs w:val="15"/>
                <w:color w:val="auto"/>
              </w:rPr>
            </w:pPr>
          </w:p>
        </w:tc>
        <w:tc>
          <w:tcPr>
            <w:tcW w:w="2460" w:type="dxa"/>
            <w:vAlign w:val="bottom"/>
            <w:gridSpan w:val="5"/>
          </w:tcPr>
          <w:p>
            <w:pPr>
              <w:jc w:val="right"/>
              <w:ind w:right="100"/>
              <w:spacing w:after="0"/>
              <w:rPr>
                <w:sz w:val="20"/>
                <w:szCs w:val="20"/>
                <w:color w:val="auto"/>
              </w:rPr>
            </w:pPr>
            <w:r>
              <w:rPr>
                <w:rFonts w:ascii="Arial" w:cs="Arial" w:eastAsia="Arial" w:hAnsi="Arial"/>
                <w:sz w:val="14"/>
                <w:szCs w:val="14"/>
                <w:color w:val="auto"/>
              </w:rPr>
              <w:t>For the Three Months ended</w:t>
            </w:r>
          </w:p>
        </w:tc>
        <w:tc>
          <w:tcPr>
            <w:tcW w:w="640" w:type="dxa"/>
            <w:vAlign w:val="bottom"/>
          </w:tcPr>
          <w:p>
            <w:pPr>
              <w:spacing w:after="0"/>
              <w:rPr>
                <w:sz w:val="15"/>
                <w:szCs w:val="15"/>
                <w:color w:val="auto"/>
              </w:rPr>
            </w:pPr>
          </w:p>
        </w:tc>
      </w:tr>
      <w:tr>
        <w:trPr>
          <w:trHeight w:val="181"/>
        </w:trPr>
        <w:tc>
          <w:tcPr>
            <w:tcW w:w="8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color w:val="auto"/>
                <w:w w:val="96"/>
              </w:rPr>
              <w:t>March 31,</w:t>
            </w:r>
          </w:p>
        </w:tc>
        <w:tc>
          <w:tcPr>
            <w:tcW w:w="640" w:type="dxa"/>
            <w:vAlign w:val="bottom"/>
            <w:tcBorders>
              <w:bottom w:val="single" w:sz="8" w:color="auto"/>
            </w:tcBorders>
          </w:tcPr>
          <w:p>
            <w:pPr>
              <w:spacing w:after="0"/>
              <w:rPr>
                <w:sz w:val="15"/>
                <w:szCs w:val="15"/>
                <w:color w:val="auto"/>
              </w:rPr>
            </w:pPr>
          </w:p>
        </w:tc>
      </w:tr>
      <w:tr>
        <w:trPr>
          <w:trHeight w:val="169"/>
        </w:trPr>
        <w:tc>
          <w:tcPr>
            <w:tcW w:w="8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2015</w:t>
            </w:r>
          </w:p>
        </w:tc>
        <w:tc>
          <w:tcPr>
            <w:tcW w:w="420" w:type="dxa"/>
            <w:vAlign w:val="bottom"/>
          </w:tcPr>
          <w:p>
            <w:pPr>
              <w:spacing w:after="0"/>
              <w:rPr>
                <w:sz w:val="14"/>
                <w:szCs w:val="1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4"/>
                <w:szCs w:val="14"/>
                <w:color w:val="auto"/>
              </w:rPr>
              <w:t>2014</w:t>
            </w:r>
          </w:p>
        </w:tc>
        <w:tc>
          <w:tcPr>
            <w:tcW w:w="640" w:type="dxa"/>
            <w:vAlign w:val="bottom"/>
          </w:tcPr>
          <w:p>
            <w:pPr>
              <w:spacing w:after="0"/>
              <w:rPr>
                <w:sz w:val="14"/>
                <w:szCs w:val="14"/>
                <w:color w:val="auto"/>
              </w:rPr>
            </w:pPr>
          </w:p>
        </w:tc>
      </w:tr>
      <w:tr>
        <w:trPr>
          <w:trHeight w:val="339"/>
        </w:trPr>
        <w:tc>
          <w:tcPr>
            <w:tcW w:w="832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8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r>
      <w:tr>
        <w:trPr>
          <w:trHeight w:val="181"/>
        </w:trPr>
        <w:tc>
          <w:tcPr>
            <w:tcW w:w="8320" w:type="dxa"/>
            <w:vAlign w:val="bottom"/>
          </w:tcPr>
          <w:p>
            <w:pPr>
              <w:ind w:left="140"/>
              <w:spacing w:after="0"/>
              <w:rPr>
                <w:sz w:val="20"/>
                <w:szCs w:val="20"/>
                <w:color w:val="auto"/>
              </w:rPr>
            </w:pPr>
            <w:r>
              <w:rPr>
                <w:rFonts w:ascii="Arial" w:cs="Arial" w:eastAsia="Arial" w:hAnsi="Arial"/>
                <w:sz w:val="14"/>
                <w:szCs w:val="14"/>
                <w:color w:val="auto"/>
              </w:rPr>
              <w:t>Net income including noncontrolling interest</w:t>
            </w:r>
          </w:p>
        </w:tc>
        <w:tc>
          <w:tcPr>
            <w:tcW w:w="8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54.6</w:t>
            </w:r>
          </w:p>
        </w:tc>
        <w:tc>
          <w:tcPr>
            <w:tcW w:w="1240" w:type="dxa"/>
            <w:vAlign w:val="bottom"/>
            <w:gridSpan w:val="3"/>
          </w:tcPr>
          <w:p>
            <w:pPr>
              <w:jc w:val="right"/>
              <w:ind w:right="7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50.5</w:t>
            </w:r>
          </w:p>
        </w:tc>
      </w:tr>
      <w:tr>
        <w:trPr>
          <w:trHeight w:val="164"/>
        </w:trPr>
        <w:tc>
          <w:tcPr>
            <w:tcW w:w="8320" w:type="dxa"/>
            <w:vAlign w:val="bottom"/>
          </w:tcPr>
          <w:p>
            <w:pPr>
              <w:ind w:left="140"/>
              <w:spacing w:after="0"/>
              <w:rPr>
                <w:sz w:val="20"/>
                <w:szCs w:val="20"/>
                <w:color w:val="auto"/>
              </w:rPr>
            </w:pPr>
            <w:r>
              <w:rPr>
                <w:rFonts w:ascii="Arial" w:cs="Arial" w:eastAsia="Arial" w:hAnsi="Arial"/>
                <w:sz w:val="14"/>
                <w:szCs w:val="14"/>
                <w:color w:val="auto"/>
              </w:rPr>
              <w:t>Adjustments to reconcile net income including</w:t>
            </w:r>
          </w:p>
        </w:tc>
        <w:tc>
          <w:tcPr>
            <w:tcW w:w="8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r>
      <w:tr>
        <w:trPr>
          <w:trHeight w:val="176"/>
        </w:trPr>
        <w:tc>
          <w:tcPr>
            <w:tcW w:w="8320" w:type="dxa"/>
            <w:vAlign w:val="bottom"/>
          </w:tcPr>
          <w:p>
            <w:pPr>
              <w:ind w:left="220"/>
              <w:spacing w:after="0"/>
              <w:rPr>
                <w:sz w:val="20"/>
                <w:szCs w:val="20"/>
                <w:color w:val="auto"/>
              </w:rPr>
            </w:pPr>
            <w:r>
              <w:rPr>
                <w:rFonts w:ascii="Arial" w:cs="Arial" w:eastAsia="Arial" w:hAnsi="Arial"/>
                <w:sz w:val="14"/>
                <w:szCs w:val="14"/>
                <w:color w:val="auto"/>
              </w:rPr>
              <w:t>noncontrolling interest to net cash provided by</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8320" w:type="dxa"/>
            <w:vAlign w:val="bottom"/>
          </w:tcPr>
          <w:p>
            <w:pPr>
              <w:ind w:left="220"/>
              <w:spacing w:after="0"/>
              <w:rPr>
                <w:sz w:val="20"/>
                <w:szCs w:val="20"/>
                <w:color w:val="auto"/>
              </w:rPr>
            </w:pPr>
            <w:r>
              <w:rPr>
                <w:rFonts w:ascii="Arial" w:cs="Arial" w:eastAsia="Arial" w:hAnsi="Arial"/>
                <w:sz w:val="14"/>
                <w:szCs w:val="14"/>
                <w:color w:val="auto"/>
              </w:rPr>
              <w:t>operating activities:</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832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800" w:type="dxa"/>
            <w:vAlign w:val="bottom"/>
          </w:tcPr>
          <w:p>
            <w:pPr>
              <w:spacing w:after="0"/>
              <w:rPr>
                <w:sz w:val="15"/>
                <w:szCs w:val="15"/>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12.4</w:t>
            </w:r>
          </w:p>
        </w:tc>
      </w:tr>
      <w:tr>
        <w:trPr>
          <w:trHeight w:val="176"/>
        </w:trPr>
        <w:tc>
          <w:tcPr>
            <w:tcW w:w="8320" w:type="dxa"/>
            <w:vAlign w:val="bottom"/>
          </w:tcPr>
          <w:p>
            <w:pPr>
              <w:ind w:left="340"/>
              <w:spacing w:after="0"/>
              <w:rPr>
                <w:sz w:val="20"/>
                <w:szCs w:val="20"/>
                <w:color w:val="auto"/>
              </w:rPr>
            </w:pPr>
            <w:r>
              <w:rPr>
                <w:rFonts w:ascii="Arial" w:cs="Arial" w:eastAsia="Arial" w:hAnsi="Arial"/>
                <w:sz w:val="14"/>
                <w:szCs w:val="14"/>
                <w:color w:val="auto"/>
              </w:rPr>
              <w:t>Provision for bad debt</w:t>
            </w:r>
          </w:p>
        </w:tc>
        <w:tc>
          <w:tcPr>
            <w:tcW w:w="800" w:type="dxa"/>
            <w:vAlign w:val="bottom"/>
          </w:tcPr>
          <w:p>
            <w:pPr>
              <w:spacing w:after="0"/>
              <w:rPr>
                <w:sz w:val="15"/>
                <w:szCs w:val="15"/>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1.1</w:t>
            </w:r>
          </w:p>
        </w:tc>
      </w:tr>
      <w:tr>
        <w:trPr>
          <w:trHeight w:val="176"/>
        </w:trPr>
        <w:tc>
          <w:tcPr>
            <w:tcW w:w="8320" w:type="dxa"/>
            <w:vAlign w:val="bottom"/>
          </w:tcPr>
          <w:p>
            <w:pPr>
              <w:ind w:left="340"/>
              <w:spacing w:after="0"/>
              <w:rPr>
                <w:sz w:val="20"/>
                <w:szCs w:val="20"/>
                <w:color w:val="auto"/>
              </w:rPr>
            </w:pPr>
            <w:r>
              <w:rPr>
                <w:rFonts w:ascii="Arial" w:cs="Arial" w:eastAsia="Arial" w:hAnsi="Arial"/>
                <w:sz w:val="14"/>
                <w:szCs w:val="14"/>
                <w:color w:val="auto"/>
              </w:rPr>
              <w:t>Share-based payment award compensation costs</w:t>
            </w:r>
          </w:p>
        </w:tc>
        <w:tc>
          <w:tcPr>
            <w:tcW w:w="800" w:type="dxa"/>
            <w:vAlign w:val="bottom"/>
          </w:tcPr>
          <w:p>
            <w:pPr>
              <w:spacing w:after="0"/>
              <w:rPr>
                <w:sz w:val="15"/>
                <w:szCs w:val="15"/>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4.0</w:t>
            </w:r>
          </w:p>
        </w:tc>
      </w:tr>
      <w:tr>
        <w:trPr>
          <w:trHeight w:val="176"/>
        </w:trPr>
        <w:tc>
          <w:tcPr>
            <w:tcW w:w="8320" w:type="dxa"/>
            <w:vAlign w:val="bottom"/>
          </w:tcPr>
          <w:p>
            <w:pPr>
              <w:ind w:left="340"/>
              <w:spacing w:after="0"/>
              <w:rPr>
                <w:sz w:val="20"/>
                <w:szCs w:val="20"/>
                <w:color w:val="auto"/>
              </w:rPr>
            </w:pPr>
            <w:r>
              <w:rPr>
                <w:rFonts w:ascii="Arial" w:cs="Arial" w:eastAsia="Arial" w:hAnsi="Arial"/>
                <w:sz w:val="14"/>
                <w:szCs w:val="14"/>
                <w:color w:val="auto"/>
              </w:rPr>
              <w:t>Other</w:t>
            </w:r>
          </w:p>
        </w:tc>
        <w:tc>
          <w:tcPr>
            <w:tcW w:w="8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4.5</w:t>
            </w:r>
          </w:p>
        </w:tc>
      </w:tr>
      <w:tr>
        <w:trPr>
          <w:trHeight w:val="176"/>
        </w:trPr>
        <w:tc>
          <w:tcPr>
            <w:tcW w:w="8320" w:type="dxa"/>
            <w:vAlign w:val="bottom"/>
          </w:tcPr>
          <w:p>
            <w:pPr>
              <w:ind w:left="340"/>
              <w:spacing w:after="0"/>
              <w:rPr>
                <w:sz w:val="20"/>
                <w:szCs w:val="20"/>
                <w:color w:val="auto"/>
              </w:rPr>
            </w:pPr>
            <w:r>
              <w:rPr>
                <w:rFonts w:ascii="Arial" w:cs="Arial" w:eastAsia="Arial" w:hAnsi="Arial"/>
                <w:sz w:val="14"/>
                <w:szCs w:val="14"/>
                <w:color w:val="auto"/>
              </w:rPr>
              <w:t>Change in cash collateral with financial counterparties</w:t>
            </w:r>
          </w:p>
        </w:tc>
        <w:tc>
          <w:tcPr>
            <w:tcW w:w="800" w:type="dxa"/>
            <w:vAlign w:val="bottom"/>
          </w:tcPr>
          <w:p>
            <w:pPr>
              <w:spacing w:after="0"/>
              <w:rPr>
                <w:sz w:val="15"/>
                <w:szCs w:val="15"/>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(10.1)</w:t>
            </w:r>
          </w:p>
        </w:tc>
      </w:tr>
      <w:tr>
        <w:trPr>
          <w:trHeight w:val="181"/>
        </w:trPr>
        <w:tc>
          <w:tcPr>
            <w:tcW w:w="8320" w:type="dxa"/>
            <w:vAlign w:val="bottom"/>
          </w:tcPr>
          <w:p>
            <w:pPr>
              <w:ind w:left="340"/>
              <w:spacing w:after="0"/>
              <w:rPr>
                <w:sz w:val="20"/>
                <w:szCs w:val="20"/>
                <w:color w:val="auto"/>
              </w:rPr>
            </w:pPr>
            <w:r>
              <w:rPr>
                <w:rFonts w:ascii="Arial" w:cs="Arial" w:eastAsia="Arial" w:hAnsi="Arial"/>
                <w:sz w:val="14"/>
                <w:szCs w:val="14"/>
                <w:color w:val="auto"/>
              </w:rPr>
              <w:t>Changes in assets and liabilities, net of acquisitions</w:t>
            </w: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29.2</w:t>
            </w:r>
          </w:p>
        </w:tc>
      </w:tr>
      <w:tr>
        <w:trPr>
          <w:trHeight w:val="169"/>
        </w:trPr>
        <w:tc>
          <w:tcPr>
            <w:tcW w:w="8320" w:type="dxa"/>
            <w:vAlign w:val="bottom"/>
          </w:tcPr>
          <w:p>
            <w:pPr>
              <w:ind w:left="460"/>
              <w:spacing w:after="0"/>
              <w:rPr>
                <w:sz w:val="20"/>
                <w:szCs w:val="20"/>
                <w:color w:val="auto"/>
              </w:rPr>
            </w:pPr>
            <w:r>
              <w:rPr>
                <w:rFonts w:ascii="Arial" w:cs="Arial" w:eastAsia="Arial" w:hAnsi="Arial"/>
                <w:sz w:val="14"/>
                <w:szCs w:val="14"/>
                <w:color w:val="auto"/>
              </w:rPr>
              <w:t>Total adjustments</w:t>
            </w: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52.3</w:t>
            </w: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41.1</w:t>
            </w:r>
          </w:p>
        </w:tc>
      </w:tr>
      <w:tr>
        <w:trPr>
          <w:trHeight w:val="169"/>
        </w:trPr>
        <w:tc>
          <w:tcPr>
            <w:tcW w:w="8320" w:type="dxa"/>
            <w:vAlign w:val="bottom"/>
          </w:tcPr>
          <w:p>
            <w:pPr>
              <w:ind w:left="140"/>
              <w:spacing w:after="0"/>
              <w:rPr>
                <w:sz w:val="20"/>
                <w:szCs w:val="20"/>
                <w:color w:val="auto"/>
              </w:rPr>
            </w:pPr>
            <w:r>
              <w:rPr>
                <w:rFonts w:ascii="Arial" w:cs="Arial" w:eastAsia="Arial" w:hAnsi="Arial"/>
                <w:sz w:val="14"/>
                <w:szCs w:val="14"/>
                <w:color w:val="auto"/>
              </w:rPr>
              <w:t>Net cash provided by operating activities</w:t>
            </w: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106.9</w:t>
            </w: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91.6</w:t>
            </w:r>
          </w:p>
        </w:tc>
      </w:tr>
      <w:tr>
        <w:trPr>
          <w:trHeight w:val="339"/>
        </w:trPr>
        <w:tc>
          <w:tcPr>
            <w:tcW w:w="832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8320" w:type="dxa"/>
            <w:vAlign w:val="bottom"/>
          </w:tcPr>
          <w:p>
            <w:pPr>
              <w:ind w:left="140"/>
              <w:spacing w:after="0"/>
              <w:rPr>
                <w:sz w:val="20"/>
                <w:szCs w:val="20"/>
                <w:color w:val="auto"/>
              </w:rPr>
            </w:pPr>
            <w:r>
              <w:rPr>
                <w:rFonts w:ascii="Arial" w:cs="Arial" w:eastAsia="Arial" w:hAnsi="Arial"/>
                <w:sz w:val="14"/>
                <w:szCs w:val="14"/>
                <w:color w:val="auto"/>
              </w:rPr>
              <w:t>Acquisition of businesses, net of cash acquired and other investments</w:t>
            </w:r>
          </w:p>
        </w:tc>
        <w:tc>
          <w:tcPr>
            <w:tcW w:w="8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w w:val="99"/>
              </w:rPr>
              <w:t>(154.0)</w:t>
            </w:r>
          </w:p>
        </w:tc>
      </w:tr>
      <w:tr>
        <w:trPr>
          <w:trHeight w:val="176"/>
        </w:trPr>
        <w:tc>
          <w:tcPr>
            <w:tcW w:w="832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8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8"/>
              </w:rPr>
              <w:t>(13.1)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(8.9)</w:t>
            </w:r>
          </w:p>
        </w:tc>
      </w:tr>
      <w:tr>
        <w:trPr>
          <w:trHeight w:val="176"/>
        </w:trPr>
        <w:tc>
          <w:tcPr>
            <w:tcW w:w="8320" w:type="dxa"/>
            <w:vAlign w:val="bottom"/>
          </w:tcPr>
          <w:p>
            <w:pPr>
              <w:ind w:left="140"/>
              <w:spacing w:after="0"/>
              <w:rPr>
                <w:sz w:val="20"/>
                <w:szCs w:val="20"/>
                <w:color w:val="auto"/>
              </w:rPr>
            </w:pPr>
            <w:r>
              <w:rPr>
                <w:rFonts w:ascii="Arial" w:cs="Arial" w:eastAsia="Arial" w:hAnsi="Arial"/>
                <w:sz w:val="14"/>
                <w:szCs w:val="14"/>
                <w:color w:val="auto"/>
              </w:rPr>
              <w:t>Escrow payment related to an assumed obligation of an acquired business</w:t>
            </w:r>
          </w:p>
        </w:tc>
        <w:tc>
          <w:tcPr>
            <w:tcW w:w="800" w:type="dxa"/>
            <w:vAlign w:val="bottom"/>
          </w:tcPr>
          <w:p>
            <w:pPr>
              <w:spacing w:after="0"/>
              <w:rPr>
                <w:sz w:val="15"/>
                <w:szCs w:val="15"/>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(21.7)</w:t>
            </w:r>
          </w:p>
        </w:tc>
      </w:tr>
      <w:tr>
        <w:trPr>
          <w:trHeight w:val="181"/>
        </w:trPr>
        <w:tc>
          <w:tcPr>
            <w:tcW w:w="8320" w:type="dxa"/>
            <w:vAlign w:val="bottom"/>
          </w:tcPr>
          <w:p>
            <w:pPr>
              <w:ind w:left="140"/>
              <w:spacing w:after="0"/>
              <w:rPr>
                <w:sz w:val="20"/>
                <w:szCs w:val="20"/>
                <w:color w:val="auto"/>
              </w:rPr>
            </w:pPr>
            <w:r>
              <w:rPr>
                <w:rFonts w:ascii="Arial" w:cs="Arial" w:eastAsia="Arial" w:hAnsi="Arial"/>
                <w:sz w:val="14"/>
                <w:szCs w:val="14"/>
                <w:color w:val="auto"/>
              </w:rPr>
              <w:t>Other</w:t>
            </w: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169"/>
        </w:trPr>
        <w:tc>
          <w:tcPr>
            <w:tcW w:w="8320" w:type="dxa"/>
            <w:vAlign w:val="bottom"/>
          </w:tcPr>
          <w:p>
            <w:pPr>
              <w:ind w:left="280"/>
              <w:spacing w:after="0"/>
              <w:rPr>
                <w:sz w:val="20"/>
                <w:szCs w:val="20"/>
                <w:color w:val="auto"/>
              </w:rPr>
            </w:pPr>
            <w:r>
              <w:rPr>
                <w:rFonts w:ascii="Arial" w:cs="Arial" w:eastAsia="Arial" w:hAnsi="Arial"/>
                <w:sz w:val="14"/>
                <w:szCs w:val="14"/>
                <w:color w:val="auto"/>
              </w:rPr>
              <w:t>Net cash used in investing activities</w:t>
            </w: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(11.5)</w:t>
            </w: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9"/>
              </w:rPr>
              <w:t>(184.6)</w:t>
            </w:r>
          </w:p>
        </w:tc>
      </w:tr>
      <w:tr>
        <w:trPr>
          <w:trHeight w:val="339"/>
        </w:trPr>
        <w:tc>
          <w:tcPr>
            <w:tcW w:w="832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8320" w:type="dxa"/>
            <w:vAlign w:val="bottom"/>
          </w:tcPr>
          <w:p>
            <w:pPr>
              <w:ind w:left="140"/>
              <w:spacing w:after="0"/>
              <w:rPr>
                <w:sz w:val="20"/>
                <w:szCs w:val="20"/>
                <w:color w:val="auto"/>
              </w:rPr>
            </w:pPr>
            <w:r>
              <w:rPr>
                <w:rFonts w:ascii="Arial" w:cs="Arial" w:eastAsia="Arial" w:hAnsi="Arial"/>
                <w:sz w:val="14"/>
                <w:szCs w:val="14"/>
                <w:color w:val="auto"/>
              </w:rPr>
              <w:t>Borrowings of debt, net</w:t>
            </w:r>
          </w:p>
        </w:tc>
        <w:tc>
          <w:tcPr>
            <w:tcW w:w="800" w:type="dxa"/>
            <w:vAlign w:val="bottom"/>
          </w:tcPr>
          <w:p>
            <w:pPr>
              <w:spacing w:after="0"/>
              <w:rPr>
                <w:sz w:val="15"/>
                <w:szCs w:val="15"/>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252.2</w:t>
            </w:r>
          </w:p>
        </w:tc>
      </w:tr>
      <w:tr>
        <w:trPr>
          <w:trHeight w:val="176"/>
        </w:trPr>
        <w:tc>
          <w:tcPr>
            <w:tcW w:w="8320" w:type="dxa"/>
            <w:vAlign w:val="bottom"/>
          </w:tcPr>
          <w:p>
            <w:pPr>
              <w:ind w:left="140"/>
              <w:spacing w:after="0"/>
              <w:rPr>
                <w:sz w:val="20"/>
                <w:szCs w:val="20"/>
                <w:color w:val="auto"/>
              </w:rPr>
            </w:pPr>
            <w:r>
              <w:rPr>
                <w:rFonts w:ascii="Arial" w:cs="Arial" w:eastAsia="Arial" w:hAnsi="Arial"/>
                <w:sz w:val="14"/>
                <w:szCs w:val="14"/>
                <w:color w:val="auto"/>
              </w:rPr>
              <w:t>Dividends paid on common stock</w:t>
            </w:r>
          </w:p>
        </w:tc>
        <w:tc>
          <w:tcPr>
            <w:tcW w:w="8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(2.6)</w:t>
            </w:r>
          </w:p>
        </w:tc>
      </w:tr>
      <w:tr>
        <w:trPr>
          <w:trHeight w:val="181"/>
        </w:trPr>
        <w:tc>
          <w:tcPr>
            <w:tcW w:w="8320" w:type="dxa"/>
            <w:vAlign w:val="bottom"/>
          </w:tcPr>
          <w:p>
            <w:pPr>
              <w:ind w:left="140"/>
              <w:spacing w:after="0"/>
              <w:rPr>
                <w:sz w:val="20"/>
                <w:szCs w:val="20"/>
                <w:color w:val="auto"/>
              </w:rPr>
            </w:pPr>
            <w:r>
              <w:rPr>
                <w:rFonts w:ascii="Arial" w:cs="Arial" w:eastAsia="Arial" w:hAnsi="Arial"/>
                <w:sz w:val="14"/>
                <w:szCs w:val="14"/>
                <w:color w:val="auto"/>
              </w:rPr>
              <w:t>Other</w:t>
            </w: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r>
      <w:tr>
        <w:trPr>
          <w:trHeight w:val="169"/>
        </w:trPr>
        <w:tc>
          <w:tcPr>
            <w:tcW w:w="8320" w:type="dxa"/>
            <w:vAlign w:val="bottom"/>
          </w:tcPr>
          <w:p>
            <w:pPr>
              <w:ind w:left="280"/>
              <w:spacing w:after="0"/>
              <w:rPr>
                <w:sz w:val="20"/>
                <w:szCs w:val="20"/>
                <w:color w:val="auto"/>
              </w:rPr>
            </w:pPr>
            <w:r>
              <w:rPr>
                <w:rFonts w:ascii="Arial" w:cs="Arial" w:eastAsia="Arial" w:hAnsi="Arial"/>
                <w:sz w:val="14"/>
                <w:szCs w:val="14"/>
                <w:color w:val="auto"/>
              </w:rPr>
              <w:t>Net cash (used in) provided by financing activities</w:t>
            </w: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247.3</w:t>
            </w:r>
          </w:p>
        </w:tc>
      </w:tr>
      <w:tr>
        <w:trPr>
          <w:trHeight w:val="345"/>
        </w:trPr>
        <w:tc>
          <w:tcPr>
            <w:tcW w:w="832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0.1</w:t>
            </w:r>
          </w:p>
        </w:tc>
      </w:tr>
      <w:tr>
        <w:trPr>
          <w:trHeight w:val="346"/>
        </w:trPr>
        <w:tc>
          <w:tcPr>
            <w:tcW w:w="832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800" w:type="dxa"/>
            <w:vAlign w:val="bottom"/>
          </w:tcPr>
          <w:p>
            <w:pPr>
              <w:spacing w:after="0"/>
              <w:rPr>
                <w:sz w:val="24"/>
                <w:szCs w:val="24"/>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154.4</w:t>
            </w:r>
          </w:p>
        </w:tc>
      </w:tr>
      <w:tr>
        <w:trPr>
          <w:trHeight w:val="350"/>
        </w:trPr>
        <w:tc>
          <w:tcPr>
            <w:tcW w:w="8320" w:type="dxa"/>
            <w:vAlign w:val="bottom"/>
          </w:tcPr>
          <w:p>
            <w:pPr>
              <w:spacing w:after="0"/>
              <w:rPr>
                <w:sz w:val="20"/>
                <w:szCs w:val="20"/>
                <w:color w:val="auto"/>
              </w:rPr>
            </w:pPr>
            <w:r>
              <w:rPr>
                <w:rFonts w:ascii="Arial" w:cs="Arial" w:eastAsia="Arial" w:hAnsi="Arial"/>
                <w:sz w:val="14"/>
                <w:szCs w:val="14"/>
                <w:color w:val="auto"/>
              </w:rPr>
              <w:t>Cash and cash equivalents, as of beginning of period</w:t>
            </w: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302.3</w:t>
            </w:r>
          </w:p>
        </w:tc>
        <w:tc>
          <w:tcPr>
            <w:tcW w:w="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292.1</w:t>
            </w:r>
          </w:p>
        </w:tc>
      </w:tr>
      <w:tr>
        <w:trPr>
          <w:trHeight w:val="345"/>
        </w:trPr>
        <w:tc>
          <w:tcPr>
            <w:tcW w:w="8320" w:type="dxa"/>
            <w:vAlign w:val="bottom"/>
          </w:tcPr>
          <w:p>
            <w:pPr>
              <w:spacing w:after="0"/>
              <w:rPr>
                <w:sz w:val="20"/>
                <w:szCs w:val="20"/>
                <w:color w:val="auto"/>
              </w:rPr>
            </w:pPr>
            <w:r>
              <w:rPr>
                <w:rFonts w:ascii="Arial" w:cs="Arial" w:eastAsia="Arial" w:hAnsi="Arial"/>
                <w:sz w:val="14"/>
                <w:szCs w:val="14"/>
                <w:color w:val="auto"/>
              </w:rPr>
              <w:t>Cash and cash equivalents, as of end of period</w:t>
            </w:r>
          </w:p>
        </w:tc>
        <w:tc>
          <w:tcPr>
            <w:tcW w:w="8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w w:val="91"/>
              </w:rPr>
              <w:t>391.0</w:t>
            </w:r>
          </w:p>
        </w:tc>
        <w:tc>
          <w:tcPr>
            <w:tcW w:w="1240" w:type="dxa"/>
            <w:vAlign w:val="bottom"/>
            <w:gridSpan w:val="3"/>
          </w:tcPr>
          <w:p>
            <w:pPr>
              <w:jc w:val="right"/>
              <w:ind w:right="7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446.5</w:t>
            </w:r>
          </w:p>
        </w:tc>
      </w:tr>
      <w:tr>
        <w:trPr>
          <w:trHeight w:val="20"/>
        </w:trPr>
        <w:tc>
          <w:tcPr>
            <w:tcW w:w="8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8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r>
        <w:trPr>
          <w:trHeight w:val="21"/>
        </w:trPr>
        <w:tc>
          <w:tcPr>
            <w:tcW w:w="83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GAAP TO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MILLIONS, EXCEPT EARNINGS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20" w:type="dxa"/>
            <w:vAlign w:val="bottom"/>
          </w:tcPr>
          <w:p>
            <w:pPr>
              <w:spacing w:after="0"/>
              <w:rPr>
                <w:sz w:val="15"/>
                <w:szCs w:val="15"/>
                <w:color w:val="auto"/>
              </w:rPr>
            </w:pPr>
          </w:p>
        </w:tc>
        <w:tc>
          <w:tcPr>
            <w:tcW w:w="2660" w:type="dxa"/>
            <w:vAlign w:val="bottom"/>
            <w:gridSpan w:val="6"/>
          </w:tcPr>
          <w:p>
            <w:pPr>
              <w:jc w:val="center"/>
              <w:ind w:left="348"/>
              <w:spacing w:after="0"/>
              <w:rPr>
                <w:sz w:val="20"/>
                <w:szCs w:val="20"/>
                <w:color w:val="auto"/>
              </w:rPr>
            </w:pPr>
            <w:r>
              <w:rPr>
                <w:rFonts w:ascii="Arial" w:cs="Arial" w:eastAsia="Arial" w:hAnsi="Arial"/>
                <w:sz w:val="14"/>
                <w:szCs w:val="14"/>
                <w:color w:val="auto"/>
                <w:w w:val="92"/>
              </w:rPr>
              <w:t>For the Three Months ended</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83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center"/>
              <w:ind w:left="248"/>
              <w:spacing w:after="0"/>
              <w:rPr>
                <w:sz w:val="20"/>
                <w:szCs w:val="20"/>
                <w:color w:val="auto"/>
              </w:rPr>
            </w:pPr>
            <w:r>
              <w:rPr>
                <w:rFonts w:ascii="Arial" w:cs="Arial" w:eastAsia="Arial" w:hAnsi="Arial"/>
                <w:sz w:val="14"/>
                <w:szCs w:val="14"/>
                <w:color w:val="auto"/>
                <w:w w:val="96"/>
              </w:rPr>
              <w:t>March 31,</w:t>
            </w:r>
          </w:p>
        </w:tc>
        <w:tc>
          <w:tcPr>
            <w:tcW w:w="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8320" w:type="dxa"/>
            <w:vAlign w:val="bottom"/>
          </w:tcPr>
          <w:p>
            <w:pPr>
              <w:spacing w:after="0"/>
              <w:rPr>
                <w:sz w:val="14"/>
                <w:szCs w:val="1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2015</w:t>
            </w: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2014</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346"/>
        </w:trPr>
        <w:tc>
          <w:tcPr>
            <w:tcW w:w="8320" w:type="dxa"/>
            <w:vAlign w:val="bottom"/>
          </w:tcPr>
          <w:p>
            <w:pPr>
              <w:spacing w:after="0"/>
              <w:rPr>
                <w:sz w:val="20"/>
                <w:szCs w:val="20"/>
                <w:color w:val="auto"/>
              </w:rPr>
            </w:pPr>
            <w:r>
              <w:rPr>
                <w:rFonts w:ascii="Arial" w:cs="Arial" w:eastAsia="Arial" w:hAnsi="Arial"/>
                <w:sz w:val="14"/>
                <w:szCs w:val="14"/>
                <w:color w:val="auto"/>
              </w:rPr>
              <w:t>Non-GAAP financial measures and reconciliation:</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8320" w:type="dxa"/>
            <w:vAlign w:val="bottom"/>
          </w:tcPr>
          <w:p>
            <w:pPr>
              <w:spacing w:after="0"/>
              <w:rPr>
                <w:sz w:val="20"/>
                <w:szCs w:val="20"/>
                <w:color w:val="auto"/>
              </w:rPr>
            </w:pPr>
            <w:r>
              <w:rPr>
                <w:rFonts w:ascii="Arial" w:cs="Arial" w:eastAsia="Arial" w:hAnsi="Arial"/>
                <w:sz w:val="14"/>
                <w:szCs w:val="14"/>
                <w:color w:val="auto"/>
              </w:rPr>
              <w:t>GAAP net income attributable to World Fuel</w:t>
            </w:r>
          </w:p>
        </w:tc>
        <w:tc>
          <w:tcPr>
            <w:tcW w:w="92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55.6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50.7</w:t>
            </w:r>
          </w:p>
        </w:tc>
      </w:tr>
      <w:tr>
        <w:trPr>
          <w:trHeight w:val="219"/>
        </w:trPr>
        <w:tc>
          <w:tcPr>
            <w:tcW w:w="8320" w:type="dxa"/>
            <w:vAlign w:val="bottom"/>
          </w:tcPr>
          <w:p>
            <w:pPr>
              <w:ind w:left="260"/>
              <w:spacing w:after="0" w:line="219" w:lineRule="exact"/>
              <w:rPr>
                <w:sz w:val="20"/>
                <w:szCs w:val="20"/>
                <w:color w:val="auto"/>
              </w:rPr>
            </w:pPr>
            <w:r>
              <w:rPr>
                <w:rFonts w:ascii="Arial" w:cs="Arial" w:eastAsia="Arial" w:hAnsi="Arial"/>
                <w:sz w:val="14"/>
                <w:szCs w:val="14"/>
                <w:color w:val="auto"/>
              </w:rPr>
              <w:t xml:space="preserve">Share-based compensation expense, net of income taxes </w:t>
            </w:r>
            <w:r>
              <w:rPr>
                <w:rFonts w:ascii="Arial" w:cs="Arial" w:eastAsia="Arial" w:hAnsi="Arial"/>
                <w:sz w:val="23"/>
                <w:szCs w:val="23"/>
                <w:color w:val="auto"/>
                <w:vertAlign w:val="superscript"/>
              </w:rPr>
              <w:t>(1)</w:t>
            </w: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2.7</w:t>
            </w:r>
          </w:p>
        </w:tc>
      </w:tr>
      <w:tr>
        <w:trPr>
          <w:trHeight w:val="206"/>
        </w:trPr>
        <w:tc>
          <w:tcPr>
            <w:tcW w:w="8320" w:type="dxa"/>
            <w:vAlign w:val="bottom"/>
          </w:tcPr>
          <w:p>
            <w:pPr>
              <w:ind w:left="260"/>
              <w:spacing w:after="0" w:line="207" w:lineRule="exact"/>
              <w:rPr>
                <w:sz w:val="20"/>
                <w:szCs w:val="20"/>
                <w:color w:val="auto"/>
              </w:rPr>
            </w:pPr>
            <w:r>
              <w:rPr>
                <w:rFonts w:ascii="Arial" w:cs="Arial" w:eastAsia="Arial" w:hAnsi="Arial"/>
                <w:sz w:val="14"/>
                <w:szCs w:val="14"/>
                <w:color w:val="auto"/>
              </w:rPr>
              <w:t xml:space="preserve">Intangible asset amortization expense, net of income taxes </w:t>
            </w:r>
            <w:r>
              <w:rPr>
                <w:rFonts w:ascii="Arial" w:cs="Arial" w:eastAsia="Arial" w:hAnsi="Arial"/>
                <w:sz w:val="23"/>
                <w:szCs w:val="23"/>
                <w:color w:val="auto"/>
                <w:vertAlign w:val="superscript"/>
              </w:rPr>
              <w:t>(2)</w:t>
            </w:r>
          </w:p>
        </w:tc>
        <w:tc>
          <w:tcPr>
            <w:tcW w:w="9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4.0</w:t>
            </w:r>
          </w:p>
        </w:tc>
      </w:tr>
      <w:tr>
        <w:trPr>
          <w:trHeight w:val="176"/>
        </w:trPr>
        <w:tc>
          <w:tcPr>
            <w:tcW w:w="8320" w:type="dxa"/>
            <w:vAlign w:val="bottom"/>
          </w:tcPr>
          <w:p>
            <w:pPr>
              <w:ind w:left="260"/>
              <w:spacing w:after="0"/>
              <w:rPr>
                <w:sz w:val="20"/>
                <w:szCs w:val="20"/>
                <w:color w:val="auto"/>
              </w:rPr>
            </w:pPr>
            <w:r>
              <w:rPr>
                <w:rFonts w:ascii="Arial" w:cs="Arial" w:eastAsia="Arial" w:hAnsi="Arial"/>
                <w:sz w:val="14"/>
                <w:szCs w:val="14"/>
                <w:color w:val="auto"/>
              </w:rPr>
              <w:t>Deferred revenue purchase accounting adjustment, net of income taxes (3)</w:t>
            </w:r>
          </w:p>
        </w:tc>
        <w:tc>
          <w:tcPr>
            <w:tcW w:w="9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82"/>
        </w:trPr>
        <w:tc>
          <w:tcPr>
            <w:tcW w:w="8320" w:type="dxa"/>
            <w:vAlign w:val="bottom"/>
          </w:tcPr>
          <w:p>
            <w:pPr>
              <w:ind w:left="260"/>
              <w:spacing w:after="0"/>
              <w:rPr>
                <w:sz w:val="20"/>
                <w:szCs w:val="20"/>
                <w:color w:val="auto"/>
              </w:rPr>
            </w:pPr>
            <w:r>
              <w:rPr>
                <w:rFonts w:ascii="Arial" w:cs="Arial" w:eastAsia="Arial" w:hAnsi="Arial"/>
                <w:sz w:val="14"/>
                <w:szCs w:val="14"/>
                <w:color w:val="auto"/>
              </w:rPr>
              <w:t>Expenses related to the acquisition of Watson Petroleum, net of income taxes</w:t>
            </w:r>
          </w:p>
        </w:tc>
        <w:tc>
          <w:tcPr>
            <w:tcW w:w="9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r>
      <w:tr>
        <w:trPr>
          <w:trHeight w:val="215"/>
        </w:trPr>
        <w:tc>
          <w:tcPr>
            <w:tcW w:w="8320" w:type="dxa"/>
            <w:vAlign w:val="bottom"/>
          </w:tcPr>
          <w:p>
            <w:pPr>
              <w:ind w:left="260"/>
              <w:spacing w:after="0" w:line="214" w:lineRule="exact"/>
              <w:rPr>
                <w:sz w:val="20"/>
                <w:szCs w:val="20"/>
                <w:color w:val="auto"/>
              </w:rPr>
            </w:pPr>
            <w:r>
              <w:rPr>
                <w:rFonts w:ascii="Arial" w:cs="Arial" w:eastAsia="Arial" w:hAnsi="Arial"/>
                <w:sz w:val="14"/>
                <w:szCs w:val="14"/>
                <w:color w:val="auto"/>
              </w:rPr>
              <w:t xml:space="preserve">Termination of employment agreement, net of income taxes </w:t>
            </w:r>
            <w:r>
              <w:rPr>
                <w:rFonts w:ascii="Arial" w:cs="Arial" w:eastAsia="Arial" w:hAnsi="Arial"/>
                <w:sz w:val="23"/>
                <w:szCs w:val="23"/>
                <w:color w:val="auto"/>
                <w:vertAlign w:val="superscript"/>
              </w:rPr>
              <w:t>(4)</w:t>
            </w:r>
          </w:p>
        </w:tc>
        <w:tc>
          <w:tcPr>
            <w:tcW w:w="9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69"/>
        </w:trPr>
        <w:tc>
          <w:tcPr>
            <w:tcW w:w="8320" w:type="dxa"/>
            <w:vAlign w:val="bottom"/>
          </w:tcPr>
          <w:p>
            <w:pPr>
              <w:spacing w:after="0"/>
              <w:rPr>
                <w:sz w:val="20"/>
                <w:szCs w:val="20"/>
                <w:color w:val="auto"/>
              </w:rPr>
            </w:pPr>
            <w:r>
              <w:rPr>
                <w:rFonts w:ascii="Arial" w:cs="Arial" w:eastAsia="Arial" w:hAnsi="Arial"/>
                <w:sz w:val="14"/>
                <w:szCs w:val="14"/>
                <w:color w:val="auto"/>
              </w:rPr>
              <w:t>Non-GAAP net income attributable to World Fuel</w:t>
            </w:r>
          </w:p>
        </w:tc>
        <w:tc>
          <w:tcPr>
            <w:tcW w:w="92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58.5</w:t>
            </w:r>
          </w:p>
        </w:tc>
        <w:tc>
          <w:tcPr>
            <w:tcW w:w="20" w:type="dxa"/>
            <w:vAlign w:val="bottom"/>
          </w:tcPr>
          <w:p>
            <w:pPr>
              <w:spacing w:after="0"/>
              <w:rPr>
                <w:sz w:val="14"/>
                <w:szCs w:val="14"/>
                <w:color w:val="auto"/>
              </w:rPr>
            </w:pPr>
          </w:p>
        </w:tc>
      </w:tr>
      <w:tr>
        <w:trPr>
          <w:trHeight w:val="20"/>
        </w:trPr>
        <w:tc>
          <w:tcPr>
            <w:tcW w:w="8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3"/>
        </w:trPr>
        <w:tc>
          <w:tcPr>
            <w:tcW w:w="8320" w:type="dxa"/>
            <w:vAlign w:val="bottom"/>
          </w:tcPr>
          <w:p>
            <w:pPr>
              <w:spacing w:after="0"/>
              <w:rPr>
                <w:sz w:val="20"/>
                <w:szCs w:val="20"/>
                <w:color w:val="auto"/>
              </w:rPr>
            </w:pPr>
            <w:r>
              <w:rPr>
                <w:rFonts w:ascii="Arial" w:cs="Arial" w:eastAsia="Arial" w:hAnsi="Arial"/>
                <w:sz w:val="14"/>
                <w:szCs w:val="14"/>
                <w:color w:val="auto"/>
              </w:rPr>
              <w:t>GAAP diluted earnings per common share</w:t>
            </w:r>
          </w:p>
        </w:tc>
        <w:tc>
          <w:tcPr>
            <w:tcW w:w="92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0.78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0.71</w:t>
            </w:r>
          </w:p>
        </w:tc>
      </w:tr>
      <w:tr>
        <w:trPr>
          <w:trHeight w:val="219"/>
        </w:trPr>
        <w:tc>
          <w:tcPr>
            <w:tcW w:w="8320" w:type="dxa"/>
            <w:vAlign w:val="bottom"/>
          </w:tcPr>
          <w:p>
            <w:pPr>
              <w:ind w:left="260"/>
              <w:spacing w:after="0" w:line="219" w:lineRule="exact"/>
              <w:rPr>
                <w:sz w:val="20"/>
                <w:szCs w:val="20"/>
                <w:color w:val="auto"/>
              </w:rPr>
            </w:pPr>
            <w:r>
              <w:rPr>
                <w:rFonts w:ascii="Arial" w:cs="Arial" w:eastAsia="Arial" w:hAnsi="Arial"/>
                <w:sz w:val="14"/>
                <w:szCs w:val="14"/>
                <w:color w:val="auto"/>
              </w:rPr>
              <w:t xml:space="preserve">Share-based compensation expense, net of income taxes </w:t>
            </w:r>
            <w:r>
              <w:rPr>
                <w:rFonts w:ascii="Arial" w:cs="Arial" w:eastAsia="Arial" w:hAnsi="Arial"/>
                <w:sz w:val="23"/>
                <w:szCs w:val="23"/>
                <w:color w:val="auto"/>
                <w:vertAlign w:val="superscript"/>
              </w:rPr>
              <w:t>(1)</w:t>
            </w: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0.03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0.04</w:t>
            </w:r>
          </w:p>
        </w:tc>
      </w:tr>
      <w:tr>
        <w:trPr>
          <w:trHeight w:val="206"/>
        </w:trPr>
        <w:tc>
          <w:tcPr>
            <w:tcW w:w="8320" w:type="dxa"/>
            <w:vAlign w:val="bottom"/>
          </w:tcPr>
          <w:p>
            <w:pPr>
              <w:ind w:left="260"/>
              <w:spacing w:after="0" w:line="207" w:lineRule="exact"/>
              <w:rPr>
                <w:sz w:val="20"/>
                <w:szCs w:val="20"/>
                <w:color w:val="auto"/>
              </w:rPr>
            </w:pPr>
            <w:r>
              <w:rPr>
                <w:rFonts w:ascii="Arial" w:cs="Arial" w:eastAsia="Arial" w:hAnsi="Arial"/>
                <w:sz w:val="14"/>
                <w:szCs w:val="14"/>
                <w:color w:val="auto"/>
              </w:rPr>
              <w:t xml:space="preserve">Intangible asset amortization expense, net of income taxes </w:t>
            </w:r>
            <w:r>
              <w:rPr>
                <w:rFonts w:ascii="Arial" w:cs="Arial" w:eastAsia="Arial" w:hAnsi="Arial"/>
                <w:sz w:val="23"/>
                <w:szCs w:val="23"/>
                <w:color w:val="auto"/>
                <w:vertAlign w:val="superscript"/>
              </w:rPr>
              <w:t>(2)</w:t>
            </w:r>
          </w:p>
        </w:tc>
        <w:tc>
          <w:tcPr>
            <w:tcW w:w="9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0.05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0.06</w:t>
            </w:r>
          </w:p>
        </w:tc>
      </w:tr>
      <w:tr>
        <w:trPr>
          <w:trHeight w:val="176"/>
        </w:trPr>
        <w:tc>
          <w:tcPr>
            <w:tcW w:w="8320" w:type="dxa"/>
            <w:vAlign w:val="bottom"/>
          </w:tcPr>
          <w:p>
            <w:pPr>
              <w:ind w:left="260"/>
              <w:spacing w:after="0"/>
              <w:rPr>
                <w:sz w:val="20"/>
                <w:szCs w:val="20"/>
                <w:color w:val="auto"/>
              </w:rPr>
            </w:pPr>
            <w:r>
              <w:rPr>
                <w:rFonts w:ascii="Arial" w:cs="Arial" w:eastAsia="Arial" w:hAnsi="Arial"/>
                <w:sz w:val="14"/>
                <w:szCs w:val="14"/>
                <w:color w:val="auto"/>
              </w:rPr>
              <w:t>Deferred revenue purchase accounting adjustment, net of income taxes (3)</w:t>
            </w:r>
          </w:p>
        </w:tc>
        <w:tc>
          <w:tcPr>
            <w:tcW w:w="9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0.02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82"/>
        </w:trPr>
        <w:tc>
          <w:tcPr>
            <w:tcW w:w="8320" w:type="dxa"/>
            <w:vAlign w:val="bottom"/>
          </w:tcPr>
          <w:p>
            <w:pPr>
              <w:ind w:left="260"/>
              <w:spacing w:after="0"/>
              <w:rPr>
                <w:sz w:val="20"/>
                <w:szCs w:val="20"/>
                <w:color w:val="auto"/>
              </w:rPr>
            </w:pPr>
            <w:r>
              <w:rPr>
                <w:rFonts w:ascii="Arial" w:cs="Arial" w:eastAsia="Arial" w:hAnsi="Arial"/>
                <w:sz w:val="14"/>
                <w:szCs w:val="14"/>
                <w:color w:val="auto"/>
              </w:rPr>
              <w:t>Expenses related to the acquisition of Watson Petroleum, net of income taxes</w:t>
            </w:r>
          </w:p>
        </w:tc>
        <w:tc>
          <w:tcPr>
            <w:tcW w:w="9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0.02</w:t>
            </w:r>
          </w:p>
        </w:tc>
      </w:tr>
      <w:tr>
        <w:trPr>
          <w:trHeight w:val="215"/>
        </w:trPr>
        <w:tc>
          <w:tcPr>
            <w:tcW w:w="8320" w:type="dxa"/>
            <w:vAlign w:val="bottom"/>
          </w:tcPr>
          <w:p>
            <w:pPr>
              <w:ind w:left="260"/>
              <w:spacing w:after="0" w:line="214" w:lineRule="exact"/>
              <w:rPr>
                <w:sz w:val="20"/>
                <w:szCs w:val="20"/>
                <w:color w:val="auto"/>
              </w:rPr>
            </w:pPr>
            <w:r>
              <w:rPr>
                <w:rFonts w:ascii="Arial" w:cs="Arial" w:eastAsia="Arial" w:hAnsi="Arial"/>
                <w:sz w:val="14"/>
                <w:szCs w:val="14"/>
                <w:color w:val="auto"/>
              </w:rPr>
              <w:t xml:space="preserve">Termination of employment agreement, net of income taxes </w:t>
            </w:r>
            <w:r>
              <w:rPr>
                <w:rFonts w:ascii="Arial" w:cs="Arial" w:eastAsia="Arial" w:hAnsi="Arial"/>
                <w:sz w:val="23"/>
                <w:szCs w:val="23"/>
                <w:color w:val="auto"/>
                <w:vertAlign w:val="superscript"/>
              </w:rPr>
              <w:t>(4)</w:t>
            </w:r>
          </w:p>
        </w:tc>
        <w:tc>
          <w:tcPr>
            <w:tcW w:w="9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0.03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69"/>
        </w:trPr>
        <w:tc>
          <w:tcPr>
            <w:tcW w:w="8320" w:type="dxa"/>
            <w:vAlign w:val="bottom"/>
          </w:tcPr>
          <w:p>
            <w:pPr>
              <w:spacing w:after="0"/>
              <w:rPr>
                <w:sz w:val="20"/>
                <w:szCs w:val="20"/>
                <w:color w:val="auto"/>
              </w:rPr>
            </w:pPr>
            <w:r>
              <w:rPr>
                <w:rFonts w:ascii="Arial" w:cs="Arial" w:eastAsia="Arial" w:hAnsi="Arial"/>
                <w:sz w:val="14"/>
                <w:szCs w:val="14"/>
                <w:color w:val="auto"/>
              </w:rPr>
              <w:t>Non-GAAP diluted earnings per common share</w:t>
            </w:r>
          </w:p>
        </w:tc>
        <w:tc>
          <w:tcPr>
            <w:tcW w:w="92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0.83</w:t>
            </w:r>
          </w:p>
        </w:tc>
        <w:tc>
          <w:tcPr>
            <w:tcW w:w="20" w:type="dxa"/>
            <w:vAlign w:val="bottom"/>
          </w:tcPr>
          <w:p>
            <w:pPr>
              <w:spacing w:after="0"/>
              <w:rPr>
                <w:sz w:val="14"/>
                <w:szCs w:val="14"/>
                <w:color w:val="auto"/>
              </w:rPr>
            </w:pPr>
          </w:p>
        </w:tc>
      </w:tr>
      <w:tr>
        <w:trPr>
          <w:trHeight w:val="20"/>
        </w:trPr>
        <w:tc>
          <w:tcPr>
            <w:tcW w:w="8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6"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2"/>
          <w:szCs w:val="12"/>
          <w:color w:val="auto"/>
        </w:rPr>
      </w:pPr>
      <w:r>
        <w:rPr>
          <w:rFonts w:ascii="Arial" w:cs="Arial" w:eastAsia="Arial" w:hAnsi="Arial"/>
          <w:sz w:val="14"/>
          <w:szCs w:val="14"/>
          <w:color w:val="auto"/>
        </w:rPr>
        <w:t>The pre-tax amount of share-based compensation expense was $3.4 and $4.0 million for the three months ended March 31, 2015 and 2014, respectively.</w:t>
      </w:r>
    </w:p>
    <w:p>
      <w:pPr>
        <w:spacing w:after="0" w:line="28" w:lineRule="exact"/>
        <w:rPr>
          <w:rFonts w:ascii="Arial" w:cs="Arial" w:eastAsia="Arial" w:hAnsi="Arial"/>
          <w:sz w:val="12"/>
          <w:szCs w:val="12"/>
          <w:color w:val="auto"/>
        </w:rPr>
      </w:pPr>
    </w:p>
    <w:p>
      <w:pPr>
        <w:ind w:left="260" w:hanging="252"/>
        <w:spacing w:after="0"/>
        <w:tabs>
          <w:tab w:leader="none" w:pos="260" w:val="left"/>
        </w:tabs>
        <w:numPr>
          <w:ilvl w:val="0"/>
          <w:numId w:val="1"/>
        </w:numPr>
        <w:rPr>
          <w:rFonts w:ascii="Arial" w:cs="Arial" w:eastAsia="Arial" w:hAnsi="Arial"/>
          <w:sz w:val="12"/>
          <w:szCs w:val="12"/>
          <w:color w:val="auto"/>
        </w:rPr>
      </w:pPr>
      <w:r>
        <w:rPr>
          <w:rFonts w:ascii="Arial" w:cs="Arial" w:eastAsia="Arial" w:hAnsi="Arial"/>
          <w:sz w:val="14"/>
          <w:szCs w:val="14"/>
          <w:color w:val="auto"/>
        </w:rPr>
        <w:t>The pre-tax amount of intangible asset amortization expense was $5.4 and $6.0 million for the three months ended March 31, 2015 and 2014, respectively.</w:t>
      </w:r>
    </w:p>
    <w:p>
      <w:pPr>
        <w:spacing w:after="0" w:line="28" w:lineRule="exact"/>
        <w:rPr>
          <w:rFonts w:ascii="Arial" w:cs="Arial" w:eastAsia="Arial" w:hAnsi="Arial"/>
          <w:sz w:val="12"/>
          <w:szCs w:val="12"/>
          <w:color w:val="auto"/>
        </w:rPr>
      </w:pPr>
    </w:p>
    <w:p>
      <w:pPr>
        <w:ind w:left="260" w:hanging="252"/>
        <w:spacing w:after="0"/>
        <w:tabs>
          <w:tab w:leader="none" w:pos="260" w:val="left"/>
        </w:tabs>
        <w:numPr>
          <w:ilvl w:val="0"/>
          <w:numId w:val="1"/>
        </w:numPr>
        <w:rPr>
          <w:rFonts w:ascii="Arial" w:cs="Arial" w:eastAsia="Arial" w:hAnsi="Arial"/>
          <w:sz w:val="12"/>
          <w:szCs w:val="12"/>
          <w:color w:val="auto"/>
        </w:rPr>
      </w:pPr>
      <w:r>
        <w:rPr>
          <w:rFonts w:ascii="Arial" w:cs="Arial" w:eastAsia="Arial" w:hAnsi="Arial"/>
          <w:sz w:val="14"/>
          <w:szCs w:val="14"/>
          <w:color w:val="auto"/>
        </w:rPr>
        <w:t>The pre-tax amount of deferred revenue purchase accounting adjustment was $1.5 million for the three months ended March 31, 2015.</w:t>
      </w:r>
    </w:p>
    <w:p>
      <w:pPr>
        <w:spacing w:after="0" w:line="28" w:lineRule="exact"/>
        <w:rPr>
          <w:rFonts w:ascii="Arial" w:cs="Arial" w:eastAsia="Arial" w:hAnsi="Arial"/>
          <w:sz w:val="12"/>
          <w:szCs w:val="12"/>
          <w:color w:val="auto"/>
        </w:rPr>
      </w:pPr>
    </w:p>
    <w:p>
      <w:pPr>
        <w:ind w:left="260" w:hanging="252"/>
        <w:spacing w:after="0"/>
        <w:tabs>
          <w:tab w:leader="none" w:pos="260" w:val="left"/>
        </w:tabs>
        <w:numPr>
          <w:ilvl w:val="0"/>
          <w:numId w:val="1"/>
        </w:numPr>
        <w:rPr>
          <w:rFonts w:ascii="Arial" w:cs="Arial" w:eastAsia="Arial" w:hAnsi="Arial"/>
          <w:sz w:val="12"/>
          <w:szCs w:val="12"/>
          <w:color w:val="auto"/>
        </w:rPr>
      </w:pPr>
      <w:r>
        <w:rPr>
          <w:rFonts w:ascii="Arial" w:cs="Arial" w:eastAsia="Arial" w:hAnsi="Arial"/>
          <w:sz w:val="14"/>
          <w:szCs w:val="14"/>
          <w:color w:val="auto"/>
        </w:rPr>
        <w:t>The pre-tax amount of the termination of employment agreement was $3.8 million for the three months ended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27202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 SEGMENTS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20" w:type="dxa"/>
            <w:vAlign w:val="bottom"/>
            <w:gridSpan w:val="3"/>
          </w:tcPr>
          <w:p>
            <w:pPr>
              <w:jc w:val="right"/>
              <w:ind w:right="8"/>
              <w:spacing w:after="0"/>
              <w:rPr>
                <w:sz w:val="20"/>
                <w:szCs w:val="20"/>
                <w:color w:val="auto"/>
              </w:rPr>
            </w:pPr>
            <w:r>
              <w:rPr>
                <w:rFonts w:ascii="Arial" w:cs="Arial" w:eastAsia="Arial" w:hAnsi="Arial"/>
                <w:sz w:val="14"/>
                <w:szCs w:val="14"/>
                <w:color w:val="auto"/>
              </w:rPr>
              <w:t>For the Three Months ended</w:t>
            </w: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4"/>
                <w:szCs w:val="14"/>
                <w:color w:val="auto"/>
              </w:rPr>
              <w:t>March 31,</w:t>
            </w:r>
          </w:p>
        </w:tc>
        <w:tc>
          <w:tcPr>
            <w:tcW w:w="15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1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2015</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20" w:type="dxa"/>
            <w:vAlign w:val="bottom"/>
          </w:tcPr>
          <w:p>
            <w:pPr>
              <w:spacing w:after="0"/>
              <w:rPr>
                <w:sz w:val="20"/>
                <w:szCs w:val="20"/>
                <w:color w:val="auto"/>
              </w:rPr>
            </w:pPr>
            <w:r>
              <w:rPr>
                <w:rFonts w:ascii="Arial" w:cs="Arial" w:eastAsia="Arial" w:hAnsi="Arial"/>
                <w:sz w:val="14"/>
                <w:szCs w:val="14"/>
                <w:color w:val="auto"/>
              </w:rPr>
              <w:t>Revenue:</w:t>
            </w: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1120"/>
              <w:spacing w:after="0"/>
              <w:rPr>
                <w:sz w:val="20"/>
                <w:szCs w:val="20"/>
                <w:color w:val="auto"/>
              </w:rPr>
            </w:pPr>
            <w:r>
              <w:rPr>
                <w:rFonts w:ascii="Arial" w:cs="Arial" w:eastAsia="Arial" w:hAnsi="Arial"/>
                <w:sz w:val="14"/>
                <w:szCs w:val="14"/>
                <w:color w:val="auto"/>
              </w:rPr>
              <w:t>Aviation segment</w:t>
            </w:r>
          </w:p>
        </w:tc>
        <w:tc>
          <w:tcPr>
            <w:tcW w:w="138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2,897.0</w:t>
            </w:r>
          </w:p>
        </w:tc>
        <w:tc>
          <w:tcPr>
            <w:tcW w:w="126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4,249.8</w:t>
            </w:r>
          </w:p>
        </w:tc>
        <w:tc>
          <w:tcPr>
            <w:tcW w:w="0" w:type="dxa"/>
            <w:vAlign w:val="bottom"/>
          </w:tcPr>
          <w:p>
            <w:pPr>
              <w:spacing w:after="0"/>
              <w:rPr>
                <w:sz w:val="1"/>
                <w:szCs w:val="1"/>
                <w:color w:val="auto"/>
              </w:rPr>
            </w:pPr>
          </w:p>
        </w:tc>
      </w:tr>
      <w:tr>
        <w:trPr>
          <w:trHeight w:val="176"/>
        </w:trPr>
        <w:tc>
          <w:tcPr>
            <w:tcW w:w="6620" w:type="dxa"/>
            <w:vAlign w:val="bottom"/>
          </w:tcPr>
          <w:p>
            <w:pPr>
              <w:ind w:left="1120"/>
              <w:spacing w:after="0"/>
              <w:rPr>
                <w:sz w:val="20"/>
                <w:szCs w:val="20"/>
                <w:color w:val="auto"/>
              </w:rPr>
            </w:pPr>
            <w:r>
              <w:rPr>
                <w:rFonts w:ascii="Arial" w:cs="Arial" w:eastAsia="Arial" w:hAnsi="Arial"/>
                <w:sz w:val="14"/>
                <w:szCs w:val="14"/>
                <w:color w:val="auto"/>
              </w:rPr>
              <w:t>Marine segment</w:t>
            </w:r>
          </w:p>
        </w:tc>
        <w:tc>
          <w:tcPr>
            <w:tcW w:w="1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2,320.7</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3,480.2</w:t>
            </w:r>
          </w:p>
        </w:tc>
        <w:tc>
          <w:tcPr>
            <w:tcW w:w="0" w:type="dxa"/>
            <w:vAlign w:val="bottom"/>
          </w:tcPr>
          <w:p>
            <w:pPr>
              <w:spacing w:after="0"/>
              <w:rPr>
                <w:sz w:val="1"/>
                <w:szCs w:val="1"/>
                <w:color w:val="auto"/>
              </w:rPr>
            </w:pPr>
          </w:p>
        </w:tc>
      </w:tr>
      <w:tr>
        <w:trPr>
          <w:trHeight w:val="181"/>
        </w:trPr>
        <w:tc>
          <w:tcPr>
            <w:tcW w:w="6620" w:type="dxa"/>
            <w:vAlign w:val="bottom"/>
          </w:tcPr>
          <w:p>
            <w:pPr>
              <w:ind w:left="1120"/>
              <w:spacing w:after="0"/>
              <w:rPr>
                <w:sz w:val="20"/>
                <w:szCs w:val="20"/>
                <w:color w:val="auto"/>
              </w:rPr>
            </w:pPr>
            <w:r>
              <w:rPr>
                <w:rFonts w:ascii="Arial" w:cs="Arial" w:eastAsia="Arial" w:hAnsi="Arial"/>
                <w:sz w:val="14"/>
                <w:szCs w:val="14"/>
                <w:color w:val="auto"/>
              </w:rPr>
              <w:t>Land segment</w:t>
            </w:r>
          </w:p>
        </w:tc>
        <w:tc>
          <w:tcPr>
            <w:tcW w:w="1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2,123.0</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2,820.9</w:t>
            </w: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7,340.7</w:t>
            </w:r>
          </w:p>
        </w:tc>
        <w:tc>
          <w:tcPr>
            <w:tcW w:w="24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10,550.9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4"/>
                <w:szCs w:val="14"/>
                <w:color w:val="auto"/>
              </w:rPr>
              <w:t>Gross profit:</w:t>
            </w:r>
          </w:p>
        </w:tc>
        <w:tc>
          <w:tcPr>
            <w:tcW w:w="1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6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1120"/>
              <w:spacing w:after="0"/>
              <w:rPr>
                <w:sz w:val="20"/>
                <w:szCs w:val="20"/>
                <w:color w:val="auto"/>
              </w:rPr>
            </w:pPr>
            <w:r>
              <w:rPr>
                <w:rFonts w:ascii="Arial" w:cs="Arial" w:eastAsia="Arial" w:hAnsi="Arial"/>
                <w:sz w:val="14"/>
                <w:szCs w:val="14"/>
                <w:color w:val="auto"/>
              </w:rPr>
              <w:t>Aviation segment</w:t>
            </w:r>
          </w:p>
        </w:tc>
        <w:tc>
          <w:tcPr>
            <w:tcW w:w="138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82.9</w:t>
            </w:r>
          </w:p>
        </w:tc>
        <w:tc>
          <w:tcPr>
            <w:tcW w:w="126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76"/>
        </w:trPr>
        <w:tc>
          <w:tcPr>
            <w:tcW w:w="6620" w:type="dxa"/>
            <w:vAlign w:val="bottom"/>
          </w:tcPr>
          <w:p>
            <w:pPr>
              <w:ind w:left="1120"/>
              <w:spacing w:after="0"/>
              <w:rPr>
                <w:sz w:val="20"/>
                <w:szCs w:val="20"/>
                <w:color w:val="auto"/>
              </w:rPr>
            </w:pPr>
            <w:r>
              <w:rPr>
                <w:rFonts w:ascii="Arial" w:cs="Arial" w:eastAsia="Arial" w:hAnsi="Arial"/>
                <w:sz w:val="14"/>
                <w:szCs w:val="14"/>
                <w:color w:val="auto"/>
              </w:rPr>
              <w:t>Marine segment</w:t>
            </w:r>
          </w:p>
        </w:tc>
        <w:tc>
          <w:tcPr>
            <w:tcW w:w="1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53.9</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81"/>
        </w:trPr>
        <w:tc>
          <w:tcPr>
            <w:tcW w:w="6620" w:type="dxa"/>
            <w:vAlign w:val="bottom"/>
          </w:tcPr>
          <w:p>
            <w:pPr>
              <w:ind w:left="1120"/>
              <w:spacing w:after="0"/>
              <w:rPr>
                <w:sz w:val="20"/>
                <w:szCs w:val="20"/>
                <w:color w:val="auto"/>
              </w:rPr>
            </w:pPr>
            <w:r>
              <w:rPr>
                <w:rFonts w:ascii="Arial" w:cs="Arial" w:eastAsia="Arial" w:hAnsi="Arial"/>
                <w:sz w:val="14"/>
                <w:szCs w:val="14"/>
                <w:color w:val="auto"/>
              </w:rPr>
              <w:t>Land segment</w:t>
            </w:r>
          </w:p>
        </w:tc>
        <w:tc>
          <w:tcPr>
            <w:tcW w:w="1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78.6</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215.4</w:t>
            </w:r>
          </w:p>
        </w:tc>
        <w:tc>
          <w:tcPr>
            <w:tcW w:w="24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4"/>
                <w:szCs w:val="14"/>
                <w:color w:val="auto"/>
              </w:rPr>
              <w:t>Income from operations:</w:t>
            </w:r>
          </w:p>
        </w:tc>
        <w:tc>
          <w:tcPr>
            <w:tcW w:w="1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6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1120"/>
              <w:spacing w:after="0"/>
              <w:rPr>
                <w:sz w:val="20"/>
                <w:szCs w:val="20"/>
                <w:color w:val="auto"/>
              </w:rPr>
            </w:pPr>
            <w:r>
              <w:rPr>
                <w:rFonts w:ascii="Arial" w:cs="Arial" w:eastAsia="Arial" w:hAnsi="Arial"/>
                <w:sz w:val="14"/>
                <w:szCs w:val="14"/>
                <w:color w:val="auto"/>
              </w:rPr>
              <w:t>Aviation segment</w:t>
            </w:r>
          </w:p>
        </w:tc>
        <w:tc>
          <w:tcPr>
            <w:tcW w:w="138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27.8</w:t>
            </w:r>
          </w:p>
        </w:tc>
        <w:tc>
          <w:tcPr>
            <w:tcW w:w="126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76"/>
        </w:trPr>
        <w:tc>
          <w:tcPr>
            <w:tcW w:w="6620" w:type="dxa"/>
            <w:vAlign w:val="bottom"/>
          </w:tcPr>
          <w:p>
            <w:pPr>
              <w:ind w:left="1120"/>
              <w:spacing w:after="0"/>
              <w:rPr>
                <w:sz w:val="20"/>
                <w:szCs w:val="20"/>
                <w:color w:val="auto"/>
              </w:rPr>
            </w:pPr>
            <w:r>
              <w:rPr>
                <w:rFonts w:ascii="Arial" w:cs="Arial" w:eastAsia="Arial" w:hAnsi="Arial"/>
                <w:sz w:val="14"/>
                <w:szCs w:val="14"/>
                <w:color w:val="auto"/>
              </w:rPr>
              <w:t>Marine segment</w:t>
            </w:r>
          </w:p>
        </w:tc>
        <w:tc>
          <w:tcPr>
            <w:tcW w:w="1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26.1</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81"/>
        </w:trPr>
        <w:tc>
          <w:tcPr>
            <w:tcW w:w="6620" w:type="dxa"/>
            <w:vAlign w:val="bottom"/>
          </w:tcPr>
          <w:p>
            <w:pPr>
              <w:ind w:left="1120"/>
              <w:spacing w:after="0"/>
              <w:rPr>
                <w:sz w:val="20"/>
                <w:szCs w:val="20"/>
                <w:color w:val="auto"/>
              </w:rPr>
            </w:pPr>
            <w:r>
              <w:rPr>
                <w:rFonts w:ascii="Arial" w:cs="Arial" w:eastAsia="Arial" w:hAnsi="Arial"/>
                <w:sz w:val="14"/>
                <w:szCs w:val="14"/>
                <w:color w:val="auto"/>
              </w:rPr>
              <w:t>Land segment</w:t>
            </w:r>
          </w:p>
        </w:tc>
        <w:tc>
          <w:tcPr>
            <w:tcW w:w="1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31.8</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64"/>
        </w:trPr>
        <w:tc>
          <w:tcPr>
            <w:tcW w:w="6620" w:type="dxa"/>
            <w:vAlign w:val="bottom"/>
          </w:tcPr>
          <w:p>
            <w:pPr>
              <w:spacing w:after="0"/>
              <w:rPr>
                <w:sz w:val="14"/>
                <w:szCs w:val="14"/>
                <w:color w:val="auto"/>
              </w:rPr>
            </w:pPr>
          </w:p>
        </w:tc>
        <w:tc>
          <w:tcPr>
            <w:tcW w:w="1380" w:type="dxa"/>
            <w:vAlign w:val="bottom"/>
            <w:tcBorders>
              <w:top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85.7</w:t>
            </w:r>
          </w:p>
        </w:tc>
        <w:tc>
          <w:tcPr>
            <w:tcW w:w="240" w:type="dxa"/>
            <w:vAlign w:val="bottom"/>
          </w:tcPr>
          <w:p>
            <w:pPr>
              <w:spacing w:after="0"/>
              <w:rPr>
                <w:sz w:val="14"/>
                <w:szCs w:val="14"/>
                <w:color w:val="auto"/>
              </w:rPr>
            </w:pPr>
          </w:p>
        </w:tc>
        <w:tc>
          <w:tcPr>
            <w:tcW w:w="102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620" w:type="dxa"/>
            <w:vAlign w:val="bottom"/>
          </w:tcPr>
          <w:p>
            <w:pPr>
              <w:ind w:left="1120"/>
              <w:spacing w:after="0"/>
              <w:rPr>
                <w:sz w:val="20"/>
                <w:szCs w:val="20"/>
                <w:color w:val="auto"/>
              </w:rPr>
            </w:pPr>
            <w:r>
              <w:rPr>
                <w:rFonts w:ascii="Arial" w:cs="Arial" w:eastAsia="Arial" w:hAnsi="Arial"/>
                <w:sz w:val="14"/>
                <w:szCs w:val="14"/>
                <w:color w:val="auto"/>
              </w:rPr>
              <w:t>Corporate overhead - unallocated</w:t>
            </w:r>
          </w:p>
        </w:tc>
        <w:tc>
          <w:tcPr>
            <w:tcW w:w="1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14.2</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71.5</w:t>
            </w:r>
          </w:p>
        </w:tc>
        <w:tc>
          <w:tcPr>
            <w:tcW w:w="24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Assistant Treasurer</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2019-12-05T23:17:06Z</dcterms:created>
  <dcterms:modified xsi:type="dcterms:W3CDTF">2019-12-05T23:17:06Z</dcterms:modified>
</cp:coreProperties>
</file>