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64230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197485</wp:posOffset>
            </wp:positionV>
            <wp:extent cx="6423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2440" w:right="80" w:hanging="2120"/>
        <w:spacing w:after="0" w:line="416" w:lineRule="auto"/>
        <w:tabs>
          <w:tab w:leader="none" w:pos="73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2014</w:t>
      </w:r>
    </w:p>
    <w:p>
      <w:pPr>
        <w:spacing w:after="0" w:line="25" w:lineRule="exact"/>
        <w:rPr>
          <w:sz w:val="24"/>
          <w:szCs w:val="24"/>
          <w:color w:val="auto"/>
        </w:rPr>
      </w:pPr>
    </w:p>
    <w:p>
      <w:pPr>
        <w:ind w:left="720" w:hanging="400"/>
        <w:spacing w:after="0"/>
        <w:tabs>
          <w:tab w:leader="none" w:pos="7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2280"/>
        <w:spacing w:after="0"/>
        <w:tabs>
          <w:tab w:leader="none" w:pos="6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1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2458720</wp:posOffset>
            </wp:positionH>
            <wp:positionV relativeFrom="paragraph">
              <wp:posOffset>114300</wp:posOffset>
            </wp:positionV>
            <wp:extent cx="1500505"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050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WORLD FUEL SERVICES CORPORATION</w:t>
      </w:r>
    </w:p>
    <w:p>
      <w:pPr>
        <w:spacing w:after="0" w:line="4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216"/>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8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9800 N.W. 41</w:t>
            </w:r>
            <w:r>
              <w:rPr>
                <w:rFonts w:ascii="Times New Roman" w:cs="Times New Roman" w:eastAsia="Times New Roman" w:hAnsi="Times New Roman"/>
                <w:sz w:val="11"/>
                <w:szCs w:val="11"/>
                <w:b w:val="1"/>
                <w:bCs w:val="1"/>
                <w:color w:val="auto"/>
                <w:w w:val="99"/>
              </w:rPr>
              <w:t>st</w:t>
            </w:r>
            <w:r>
              <w:rPr>
                <w:rFonts w:ascii="Times New Roman" w:cs="Times New Roman" w:eastAsia="Times New Roman" w:hAnsi="Times New Roman"/>
                <w:sz w:val="18"/>
                <w:szCs w:val="18"/>
                <w:b w:val="1"/>
                <w:bCs w:val="1"/>
                <w:color w:val="auto"/>
                <w:w w:val="99"/>
              </w:rPr>
              <w:t xml:space="preserve"> Street, Suite 400</w:t>
            </w:r>
          </w:p>
        </w:tc>
        <w:tc>
          <w:tcPr>
            <w:tcW w:w="2840" w:type="dxa"/>
            <w:vAlign w:val="bottom"/>
          </w:tcPr>
          <w:p>
            <w:pPr>
              <w:spacing w:after="0"/>
              <w:rPr>
                <w:sz w:val="24"/>
                <w:szCs w:val="24"/>
                <w:color w:val="auto"/>
              </w:rPr>
            </w:pPr>
          </w:p>
        </w:tc>
      </w:tr>
      <w:tr>
        <w:trPr>
          <w:trHeight w:val="22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Miami, Florida</w:t>
            </w:r>
          </w:p>
        </w:tc>
        <w:tc>
          <w:tcPr>
            <w:tcW w:w="2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4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162" w:lineRule="exact"/>
        <w:rPr>
          <w:sz w:val="24"/>
          <w:szCs w:val="24"/>
          <w:color w:val="auto"/>
        </w:rPr>
      </w:pPr>
    </w:p>
    <w:p>
      <w:pPr>
        <w:jc w:val="cente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ind w:right="2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10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83"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6" w:lineRule="exact"/>
        <w:rPr>
          <w:sz w:val="24"/>
          <w:szCs w:val="24"/>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registrant had a total of 72,064,000 shares of common stock, par value $0.01 per share, issued and outstanding as of October 24,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97155</wp:posOffset>
            </wp:positionV>
            <wp:extent cx="642302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342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393065</wp:posOffset>
            </wp:positionV>
            <wp:extent cx="584835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960"/>
          </w:cols>
          <w:pgMar w:left="900" w:top="229" w:right="10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60" w:type="dxa"/>
            <w:vAlign w:val="bottom"/>
            <w:gridSpan w:val="10"/>
          </w:tcPr>
          <w:p>
            <w:pPr>
              <w:ind w:left="40"/>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69"/>
        </w:trPr>
        <w:tc>
          <w:tcPr>
            <w:tcW w:w="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8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620" w:type="dxa"/>
            <w:vAlign w:val="bottom"/>
            <w:gridSpan w:val="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w:t>
              </w:r>
            </w:hyperlink>
          </w:p>
        </w:tc>
        <w:tc>
          <w:tcPr>
            <w:tcW w:w="8040" w:type="dxa"/>
            <w:vAlign w:val="bottom"/>
            <w:gridSpan w:val="2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Information</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General</w:t>
              </w:r>
            </w:hyperlink>
          </w:p>
        </w:tc>
        <w:tc>
          <w:tcPr>
            <w:tcW w:w="160" w:type="dxa"/>
            <w:vAlign w:val="bottom"/>
            <w:tcBorders>
              <w:top w:val="single" w:sz="8" w:color="0000EE"/>
            </w:tcBorders>
            <w:gridSpan w:val="2"/>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412"/>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220" w:type="dxa"/>
            <w:vAlign w:val="bottom"/>
            <w:gridSpan w:val="4"/>
          </w:tcPr>
          <w:p>
            <w:pPr>
              <w:spacing w:after="0"/>
              <w:rPr>
                <w:sz w:val="24"/>
                <w:szCs w:val="24"/>
                <w:color w:val="auto"/>
              </w:rPr>
            </w:pPr>
          </w:p>
        </w:tc>
        <w:tc>
          <w:tcPr>
            <w:tcW w:w="730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00" w:type="dxa"/>
            <w:vAlign w:val="bottom"/>
            <w:gridSpan w:val="18"/>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 as of September 30, 2014 and December 31, 2013</w:t>
              </w:r>
            </w:hyperlink>
          </w:p>
        </w:tc>
        <w:tc>
          <w:tcPr>
            <w:tcW w:w="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00" w:type="dxa"/>
            <w:vAlign w:val="bottom"/>
            <w:gridSpan w:val="18"/>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Income and Comprehensive Income for the Three and Nine Months</w:t>
              </w:r>
            </w:hyperlink>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ended September 30, 2014 and 2013</w:t>
              </w:r>
            </w:hyperlink>
          </w:p>
        </w:tc>
        <w:tc>
          <w:tcPr>
            <w:tcW w:w="400" w:type="dxa"/>
            <w:vAlign w:val="bottom"/>
            <w:gridSpan w:val="3"/>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00" w:type="dxa"/>
            <w:vAlign w:val="bottom"/>
            <w:gridSpan w:val="1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Shareholders’ Equity for the Nine Months ended September 30, 2014</w:t>
              </w:r>
            </w:hyperlink>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9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and 2013</w:t>
              </w:r>
            </w:hyperlink>
          </w:p>
        </w:tc>
        <w:tc>
          <w:tcPr>
            <w:tcW w:w="280" w:type="dxa"/>
            <w:vAlign w:val="bottom"/>
            <w:gridSpan w:val="2"/>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00" w:type="dxa"/>
            <w:vAlign w:val="bottom"/>
            <w:gridSpan w:val="18"/>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 for the Nine Months ended September 30, 2014 and 2013</w:t>
              </w:r>
            </w:hyperlink>
          </w:p>
        </w:tc>
        <w:tc>
          <w:tcPr>
            <w:tcW w:w="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the Consolidated Financial Statements</w:t>
              </w:r>
            </w:hyperlink>
          </w:p>
        </w:tc>
        <w:tc>
          <w:tcPr>
            <w:tcW w:w="260" w:type="dxa"/>
            <w:vAlign w:val="bottom"/>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gridSpan w:val="24"/>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gridSpan w:val="24"/>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3.   Quantitative and Qualitative Disclosures About Market Risk</w:t>
              </w:r>
            </w:hyperlink>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960" w:type="dxa"/>
            <w:vAlign w:val="bottom"/>
            <w:tcBorders>
              <w:left w:val="single" w:sz="8" w:color="0000EE"/>
            </w:tcBorders>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gridSpan w:val="24"/>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4.   Controls and Procedures</w:t>
              </w:r>
            </w:hyperlink>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620" w:type="dxa"/>
            <w:vAlign w:val="bottom"/>
            <w:gridSpan w:val="4"/>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Part II.</w:t>
              </w:r>
            </w:hyperlink>
          </w:p>
        </w:tc>
        <w:tc>
          <w:tcPr>
            <w:tcW w:w="8040" w:type="dxa"/>
            <w:vAlign w:val="bottom"/>
            <w:gridSpan w:val="24"/>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Other Information</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1.</w:t>
              </w:r>
            </w:hyperlink>
          </w:p>
        </w:tc>
        <w:tc>
          <w:tcPr>
            <w:tcW w:w="200" w:type="dxa"/>
            <w:vAlign w:val="bottom"/>
            <w:gridSpan w:val="3"/>
          </w:tcPr>
          <w:p>
            <w:pPr>
              <w:spacing w:after="0"/>
              <w:rPr>
                <w:sz w:val="24"/>
                <w:szCs w:val="24"/>
                <w:color w:val="auto"/>
              </w:rPr>
            </w:pPr>
          </w:p>
        </w:tc>
        <w:tc>
          <w:tcPr>
            <w:tcW w:w="7300" w:type="dxa"/>
            <w:vAlign w:val="bottom"/>
            <w:gridSpan w:val="18"/>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Legal Proceedings</w:t>
              </w:r>
            </w:hyperlink>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gridSpan w:val="24"/>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2.   Unregistered Sales of Equity Securities and Use of Proceeds</w:t>
              </w:r>
            </w:hyperlink>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760" w:type="dxa"/>
            <w:vAlign w:val="bottom"/>
            <w:tcBorders>
              <w:left w:val="single" w:sz="8" w:color="0000EE"/>
            </w:tcBorders>
            <w:gridSpan w:val="8"/>
            <w:shd w:val="clear" w:color="auto" w:fill="0000EE"/>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Item 6.</w:t>
              </w:r>
            </w:hyperlink>
          </w:p>
        </w:tc>
        <w:tc>
          <w:tcPr>
            <w:tcW w:w="20" w:type="dxa"/>
            <w:vAlign w:val="bottom"/>
          </w:tcPr>
          <w:p>
            <w:pPr>
              <w:spacing w:after="0"/>
              <w:rPr>
                <w:sz w:val="24"/>
                <w:szCs w:val="24"/>
                <w:color w:val="auto"/>
              </w:rPr>
            </w:pPr>
          </w:p>
        </w:tc>
        <w:tc>
          <w:tcPr>
            <w:tcW w:w="200" w:type="dxa"/>
            <w:vAlign w:val="bottom"/>
            <w:gridSpan w:val="3"/>
          </w:tcPr>
          <w:p>
            <w:pPr>
              <w:spacing w:after="0"/>
              <w:rPr>
                <w:sz w:val="24"/>
                <w:szCs w:val="24"/>
                <w:color w:val="auto"/>
              </w:rPr>
            </w:pPr>
          </w:p>
        </w:tc>
        <w:tc>
          <w:tcPr>
            <w:tcW w:w="7300" w:type="dxa"/>
            <w:vAlign w:val="bottom"/>
            <w:gridSpan w:val="18"/>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Exhibits</w:t>
              </w:r>
            </w:hyperlink>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20" w:type="dxa"/>
            <w:vAlign w:val="bottom"/>
            <w:gridSpan w:val="4"/>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1360" w:type="dxa"/>
            <w:vAlign w:val="bottom"/>
            <w:gridSpan w:val="10"/>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Signatures</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1857"/>
        </w:trPr>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-38100</wp:posOffset>
            </wp:positionV>
            <wp:extent cx="3429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-38100</wp:posOffset>
            </wp:positionV>
            <wp:extent cx="3429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2" w:name="page3"/>
    <w:bookmarkEnd w:id="2"/>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00" w:right="119" w:firstLine="324"/>
        <w:spacing w:after="0" w:line="253" w:lineRule="auto"/>
        <w:rPr>
          <w:sz w:val="20"/>
          <w:szCs w:val="20"/>
          <w:color w:val="auto"/>
        </w:rPr>
      </w:pPr>
      <w:r>
        <w:rPr>
          <w:rFonts w:ascii="Times New Roman" w:cs="Times New Roman" w:eastAsia="Times New Roman" w:hAnsi="Times New Roman"/>
          <w:sz w:val="18"/>
          <w:szCs w:val="18"/>
          <w:color w:val="auto"/>
        </w:rPr>
        <w:t>The following unaudited consolidated financial statements and notes thereto of World Fuel Services Corporation and its subsidiaries have been prepared in accordance with the instructions to Quarterly Reports on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which are of a normal and recurring nature, have been made for the interim periods reported. Results of operations for the three and nine months ended September 30, 2014 are not necessarily indicative of the results for the entire fiscal year. The unaudited consolidated financial statements and notes thereto included in this Quarterly Report on Form 10-Q for the quarterly period ended September 30, 2014 (“10-Q Report”) should be read in conjunction with the audited consolidated financial statements and notes thereto included in our Annual Report on Form 10-K for the fiscal year ended December 31, 2013 (“2013 10-K Report”). World Fuel Services Corporation (“World Fuel” or the “Company”) and its subsidiaries are collectively referred to in this 10-Q Report as “we,” “our” and “us.”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tbl>
      <w:tblPr>
        <w:tblLayout w:type="fixed"/>
        <w:tblInd w:w="10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56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69"/>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0"/>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40" w:type="dxa"/>
            <w:vAlign w:val="bottom"/>
            <w:gridSpan w:val="5"/>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World Fuel Services Corporation and Subsidiaries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4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color w:val="auto"/>
              </w:rPr>
              <w:t>(Unaudited - In thousands, except per share data)</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24"/>
                <w:szCs w:val="24"/>
                <w:color w:val="auto"/>
              </w:rPr>
            </w:pPr>
          </w:p>
        </w:tc>
      </w:tr>
      <w:tr>
        <w:trPr>
          <w:trHeight w:val="227"/>
        </w:trPr>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0"/>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388,544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292,061</w:t>
            </w:r>
          </w:p>
        </w:tc>
      </w:tr>
      <w:tr>
        <w:trPr>
          <w:trHeight w:val="216"/>
        </w:trPr>
        <w:tc>
          <w:tcPr>
            <w:tcW w:w="40" w:type="dxa"/>
            <w:vAlign w:val="bottom"/>
          </w:tcPr>
          <w:p>
            <w:pPr>
              <w:spacing w:after="0"/>
              <w:rPr>
                <w:sz w:val="18"/>
                <w:szCs w:val="18"/>
                <w:color w:val="auto"/>
              </w:rPr>
            </w:pPr>
          </w:p>
        </w:tc>
        <w:tc>
          <w:tcPr>
            <w:tcW w:w="5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2,837,050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2,538,642</w:t>
            </w:r>
          </w:p>
        </w:tc>
      </w:tr>
      <w:tr>
        <w:trPr>
          <w:trHeight w:val="216"/>
        </w:trPr>
        <w:tc>
          <w:tcPr>
            <w:tcW w:w="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655,046</w:t>
            </w:r>
          </w:p>
        </w:tc>
      </w:tr>
      <w:tr>
        <w:trPr>
          <w:trHeight w:val="216"/>
        </w:trPr>
        <w:tc>
          <w:tcPr>
            <w:tcW w:w="40" w:type="dxa"/>
            <w:vAlign w:val="bottom"/>
          </w:tcPr>
          <w:p>
            <w:pPr>
              <w:spacing w:after="0"/>
              <w:rPr>
                <w:sz w:val="18"/>
                <w:szCs w:val="18"/>
                <w:color w:val="auto"/>
              </w:rPr>
            </w:pPr>
          </w:p>
        </w:tc>
        <w:tc>
          <w:tcPr>
            <w:tcW w:w="5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120,205</w:t>
            </w:r>
          </w:p>
        </w:tc>
      </w:tr>
      <w:tr>
        <w:trPr>
          <w:trHeight w:val="216"/>
        </w:trPr>
        <w:tc>
          <w:tcPr>
            <w:tcW w:w="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209,547</w:t>
            </w:r>
          </w:p>
        </w:tc>
      </w:tr>
      <w:tr>
        <w:trPr>
          <w:trHeight w:val="210"/>
        </w:trPr>
        <w:tc>
          <w:tcPr>
            <w:tcW w:w="40" w:type="dxa"/>
            <w:vAlign w:val="bottom"/>
          </w:tcPr>
          <w:p>
            <w:pPr>
              <w:spacing w:after="0"/>
              <w:rPr>
                <w:sz w:val="18"/>
                <w:szCs w:val="18"/>
                <w:color w:val="auto"/>
              </w:rPr>
            </w:pPr>
          </w:p>
        </w:tc>
        <w:tc>
          <w:tcPr>
            <w:tcW w:w="5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4,329,377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3,815,501</w:t>
            </w:r>
          </w:p>
        </w:tc>
      </w:tr>
      <w:tr>
        <w:trPr>
          <w:trHeight w:val="216"/>
        </w:trPr>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129,685</w:t>
            </w:r>
          </w:p>
        </w:tc>
      </w:tr>
      <w:tr>
        <w:trPr>
          <w:trHeight w:val="216"/>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483,591</w:t>
            </w:r>
          </w:p>
        </w:tc>
      </w:tr>
      <w:tr>
        <w:trPr>
          <w:trHeight w:val="216"/>
        </w:trPr>
        <w:tc>
          <w:tcPr>
            <w:tcW w:w="56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379,579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310,500</w:t>
            </w:r>
          </w:p>
        </w:tc>
      </w:tr>
      <w:tr>
        <w:trPr>
          <w:trHeight w:val="217"/>
        </w:trPr>
        <w:tc>
          <w:tcPr>
            <w:tcW w:w="40" w:type="dxa"/>
            <w:vAlign w:val="bottom"/>
            <w:tcBorders>
              <w:bottom w:val="single" w:sz="8" w:color="CCEEFF"/>
            </w:tcBorders>
            <w:shd w:val="clear" w:color="auto" w:fill="CCEEFF"/>
          </w:tcPr>
          <w:p>
            <w:pPr>
              <w:spacing w:after="0"/>
              <w:rPr>
                <w:sz w:val="18"/>
                <w:szCs w:val="18"/>
                <w:color w:val="auto"/>
              </w:rPr>
            </w:pPr>
          </w:p>
        </w:tc>
        <w:tc>
          <w:tcPr>
            <w:tcW w:w="55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5,523,665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4,739,277</w:t>
            </w:r>
          </w:p>
        </w:tc>
      </w:t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Short-term debt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w:t>
            </w:r>
          </w:p>
        </w:tc>
      </w:tr>
      <w:tr>
        <w:trPr>
          <w:trHeight w:val="216"/>
        </w:trPr>
        <w:tc>
          <w:tcPr>
            <w:tcW w:w="40" w:type="dxa"/>
            <w:vAlign w:val="bottom"/>
          </w:tcPr>
          <w:p>
            <w:pPr>
              <w:spacing w:after="0"/>
              <w:rPr>
                <w:sz w:val="18"/>
                <w:szCs w:val="18"/>
                <w:color w:val="auto"/>
              </w:rPr>
            </w:pPr>
          </w:p>
        </w:tc>
        <w:tc>
          <w:tcPr>
            <w:tcW w:w="5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2,455,915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2,210,427</w:t>
            </w:r>
          </w:p>
        </w:tc>
      </w:tr>
      <w:tr>
        <w:trPr>
          <w:trHeight w:val="216"/>
        </w:trPr>
        <w:tc>
          <w:tcPr>
            <w:tcW w:w="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111,068</w:t>
            </w:r>
          </w:p>
        </w:tc>
      </w:tr>
      <w:tr>
        <w:trPr>
          <w:trHeight w:val="216"/>
        </w:trPr>
        <w:tc>
          <w:tcPr>
            <w:tcW w:w="4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223,090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178,373</w:t>
            </w:r>
          </w:p>
        </w:tc>
      </w:tr>
      <w:tr>
        <w:trPr>
          <w:trHeight w:val="210"/>
        </w:trPr>
        <w:tc>
          <w:tcPr>
            <w:tcW w:w="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2,514,515</w:t>
            </w:r>
          </w:p>
        </w:tc>
      </w:tr>
      <w:tr>
        <w:trPr>
          <w:trHeight w:val="216"/>
        </w:trPr>
        <w:tc>
          <w:tcPr>
            <w:tcW w:w="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449,064</w:t>
            </w:r>
          </w:p>
        </w:tc>
      </w:tr>
      <w:tr>
        <w:trPr>
          <w:trHeight w:val="216"/>
        </w:trPr>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Non-current income tax liabilities,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82,532</w:t>
            </w:r>
          </w:p>
        </w:tc>
      </w:tr>
      <w:tr>
        <w:trPr>
          <w:trHeight w:val="216"/>
        </w:trPr>
        <w:tc>
          <w:tcPr>
            <w:tcW w:w="5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14,272</w:t>
            </w:r>
          </w:p>
        </w:tc>
      </w:tr>
      <w:tr>
        <w:trPr>
          <w:trHeight w:val="210"/>
        </w:trPr>
        <w:tc>
          <w:tcPr>
            <w:tcW w:w="4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3,711,955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3,060,383</w:t>
            </w:r>
          </w:p>
        </w:tc>
      </w:tr>
      <w:tr>
        <w:trPr>
          <w:trHeight w:val="210"/>
        </w:trPr>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4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World Fuel shareholders' equity: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Preferred stock, $1.00 par value; 100 shares authorized, none issued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 w:type="dxa"/>
            <w:vAlign w:val="bottom"/>
            <w:shd w:val="clear" w:color="auto" w:fill="CCEEFF"/>
          </w:tcPr>
          <w:p>
            <w:pPr>
              <w:spacing w:after="0"/>
              <w:rPr>
                <w:sz w:val="17"/>
                <w:szCs w:val="17"/>
                <w:color w:val="auto"/>
              </w:rPr>
            </w:pPr>
          </w:p>
        </w:tc>
        <w:tc>
          <w:tcPr>
            <w:tcW w:w="5560" w:type="dxa"/>
            <w:vAlign w:val="bottom"/>
            <w:gridSpan w:val="3"/>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 authorized, 72,063 and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71,883 issued and outstanding as of September 30, 2014 and December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4"/>
        </w:trPr>
        <w:tc>
          <w:tcPr>
            <w:tcW w:w="40" w:type="dxa"/>
            <w:vAlign w:val="bottom"/>
            <w:shd w:val="clear" w:color="auto" w:fill="CCEEFF"/>
          </w:tcPr>
          <w:p>
            <w:pPr>
              <w:spacing w:after="0"/>
              <w:rPr>
                <w:sz w:val="20"/>
                <w:szCs w:val="20"/>
                <w:color w:val="auto"/>
              </w:rPr>
            </w:pPr>
          </w:p>
        </w:tc>
        <w:tc>
          <w:tcPr>
            <w:tcW w:w="55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31, 2013, respectively</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40" w:type="dxa"/>
            <w:vAlign w:val="bottom"/>
          </w:tcPr>
          <w:p>
            <w:pPr>
              <w:spacing w:after="0"/>
              <w:rPr>
                <w:sz w:val="18"/>
                <w:szCs w:val="18"/>
                <w:color w:val="auto"/>
              </w:rPr>
            </w:pPr>
          </w:p>
        </w:tc>
        <w:tc>
          <w:tcPr>
            <w:tcW w:w="5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495,199</w:t>
            </w:r>
          </w:p>
        </w:tc>
      </w:tr>
      <w:tr>
        <w:trPr>
          <w:trHeight w:val="216"/>
        </w:trPr>
        <w:tc>
          <w:tcPr>
            <w:tcW w:w="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1,207,299</w:t>
            </w:r>
          </w:p>
        </w:tc>
      </w:tr>
      <w:tr>
        <w:trPr>
          <w:trHeight w:val="216"/>
        </w:trPr>
        <w:tc>
          <w:tcPr>
            <w:tcW w:w="40" w:type="dxa"/>
            <w:vAlign w:val="bottom"/>
          </w:tcPr>
          <w:p>
            <w:pPr>
              <w:spacing w:after="0"/>
              <w:rPr>
                <w:sz w:val="18"/>
                <w:szCs w:val="18"/>
                <w:color w:val="auto"/>
              </w:rPr>
            </w:pPr>
          </w:p>
        </w:tc>
        <w:tc>
          <w:tcPr>
            <w:tcW w:w="5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(29,319)</w:t>
            </w:r>
          </w:p>
        </w:tc>
      </w:tr>
      <w:tr>
        <w:trPr>
          <w:trHeight w:val="210"/>
        </w:trPr>
        <w:tc>
          <w:tcPr>
            <w:tcW w:w="40" w:type="dxa"/>
            <w:vAlign w:val="bottom"/>
            <w:tcBorders>
              <w:top w:val="single" w:sz="8" w:color="CCEEFF"/>
            </w:tcBorders>
            <w:shd w:val="clear" w:color="auto" w:fill="CCEEFF"/>
          </w:tcPr>
          <w:p>
            <w:pPr>
              <w:spacing w:after="0"/>
              <w:rPr>
                <w:sz w:val="18"/>
                <w:szCs w:val="18"/>
                <w:color w:val="auto"/>
              </w:rPr>
            </w:pPr>
          </w:p>
        </w:tc>
        <w:tc>
          <w:tcPr>
            <w:tcW w:w="556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World Fuel shareholders'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1,808,364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1,673,898</w:t>
            </w:r>
          </w:p>
        </w:tc>
      </w:tr>
      <w:tr>
        <w:trPr>
          <w:trHeight w:val="216"/>
        </w:trPr>
        <w:tc>
          <w:tcPr>
            <w:tcW w:w="56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Noncontrolling interest equity</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w:t>
            </w:r>
          </w:p>
        </w:tc>
      </w:tr>
      <w:tr>
        <w:trPr>
          <w:trHeight w:val="210"/>
        </w:trPr>
        <w:tc>
          <w:tcPr>
            <w:tcW w:w="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1,811,710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1,678,894</w:t>
            </w:r>
          </w:p>
        </w:tc>
      </w:tr>
      <w:tr>
        <w:trPr>
          <w:trHeight w:val="217"/>
        </w:trPr>
        <w:tc>
          <w:tcPr>
            <w:tcW w:w="40" w:type="dxa"/>
            <w:vAlign w:val="bottom"/>
          </w:tcPr>
          <w:p>
            <w:pPr>
              <w:spacing w:after="0"/>
              <w:rPr>
                <w:sz w:val="18"/>
                <w:szCs w:val="18"/>
                <w:color w:val="auto"/>
              </w:rPr>
            </w:pPr>
          </w:p>
        </w:tc>
        <w:tc>
          <w:tcPr>
            <w:tcW w:w="55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5,523,665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4,739,277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100" w:right="9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World Fuel Services Corporation and Subsidiaries Consolidated Statements of Income and Comprehensive Income </w:t>
      </w:r>
      <w:r>
        <w:rPr>
          <w:rFonts w:ascii="Times New Roman" w:cs="Times New Roman" w:eastAsia="Times New Roman" w:hAnsi="Times New Roman"/>
          <w:sz w:val="18"/>
          <w:szCs w:val="18"/>
          <w:color w:val="auto"/>
        </w:rPr>
        <w:t>(Unaudited - In thousands, except per share data)</w:t>
      </w:r>
    </w:p>
    <w:p>
      <w:pPr>
        <w:spacing w:after="0" w:line="344"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13"/>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46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2013</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2013</w:t>
            </w: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11,713,463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10,493,661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33,606,834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31,157,294</w:t>
            </w:r>
          </w:p>
        </w:tc>
      </w:tr>
      <w:tr>
        <w:trPr>
          <w:trHeight w:val="21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11,498,855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10,307,320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33,012,678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30,600,116</w:t>
            </w:r>
          </w:p>
        </w:tc>
      </w:tr>
      <w:tr>
        <w:trPr>
          <w:trHeight w:val="21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214,608</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594,156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557,178</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214,358</w:t>
            </w: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bad debt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54,141</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158,795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137,265</w:t>
            </w:r>
          </w:p>
        </w:tc>
      </w:tr>
      <w:tr>
        <w:trPr>
          <w:trHeight w:val="210"/>
        </w:trPr>
        <w:tc>
          <w:tcPr>
            <w:tcW w:w="4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140,505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122,138</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357,298</w:t>
            </w:r>
          </w:p>
        </w:tc>
      </w:tr>
      <w:tr>
        <w:trPr>
          <w:trHeight w:val="21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74,103</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198,219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199,880</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expenses, net: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and other financing costs,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(8,785)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(17,826)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w:t>
            </w: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10"/>
        </w:trPr>
        <w:tc>
          <w:tcPr>
            <w:tcW w:w="4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185,855</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32,090</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153,765</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r>
      <w:tr>
        <w:trPr>
          <w:trHeight w:val="217"/>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World Fuel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55,660</w:t>
            </w: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51,472</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154,613</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151,213</w:t>
            </w: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4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70,796</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71,371</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70,770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71,387</w:t>
            </w: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71,346</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71,877</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71,970</w:t>
            </w:r>
          </w:p>
        </w:tc>
      </w:tr>
      <w:tr>
        <w:trPr>
          <w:trHeight w:val="216"/>
        </w:trPr>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153,765</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(17,300)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r>
      <w:tr>
        <w:trPr>
          <w:trHeight w:val="198"/>
        </w:trPr>
        <w:tc>
          <w:tcPr>
            <w:tcW w:w="4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Cash flow hedges, net of income taxes of $2 and $25 for the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three and nine months ended September 30, 2013,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4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46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including noncontrolling interest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144,705</w:t>
            </w:r>
          </w:p>
        </w:tc>
      </w:tr>
      <w:tr>
        <w:trPr>
          <w:trHeight w:val="198"/>
        </w:trPr>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(loss) income attributable to noncontrolling</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r>
      <w:tr>
        <w:trPr>
          <w:trHeight w:val="21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World Fuel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51,583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485140</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(Unaudited -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22"/>
                <w:szCs w:val="2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World Fuel</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940" w:type="dxa"/>
            <w:vAlign w:val="bottom"/>
          </w:tcPr>
          <w:p>
            <w:pPr>
              <w:spacing w:after="0"/>
              <w:rPr>
                <w:sz w:val="17"/>
                <w:szCs w:val="17"/>
                <w:color w:val="auto"/>
              </w:rPr>
            </w:pPr>
          </w:p>
        </w:tc>
        <w:tc>
          <w:tcPr>
            <w:tcW w:w="126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4"/>
              </w:rPr>
              <w:t>Excess of</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Shareholders'</w:t>
            </w:r>
          </w:p>
        </w:tc>
        <w:tc>
          <w:tcPr>
            <w:tcW w:w="20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94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9"/>
              <w:spacing w:after="0" w:line="129" w:lineRule="exact"/>
              <w:rPr>
                <w:sz w:val="20"/>
                <w:szCs w:val="20"/>
                <w:color w:val="auto"/>
              </w:rPr>
            </w:pPr>
            <w:r>
              <w:rPr>
                <w:rFonts w:ascii="Times New Roman" w:cs="Times New Roman" w:eastAsia="Times New Roman" w:hAnsi="Times New Roman"/>
                <w:sz w:val="13"/>
                <w:szCs w:val="13"/>
                <w:b w:val="1"/>
                <w:bCs w:val="1"/>
                <w:color w:val="auto"/>
                <w:w w:val="90"/>
              </w:rPr>
              <w:t>ParValue</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7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29"/>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2013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71,883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(29,319)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1,673,898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1,678,894</w:t>
            </w:r>
          </w:p>
        </w:tc>
        <w:tc>
          <w:tcPr>
            <w:tcW w:w="0" w:type="dxa"/>
            <w:vAlign w:val="bottom"/>
          </w:tcPr>
          <w:p>
            <w:pPr>
              <w:spacing w:after="0"/>
              <w:rPr>
                <w:sz w:val="1"/>
                <w:szCs w:val="1"/>
                <w:color w:val="auto"/>
              </w:rPr>
            </w:pP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(3,263)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151,350</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dividends declared</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(7,949)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(7,949)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(7,949)</w:t>
            </w:r>
          </w:p>
        </w:tc>
        <w:tc>
          <w:tcPr>
            <w:tcW w:w="0" w:type="dxa"/>
            <w:vAlign w:val="bottom"/>
          </w:tcPr>
          <w:p>
            <w:pPr>
              <w:spacing w:after="0"/>
              <w:rPr>
                <w:sz w:val="1"/>
                <w:szCs w:val="1"/>
                <w:color w:val="auto"/>
              </w:rPr>
            </w:pPr>
          </w:p>
        </w:tc>
      </w:tr>
      <w:tr>
        <w:trPr>
          <w:trHeight w:val="126"/>
        </w:trPr>
        <w:tc>
          <w:tcPr>
            <w:tcW w:w="29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Initial noncontrolling interest upon acquisition</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0" w:type="dxa"/>
            <w:vAlign w:val="bottom"/>
          </w:tcPr>
          <w:p>
            <w:pPr>
              <w:spacing w:after="0"/>
              <w:rPr>
                <w:sz w:val="1"/>
                <w:szCs w:val="1"/>
                <w:color w:val="auto"/>
              </w:rPr>
            </w:pPr>
          </w:p>
        </w:tc>
      </w:tr>
      <w:tr>
        <w:trPr>
          <w:trHeight w:val="171"/>
        </w:trPr>
        <w:tc>
          <w:tcPr>
            <w:tcW w:w="2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 joint venture</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 of noncontrolling interest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share-based payment awards</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10,668</w:t>
            </w:r>
          </w:p>
        </w:tc>
        <w:tc>
          <w:tcPr>
            <w:tcW w:w="0" w:type="dxa"/>
            <w:vAlign w:val="bottom"/>
          </w:tcPr>
          <w:p>
            <w:pPr>
              <w:spacing w:after="0"/>
              <w:rPr>
                <w:sz w:val="1"/>
                <w:szCs w:val="1"/>
                <w:color w:val="auto"/>
              </w:rPr>
            </w:pPr>
          </w:p>
        </w:tc>
      </w:tr>
      <w:tr>
        <w:trPr>
          <w:trHeight w:val="126"/>
        </w:trPr>
        <w:tc>
          <w:tcPr>
            <w:tcW w:w="29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 to share-</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based payment awards</w:t>
            </w: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4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Purchases of common stock tendered</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by employees to satisfy the required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withholding taxes related to share-based</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(4,458)</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(4,458)</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0" w:type="dxa"/>
            <w:vAlign w:val="bottom"/>
          </w:tcPr>
          <w:p>
            <w:pPr>
              <w:spacing w:after="0"/>
              <w:rPr>
                <w:sz w:val="1"/>
                <w:szCs w:val="1"/>
                <w:color w:val="auto"/>
              </w:rPr>
            </w:pPr>
          </w:p>
        </w:tc>
      </w:tr>
      <w:tr>
        <w:trPr>
          <w:trHeight w:val="171"/>
        </w:trPr>
        <w:tc>
          <w:tcPr>
            <w:tcW w:w="2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awards</w:t>
            </w: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(9,997)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(9,999)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216"/>
        </w:trPr>
        <w:tc>
          <w:tcPr>
            <w:tcW w:w="2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(8,409)</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(8,409)</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(8,409)</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September 30, 2014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72,063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491,408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1,353,963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(37,728)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1,808,364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1,811,710</w:t>
            </w:r>
          </w:p>
        </w:tc>
        <w:tc>
          <w:tcPr>
            <w:tcW w:w="0" w:type="dxa"/>
            <w:vAlign w:val="bottom"/>
          </w:tcPr>
          <w:p>
            <w:pPr>
              <w:spacing w:after="0"/>
              <w:rPr>
                <w:sz w:val="1"/>
                <w:szCs w:val="1"/>
                <w:color w:val="auto"/>
              </w:rPr>
            </w:pPr>
          </w:p>
        </w:tc>
      </w:tr>
      <w:tr>
        <w:trPr>
          <w:trHeight w:val="27"/>
        </w:trPr>
        <w:tc>
          <w:tcPr>
            <w:tcW w:w="29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Capital in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World Fuel</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Excess of</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Shareholders'</w:t>
            </w:r>
          </w:p>
        </w:tc>
        <w:tc>
          <w:tcPr>
            <w:tcW w:w="20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8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30"/>
              <w:spacing w:after="0" w:line="129" w:lineRule="exact"/>
              <w:rPr>
                <w:sz w:val="20"/>
                <w:szCs w:val="20"/>
                <w:color w:val="auto"/>
              </w:rPr>
            </w:pPr>
            <w:r>
              <w:rPr>
                <w:rFonts w:ascii="Times New Roman" w:cs="Times New Roman" w:eastAsia="Times New Roman" w:hAnsi="Times New Roman"/>
                <w:sz w:val="13"/>
                <w:szCs w:val="13"/>
                <w:b w:val="1"/>
                <w:bCs w:val="1"/>
                <w:color w:val="auto"/>
                <w:w w:val="90"/>
              </w:rPr>
              <w:t>Shares</w:t>
            </w:r>
          </w:p>
        </w:tc>
        <w:tc>
          <w:tcPr>
            <w:tcW w:w="14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Par Value</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7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3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2012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517,589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1,014,882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(16,018)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1,517,174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1,541,624</w:t>
            </w:r>
          </w:p>
        </w:tc>
        <w:tc>
          <w:tcPr>
            <w:tcW w:w="0" w:type="dxa"/>
            <w:vAlign w:val="bottom"/>
          </w:tcPr>
          <w:p>
            <w:pPr>
              <w:spacing w:after="0"/>
              <w:rPr>
                <w:sz w:val="1"/>
                <w:szCs w:val="1"/>
                <w:color w:val="auto"/>
              </w:rPr>
            </w:pPr>
          </w:p>
        </w:tc>
      </w:tr>
      <w:tr>
        <w:trPr>
          <w:trHeight w:val="216"/>
        </w:trPr>
        <w:tc>
          <w:tcPr>
            <w:tcW w:w="2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153,765</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dividends declared</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(8,013)</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(8,013)</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(8,013)</w:t>
            </w:r>
          </w:p>
        </w:tc>
        <w:tc>
          <w:tcPr>
            <w:tcW w:w="0" w:type="dxa"/>
            <w:vAlign w:val="bottom"/>
          </w:tcPr>
          <w:p>
            <w:pPr>
              <w:spacing w:after="0"/>
              <w:rPr>
                <w:sz w:val="1"/>
                <w:szCs w:val="1"/>
                <w:color w:val="auto"/>
              </w:rPr>
            </w:pPr>
          </w:p>
        </w:tc>
      </w:tr>
      <w:tr>
        <w:trPr>
          <w:trHeight w:val="216"/>
        </w:trPr>
        <w:tc>
          <w:tcPr>
            <w:tcW w:w="2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by noncontrolling interest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10,019</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 of noncontrolling interest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(14,497)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(14,497)</w:t>
            </w:r>
          </w:p>
        </w:tc>
        <w:tc>
          <w:tcPr>
            <w:tcW w:w="0" w:type="dxa"/>
            <w:vAlign w:val="bottom"/>
          </w:tcPr>
          <w:p>
            <w:pPr>
              <w:spacing w:after="0"/>
              <w:rPr>
                <w:sz w:val="1"/>
                <w:szCs w:val="1"/>
                <w:color w:val="auto"/>
              </w:rPr>
            </w:pPr>
          </w:p>
        </w:tc>
      </w:tr>
      <w:tr>
        <w:trPr>
          <w:trHeight w:val="216"/>
        </w:trPr>
        <w:tc>
          <w:tcPr>
            <w:tcW w:w="2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share-based payment awards</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w:t>
            </w:r>
          </w:p>
        </w:tc>
        <w:tc>
          <w:tcPr>
            <w:tcW w:w="0" w:type="dxa"/>
            <w:vAlign w:val="bottom"/>
          </w:tcPr>
          <w:p>
            <w:pPr>
              <w:spacing w:after="0"/>
              <w:rPr>
                <w:sz w:val="1"/>
                <w:szCs w:val="1"/>
                <w:color w:val="auto"/>
              </w:rPr>
            </w:pPr>
          </w:p>
        </w:tc>
      </w:tr>
      <w:tr>
        <w:trPr>
          <w:trHeight w:val="126"/>
        </w:trPr>
        <w:tc>
          <w:tcPr>
            <w:tcW w:w="282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 to share-</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based payment awards, including income</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 benefit of $2,692</w:t>
            </w:r>
          </w:p>
        </w:tc>
        <w:tc>
          <w:tcPr>
            <w:tcW w:w="5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Purchases of common stock tendered by</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employees to satisfy the required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withholding taxes related to share-</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(6,645)</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(6,645)</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0" w:type="dxa"/>
            <w:vAlign w:val="bottom"/>
          </w:tcPr>
          <w:p>
            <w:pPr>
              <w:spacing w:after="0"/>
              <w:rPr>
                <w:sz w:val="1"/>
                <w:szCs w:val="1"/>
                <w:color w:val="auto"/>
              </w:rPr>
            </w:pPr>
          </w:p>
        </w:tc>
      </w:tr>
      <w:tr>
        <w:trPr>
          <w:trHeight w:val="171"/>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based payment awards</w:t>
            </w: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(19,995)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(20,000)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216"/>
        </w:trPr>
        <w:tc>
          <w:tcPr>
            <w:tcW w:w="2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(9,060)</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(9,060)</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(9,060)</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September 30, 2013</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72,277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506,005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1,158,082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(25,078)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1,639,732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1,662,256</w:t>
            </w: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485140</wp:posOffset>
            </wp:positionV>
            <wp:extent cx="564261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 w:name="page7"/>
    <w:bookmarkEnd w:id="6"/>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In thousands)</w:t>
      </w:r>
    </w:p>
    <w:p>
      <w:pPr>
        <w:spacing w:after="0" w:line="146"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6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7620</wp:posOffset>
            </wp:positionV>
            <wp:extent cx="1294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2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-119380</wp:posOffset>
            </wp:positionV>
            <wp:extent cx="560006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0065" cy="12890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Net income including noncontrolling interest</w:t>
      </w:r>
    </w:p>
    <w:p>
      <w:pPr>
        <w:ind w:left="220"/>
        <w:spacing w:after="0" w:line="233" w:lineRule="auto"/>
        <w:rPr>
          <w:sz w:val="20"/>
          <w:szCs w:val="20"/>
          <w:color w:val="auto"/>
        </w:rPr>
      </w:pPr>
      <w:r>
        <w:rPr>
          <w:rFonts w:ascii="Times New Roman" w:cs="Times New Roman" w:eastAsia="Times New Roman" w:hAnsi="Times New Roman"/>
          <w:sz w:val="18"/>
          <w:szCs w:val="18"/>
          <w:color w:val="auto"/>
        </w:rPr>
        <w:t>Adjustments to reconcile net income including noncontrolling interest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-247015</wp:posOffset>
            </wp:positionV>
            <wp:extent cx="560006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0065" cy="24003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Provision for bad debt</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Share-based payment award compensation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Deferred income tax provision (benefit)</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Extinguishment of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320"/>
        <w:spacing w:after="0" w:line="231" w:lineRule="auto"/>
        <w:rPr>
          <w:sz w:val="20"/>
          <w:szCs w:val="20"/>
          <w:color w:val="auto"/>
        </w:rPr>
      </w:pPr>
      <w:r>
        <w:rPr>
          <w:rFonts w:ascii="Times New Roman" w:cs="Times New Roman" w:eastAsia="Times New Roman" w:hAnsi="Times New Roman"/>
          <w:sz w:val="18"/>
          <w:szCs w:val="18"/>
          <w:color w:val="auto"/>
        </w:rPr>
        <w:t>Other</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-3175</wp:posOffset>
            </wp:positionV>
            <wp:extent cx="560006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auto"/>
        </w:rPr>
        <w:t>Cash collateral with financial counterparties</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Non-current income tax, net and 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0065" cy="14605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Total adjustments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5715</wp:posOffset>
            </wp:positionV>
            <wp:extent cx="560006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0065" cy="12890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Acquisition of businesses, net of cash acquired and other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Escrow payment related to an assumed obligation of an acquired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Purchase of investments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Proceeds from the sale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Issuances of notes receivable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Repayment of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0065" cy="14605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-3175</wp:posOffset>
            </wp:positionV>
            <wp:extent cx="560006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Borrowings under senior revolving credit facility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Repayments under senior revolving credit facility and senior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Borrowings of other debt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Repayments of acquisition promissory notes and other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Dividends paid on common stock</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Investment by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-1905</wp:posOffset>
            </wp:positionV>
            <wp:extent cx="560006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0065"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Distribution of noncontrolling interest</w:t>
      </w:r>
    </w:p>
    <w:p>
      <w:pPr>
        <w:ind w:left="220"/>
        <w:spacing w:after="0" w:line="231" w:lineRule="auto"/>
        <w:rPr>
          <w:sz w:val="20"/>
          <w:szCs w:val="20"/>
          <w:color w:val="auto"/>
        </w:rPr>
      </w:pPr>
      <w:r>
        <w:rPr>
          <w:rFonts w:ascii="Times New Roman" w:cs="Times New Roman" w:eastAsia="Times New Roman" w:hAnsi="Times New Roman"/>
          <w:sz w:val="18"/>
          <w:szCs w:val="18"/>
          <w:color w:val="auto"/>
        </w:rPr>
        <w:t>Purchases of common stock</w:t>
      </w:r>
    </w:p>
    <w:p>
      <w:pPr>
        <w:spacing w:after="0" w:line="1" w:lineRule="exact"/>
        <w:rPr>
          <w:sz w:val="20"/>
          <w:szCs w:val="20"/>
          <w:color w:val="auto"/>
        </w:rPr>
      </w:pPr>
    </w:p>
    <w:p>
      <w:pPr>
        <w:ind w:left="220" w:right="80"/>
        <w:spacing w:after="0" w:line="219" w:lineRule="auto"/>
        <w:rPr>
          <w:sz w:val="20"/>
          <w:szCs w:val="20"/>
          <w:color w:val="auto"/>
        </w:rPr>
      </w:pPr>
      <w:r>
        <w:rPr>
          <w:rFonts w:ascii="Times New Roman" w:cs="Times New Roman" w:eastAsia="Times New Roman" w:hAnsi="Times New Roman"/>
          <w:sz w:val="18"/>
          <w:szCs w:val="18"/>
          <w:color w:val="auto"/>
        </w:rPr>
        <w:t>Federal and state tax benefits resulting from tax deductions in excess of the compensation cost recognized for share-based payment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-231775</wp:posOffset>
            </wp:positionV>
            <wp:extent cx="5600065"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0065" cy="240030"/>
                    </a:xfrm>
                    <a:prstGeom prst="rect">
                      <a:avLst/>
                    </a:prstGeom>
                    <a:noFill/>
                  </pic:spPr>
                </pic:pic>
              </a:graphicData>
            </a:graphic>
          </wp:anchor>
        </w:drawing>
      </w:r>
    </w:p>
    <w:p>
      <w:pPr>
        <w:ind w:left="220" w:right="300"/>
        <w:spacing w:after="0" w:line="224" w:lineRule="auto"/>
        <w:rPr>
          <w:sz w:val="20"/>
          <w:szCs w:val="20"/>
          <w:color w:val="auto"/>
        </w:rPr>
      </w:pPr>
      <w:r>
        <w:rPr>
          <w:rFonts w:ascii="Times New Roman" w:cs="Times New Roman" w:eastAsia="Times New Roman" w:hAnsi="Times New Roman"/>
          <w:sz w:val="18"/>
          <w:szCs w:val="18"/>
          <w:color w:val="auto"/>
        </w:rPr>
        <w:t>Purchases of common stock tendered by employees to satisfy the required withholding taxes related to share-based payment awards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336"/>
        <w:spacing w:after="0"/>
        <w:tabs>
          <w:tab w:leader="none" w:pos="1395" w:val="left"/>
        </w:tabs>
        <w:rPr>
          <w:sz w:val="20"/>
          <w:szCs w:val="20"/>
          <w:color w:val="auto"/>
        </w:rPr>
      </w:pPr>
      <w:r>
        <w:rPr>
          <w:rFonts w:ascii="Times New Roman" w:cs="Times New Roman" w:eastAsia="Times New Roman" w:hAnsi="Times New Roman"/>
          <w:sz w:val="14"/>
          <w:szCs w:val="14"/>
          <w:b w:val="1"/>
          <w:bCs w:val="1"/>
          <w:color w:val="auto"/>
        </w:rPr>
        <w:t>2014</w:t>
      </w:r>
      <w:r>
        <w:rPr>
          <w:sz w:val="20"/>
          <w:szCs w:val="20"/>
          <w:color w:val="auto"/>
        </w:rPr>
        <w:tab/>
      </w:r>
      <w:r>
        <w:rPr>
          <w:rFonts w:ascii="Times New Roman" w:cs="Times New Roman" w:eastAsia="Times New Roman" w:hAnsi="Times New Roman"/>
          <w:sz w:val="14"/>
          <w:szCs w:val="14"/>
          <w:b w:val="1"/>
          <w:bCs w:val="1"/>
          <w:color w:val="auto"/>
        </w:rPr>
        <w:t>2013</w:t>
      </w:r>
    </w:p>
    <w:p>
      <w:pPr>
        <w:spacing w:after="0" w:line="197" w:lineRule="exact"/>
        <w:rPr>
          <w:sz w:val="20"/>
          <w:szCs w:val="20"/>
          <w:color w:val="auto"/>
        </w:rPr>
      </w:pPr>
    </w:p>
    <w:p>
      <w:pPr>
        <w:ind w:left="316" w:hanging="316"/>
        <w:spacing w:after="0"/>
        <w:tabs>
          <w:tab w:leader="none" w:pos="316" w:val="left"/>
        </w:tabs>
        <w:numPr>
          <w:ilvl w:val="0"/>
          <w:numId w:val="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151,350  $   153,765</w:t>
      </w:r>
    </w:p>
    <w:p>
      <w:pPr>
        <w:spacing w:after="0" w:line="387" w:lineRule="exact"/>
        <w:rPr>
          <w:sz w:val="20"/>
          <w:szCs w:val="20"/>
          <w:color w:val="auto"/>
        </w:rPr>
      </w:pPr>
    </w:p>
    <w:p>
      <w:pPr>
        <w:ind w:left="396"/>
        <w:spacing w:after="0"/>
        <w:tabs>
          <w:tab w:leader="none" w:pos="1475" w:val="left"/>
        </w:tabs>
        <w:rPr>
          <w:sz w:val="20"/>
          <w:szCs w:val="20"/>
          <w:color w:val="auto"/>
        </w:rPr>
      </w:pPr>
      <w:r>
        <w:rPr>
          <w:rFonts w:ascii="Times New Roman" w:cs="Times New Roman" w:eastAsia="Times New Roman" w:hAnsi="Times New Roman"/>
          <w:sz w:val="18"/>
          <w:szCs w:val="18"/>
          <w:color w:val="auto"/>
        </w:rPr>
        <w:t>41,865</w:t>
      </w:r>
      <w:r>
        <w:rPr>
          <w:sz w:val="20"/>
          <w:szCs w:val="20"/>
          <w:color w:val="auto"/>
        </w:rPr>
        <w:tab/>
      </w:r>
      <w:r>
        <w:rPr>
          <w:rFonts w:ascii="Times New Roman" w:cs="Times New Roman" w:eastAsia="Times New Roman" w:hAnsi="Times New Roman"/>
          <w:sz w:val="18"/>
          <w:szCs w:val="18"/>
          <w:color w:val="auto"/>
        </w:rPr>
        <w:t>32,812</w:t>
      </w:r>
    </w:p>
    <w:p>
      <w:pPr>
        <w:spacing w:after="0" w:line="27" w:lineRule="exact"/>
        <w:rPr>
          <w:sz w:val="20"/>
          <w:szCs w:val="20"/>
          <w:color w:val="auto"/>
        </w:rPr>
      </w:pPr>
    </w:p>
    <w:p>
      <w:pPr>
        <w:ind w:left="496"/>
        <w:spacing w:after="0"/>
        <w:tabs>
          <w:tab w:leader="none" w:pos="1575" w:val="left"/>
        </w:tabs>
        <w:rPr>
          <w:sz w:val="20"/>
          <w:szCs w:val="20"/>
          <w:color w:val="auto"/>
        </w:rPr>
      </w:pPr>
      <w:r>
        <w:rPr>
          <w:rFonts w:ascii="Times New Roman" w:cs="Times New Roman" w:eastAsia="Times New Roman" w:hAnsi="Times New Roman"/>
          <w:sz w:val="18"/>
          <w:szCs w:val="18"/>
          <w:color w:val="auto"/>
        </w:rPr>
        <w:t>3,533</w:t>
      </w:r>
      <w:r>
        <w:rPr>
          <w:sz w:val="20"/>
          <w:szCs w:val="20"/>
          <w:color w:val="auto"/>
        </w:rPr>
        <w:tab/>
      </w:r>
      <w:r>
        <w:rPr>
          <w:rFonts w:ascii="Times New Roman" w:cs="Times New Roman" w:eastAsia="Times New Roman" w:hAnsi="Times New Roman"/>
          <w:sz w:val="18"/>
          <w:szCs w:val="18"/>
          <w:color w:val="auto"/>
        </w:rPr>
        <w:t>5,675</w:t>
      </w:r>
    </w:p>
    <w:p>
      <w:pPr>
        <w:spacing w:after="0" w:line="9" w:lineRule="exact"/>
        <w:rPr>
          <w:sz w:val="20"/>
          <w:szCs w:val="20"/>
          <w:color w:val="auto"/>
        </w:rPr>
      </w:pPr>
    </w:p>
    <w:p>
      <w:pPr>
        <w:ind w:left="416"/>
        <w:spacing w:after="0"/>
        <w:tabs>
          <w:tab w:leader="none" w:pos="1475" w:val="left"/>
        </w:tabs>
        <w:rPr>
          <w:sz w:val="20"/>
          <w:szCs w:val="20"/>
          <w:color w:val="auto"/>
        </w:rPr>
      </w:pPr>
      <w:r>
        <w:rPr>
          <w:rFonts w:ascii="Times New Roman" w:cs="Times New Roman" w:eastAsia="Times New Roman" w:hAnsi="Times New Roman"/>
          <w:sz w:val="18"/>
          <w:szCs w:val="18"/>
          <w:color w:val="auto"/>
        </w:rPr>
        <w:t>11,281</w:t>
      </w:r>
      <w:r>
        <w:rPr>
          <w:sz w:val="20"/>
          <w:szCs w:val="20"/>
          <w:color w:val="auto"/>
        </w:rPr>
        <w:tab/>
      </w:r>
      <w:r>
        <w:rPr>
          <w:rFonts w:ascii="Times New Roman" w:cs="Times New Roman" w:eastAsia="Times New Roman" w:hAnsi="Times New Roman"/>
          <w:sz w:val="18"/>
          <w:szCs w:val="18"/>
          <w:color w:val="auto"/>
        </w:rPr>
        <w:t>12,578</w:t>
      </w:r>
    </w:p>
    <w:p>
      <w:pPr>
        <w:spacing w:after="0" w:line="9" w:lineRule="exact"/>
        <w:rPr>
          <w:sz w:val="20"/>
          <w:szCs w:val="20"/>
          <w:color w:val="auto"/>
        </w:rPr>
      </w:pPr>
    </w:p>
    <w:p>
      <w:pPr>
        <w:jc w:val="both"/>
        <w:ind w:left="496"/>
        <w:spacing w:after="0"/>
        <w:tabs>
          <w:tab w:leader="none" w:pos="1635" w:val="left"/>
        </w:tabs>
        <w:rPr>
          <w:sz w:val="20"/>
          <w:szCs w:val="20"/>
          <w:color w:val="auto"/>
        </w:rPr>
      </w:pPr>
      <w:r>
        <w:rPr>
          <w:rFonts w:ascii="Times New Roman" w:cs="Times New Roman" w:eastAsia="Times New Roman" w:hAnsi="Times New Roman"/>
          <w:sz w:val="18"/>
          <w:szCs w:val="18"/>
          <w:color w:val="auto"/>
        </w:rPr>
        <w:t>8,305</w:t>
      </w:r>
      <w:r>
        <w:rPr>
          <w:sz w:val="20"/>
          <w:szCs w:val="20"/>
          <w:color w:val="auto"/>
        </w:rPr>
        <w:tab/>
      </w:r>
      <w:r>
        <w:rPr>
          <w:rFonts w:ascii="Times New Roman" w:cs="Times New Roman" w:eastAsia="Times New Roman" w:hAnsi="Times New Roman"/>
          <w:sz w:val="18"/>
          <w:szCs w:val="18"/>
          <w:color w:val="auto"/>
        </w:rPr>
        <w:t>(113)</w:t>
      </w:r>
    </w:p>
    <w:p>
      <w:pPr>
        <w:spacing w:after="0" w:line="9" w:lineRule="exact"/>
        <w:rPr>
          <w:sz w:val="20"/>
          <w:szCs w:val="20"/>
          <w:color w:val="auto"/>
        </w:rPr>
      </w:pPr>
    </w:p>
    <w:p>
      <w:pPr>
        <w:jc w:val="both"/>
        <w:ind w:left="416"/>
        <w:spacing w:after="0"/>
        <w:tabs>
          <w:tab w:leader="none" w:pos="1495" w:val="left"/>
        </w:tabs>
        <w:rPr>
          <w:sz w:val="20"/>
          <w:szCs w:val="20"/>
          <w:color w:val="auto"/>
        </w:rPr>
      </w:pPr>
      <w:r>
        <w:rPr>
          <w:rFonts w:ascii="Times New Roman" w:cs="Times New Roman" w:eastAsia="Times New Roman" w:hAnsi="Times New Roman"/>
          <w:sz w:val="18"/>
          <w:szCs w:val="18"/>
          <w:color w:val="auto"/>
        </w:rPr>
        <w:t>(3,741)</w:t>
      </w:r>
      <w:r>
        <w:rPr>
          <w:sz w:val="20"/>
          <w:szCs w:val="20"/>
          <w:color w:val="auto"/>
        </w:rPr>
        <w:tab/>
      </w:r>
      <w:r>
        <w:rPr>
          <w:rFonts w:ascii="Times New Roman" w:cs="Times New Roman" w:eastAsia="Times New Roman" w:hAnsi="Times New Roman"/>
          <w:sz w:val="18"/>
          <w:szCs w:val="18"/>
          <w:color w:val="auto"/>
        </w:rPr>
        <w:t>(4,918)</w:t>
      </w:r>
    </w:p>
    <w:p>
      <w:pPr>
        <w:spacing w:after="0" w:line="9" w:lineRule="exact"/>
        <w:rPr>
          <w:sz w:val="20"/>
          <w:szCs w:val="20"/>
          <w:color w:val="auto"/>
        </w:rPr>
      </w:pPr>
    </w:p>
    <w:p>
      <w:pPr>
        <w:ind w:left="416"/>
        <w:spacing w:after="0"/>
        <w:tabs>
          <w:tab w:leader="none" w:pos="1575" w:val="left"/>
        </w:tabs>
        <w:rPr>
          <w:sz w:val="20"/>
          <w:szCs w:val="20"/>
          <w:color w:val="auto"/>
        </w:rPr>
      </w:pPr>
      <w:r>
        <w:rPr>
          <w:rFonts w:ascii="Times New Roman" w:cs="Times New Roman" w:eastAsia="Times New Roman" w:hAnsi="Times New Roman"/>
          <w:sz w:val="18"/>
          <w:szCs w:val="18"/>
          <w:color w:val="auto"/>
        </w:rPr>
        <w:t>(1,793)</w:t>
      </w:r>
      <w:r>
        <w:rPr>
          <w:sz w:val="20"/>
          <w:szCs w:val="20"/>
          <w:color w:val="auto"/>
        </w:rPr>
        <w:tab/>
      </w:r>
      <w:r>
        <w:rPr>
          <w:rFonts w:ascii="Times New Roman" w:cs="Times New Roman" w:eastAsia="Times New Roman" w:hAnsi="Times New Roman"/>
          <w:sz w:val="18"/>
          <w:szCs w:val="18"/>
          <w:color w:val="auto"/>
        </w:rPr>
        <w:t>4,569</w:t>
      </w:r>
    </w:p>
    <w:p>
      <w:pPr>
        <w:spacing w:after="0" w:line="180" w:lineRule="exact"/>
        <w:rPr>
          <w:sz w:val="20"/>
          <w:szCs w:val="20"/>
          <w:color w:val="auto"/>
        </w:rPr>
      </w:pPr>
    </w:p>
    <w:p>
      <w:pPr>
        <w:jc w:val="both"/>
        <w:ind w:left="336"/>
        <w:spacing w:after="0"/>
        <w:tabs>
          <w:tab w:leader="none" w:pos="1315" w:val="left"/>
        </w:tabs>
        <w:rPr>
          <w:sz w:val="20"/>
          <w:szCs w:val="20"/>
          <w:color w:val="auto"/>
        </w:rPr>
      </w:pPr>
      <w:r>
        <w:rPr>
          <w:rFonts w:ascii="Times New Roman" w:cs="Times New Roman" w:eastAsia="Times New Roman" w:hAnsi="Times New Roman"/>
          <w:sz w:val="18"/>
          <w:szCs w:val="18"/>
          <w:color w:val="auto"/>
        </w:rPr>
        <w:t>(57,685)</w:t>
      </w:r>
      <w:r>
        <w:rPr>
          <w:sz w:val="20"/>
          <w:szCs w:val="20"/>
          <w:color w:val="auto"/>
        </w:rPr>
        <w:tab/>
      </w:r>
      <w:r>
        <w:rPr>
          <w:rFonts w:ascii="Times New Roman" w:cs="Times New Roman" w:eastAsia="Times New Roman" w:hAnsi="Times New Roman"/>
          <w:sz w:val="18"/>
          <w:szCs w:val="18"/>
          <w:color w:val="auto"/>
        </w:rPr>
        <w:t>(294,271)</w:t>
      </w:r>
    </w:p>
    <w:p>
      <w:pPr>
        <w:spacing w:after="0" w:line="27" w:lineRule="exact"/>
        <w:rPr>
          <w:sz w:val="20"/>
          <w:szCs w:val="20"/>
          <w:color w:val="auto"/>
        </w:rPr>
      </w:pPr>
    </w:p>
    <w:p>
      <w:pPr>
        <w:jc w:val="both"/>
        <w:ind w:left="336"/>
        <w:spacing w:after="0"/>
        <w:tabs>
          <w:tab w:leader="none" w:pos="1395" w:val="left"/>
        </w:tabs>
        <w:rPr>
          <w:sz w:val="20"/>
          <w:szCs w:val="20"/>
          <w:color w:val="auto"/>
        </w:rPr>
      </w:pPr>
      <w:r>
        <w:rPr>
          <w:rFonts w:ascii="Times New Roman" w:cs="Times New Roman" w:eastAsia="Times New Roman" w:hAnsi="Times New Roman"/>
          <w:sz w:val="18"/>
          <w:szCs w:val="18"/>
          <w:color w:val="auto"/>
        </w:rPr>
        <w:t>(11,580)</w:t>
      </w:r>
      <w:r>
        <w:rPr>
          <w:sz w:val="20"/>
          <w:szCs w:val="20"/>
          <w:color w:val="auto"/>
        </w:rPr>
        <w:tab/>
      </w:r>
      <w:r>
        <w:rPr>
          <w:rFonts w:ascii="Times New Roman" w:cs="Times New Roman" w:eastAsia="Times New Roman" w:hAnsi="Times New Roman"/>
          <w:sz w:val="18"/>
          <w:szCs w:val="18"/>
          <w:color w:val="auto"/>
        </w:rPr>
        <w:t>(40,192)</w:t>
      </w:r>
    </w:p>
    <w:p>
      <w:pPr>
        <w:spacing w:after="0" w:line="9" w:lineRule="exact"/>
        <w:rPr>
          <w:sz w:val="20"/>
          <w:szCs w:val="20"/>
          <w:color w:val="auto"/>
        </w:rPr>
      </w:pPr>
    </w:p>
    <w:p>
      <w:pPr>
        <w:ind w:left="396"/>
        <w:spacing w:after="0"/>
        <w:tabs>
          <w:tab w:leader="none" w:pos="1475" w:val="left"/>
        </w:tabs>
        <w:rPr>
          <w:sz w:val="20"/>
          <w:szCs w:val="20"/>
          <w:color w:val="auto"/>
        </w:rPr>
      </w:pPr>
      <w:r>
        <w:rPr>
          <w:rFonts w:ascii="Times New Roman" w:cs="Times New Roman" w:eastAsia="Times New Roman" w:hAnsi="Times New Roman"/>
          <w:sz w:val="18"/>
          <w:szCs w:val="18"/>
          <w:color w:val="auto"/>
        </w:rPr>
        <w:t>44,923</w:t>
      </w:r>
      <w:r>
        <w:rPr>
          <w:sz w:val="20"/>
          <w:szCs w:val="20"/>
          <w:color w:val="auto"/>
        </w:rPr>
        <w:tab/>
      </w:r>
      <w:r>
        <w:rPr>
          <w:rFonts w:ascii="Times New Roman" w:cs="Times New Roman" w:eastAsia="Times New Roman" w:hAnsi="Times New Roman"/>
          <w:sz w:val="18"/>
          <w:szCs w:val="18"/>
          <w:color w:val="auto"/>
        </w:rPr>
        <w:t>40,532</w:t>
      </w:r>
    </w:p>
    <w:p>
      <w:pPr>
        <w:spacing w:after="0" w:line="9" w:lineRule="exact"/>
        <w:rPr>
          <w:sz w:val="20"/>
          <w:szCs w:val="20"/>
          <w:color w:val="auto"/>
        </w:rPr>
      </w:pPr>
    </w:p>
    <w:p>
      <w:pPr>
        <w:jc w:val="both"/>
        <w:ind w:left="236"/>
        <w:spacing w:after="0"/>
        <w:tabs>
          <w:tab w:leader="none" w:pos="1395" w:val="left"/>
        </w:tabs>
        <w:rPr>
          <w:sz w:val="20"/>
          <w:szCs w:val="20"/>
          <w:color w:val="auto"/>
        </w:rPr>
      </w:pPr>
      <w:r>
        <w:rPr>
          <w:rFonts w:ascii="Times New Roman" w:cs="Times New Roman" w:eastAsia="Times New Roman" w:hAnsi="Times New Roman"/>
          <w:sz w:val="18"/>
          <w:szCs w:val="18"/>
          <w:color w:val="auto"/>
        </w:rPr>
        <w:t>(102,246)</w:t>
      </w:r>
      <w:r>
        <w:rPr>
          <w:sz w:val="20"/>
          <w:szCs w:val="20"/>
          <w:color w:val="auto"/>
        </w:rPr>
        <w:tab/>
      </w:r>
      <w:r>
        <w:rPr>
          <w:rFonts w:ascii="Times New Roman" w:cs="Times New Roman" w:eastAsia="Times New Roman" w:hAnsi="Times New Roman"/>
          <w:sz w:val="18"/>
          <w:szCs w:val="18"/>
          <w:color w:val="auto"/>
        </w:rPr>
        <w:t>(28,563)</w:t>
      </w:r>
    </w:p>
    <w:p>
      <w:pPr>
        <w:spacing w:after="0" w:line="9" w:lineRule="exact"/>
        <w:rPr>
          <w:sz w:val="20"/>
          <w:szCs w:val="20"/>
          <w:color w:val="auto"/>
        </w:rPr>
      </w:pPr>
    </w:p>
    <w:p>
      <w:pPr>
        <w:ind w:left="336"/>
        <w:spacing w:after="0"/>
        <w:tabs>
          <w:tab w:leader="none" w:pos="1475" w:val="left"/>
        </w:tabs>
        <w:rPr>
          <w:sz w:val="20"/>
          <w:szCs w:val="20"/>
          <w:color w:val="auto"/>
        </w:rPr>
      </w:pPr>
      <w:r>
        <w:rPr>
          <w:rFonts w:ascii="Times New Roman" w:cs="Times New Roman" w:eastAsia="Times New Roman" w:hAnsi="Times New Roman"/>
          <w:sz w:val="18"/>
          <w:szCs w:val="18"/>
          <w:color w:val="auto"/>
        </w:rPr>
        <w:t>(30,915)</w:t>
      </w:r>
      <w:r>
        <w:rPr>
          <w:sz w:val="20"/>
          <w:szCs w:val="20"/>
          <w:color w:val="auto"/>
        </w:rPr>
        <w:tab/>
      </w:r>
      <w:r>
        <w:rPr>
          <w:rFonts w:ascii="Times New Roman" w:cs="Times New Roman" w:eastAsia="Times New Roman" w:hAnsi="Times New Roman"/>
          <w:sz w:val="18"/>
          <w:szCs w:val="18"/>
          <w:color w:val="auto"/>
        </w:rPr>
        <w:t>19,793</w:t>
      </w:r>
    </w:p>
    <w:p>
      <w:pPr>
        <w:spacing w:after="0" w:line="9" w:lineRule="exact"/>
        <w:rPr>
          <w:sz w:val="20"/>
          <w:szCs w:val="20"/>
          <w:color w:val="auto"/>
        </w:rPr>
      </w:pPr>
    </w:p>
    <w:p>
      <w:pPr>
        <w:jc w:val="both"/>
        <w:ind w:left="416"/>
        <w:spacing w:after="0"/>
        <w:tabs>
          <w:tab w:leader="none" w:pos="1495" w:val="left"/>
        </w:tabs>
        <w:rPr>
          <w:sz w:val="20"/>
          <w:szCs w:val="20"/>
          <w:color w:val="auto"/>
        </w:rPr>
      </w:pPr>
      <w:r>
        <w:rPr>
          <w:rFonts w:ascii="Times New Roman" w:cs="Times New Roman" w:eastAsia="Times New Roman" w:hAnsi="Times New Roman"/>
          <w:sz w:val="18"/>
          <w:szCs w:val="18"/>
          <w:color w:val="auto"/>
        </w:rPr>
        <w:t>(9,081)</w:t>
      </w:r>
      <w:r>
        <w:rPr>
          <w:sz w:val="20"/>
          <w:szCs w:val="20"/>
          <w:color w:val="auto"/>
        </w:rPr>
        <w:tab/>
      </w:r>
      <w:r>
        <w:rPr>
          <w:rFonts w:ascii="Times New Roman" w:cs="Times New Roman" w:eastAsia="Times New Roman" w:hAnsi="Times New Roman"/>
          <w:sz w:val="18"/>
          <w:szCs w:val="18"/>
          <w:color w:val="auto"/>
        </w:rPr>
        <w:t>(7,455)</w:t>
      </w:r>
    </w:p>
    <w:p>
      <w:pPr>
        <w:spacing w:after="0" w:line="9" w:lineRule="exact"/>
        <w:rPr>
          <w:sz w:val="20"/>
          <w:szCs w:val="20"/>
          <w:color w:val="auto"/>
        </w:rPr>
      </w:pPr>
    </w:p>
    <w:p>
      <w:pPr>
        <w:ind w:left="496"/>
        <w:spacing w:after="0"/>
        <w:tabs>
          <w:tab w:leader="none" w:pos="1395" w:val="left"/>
        </w:tabs>
        <w:rPr>
          <w:sz w:val="20"/>
          <w:szCs w:val="20"/>
          <w:color w:val="auto"/>
        </w:rPr>
      </w:pPr>
      <w:r>
        <w:rPr>
          <w:rFonts w:ascii="Times New Roman" w:cs="Times New Roman" w:eastAsia="Times New Roman" w:hAnsi="Times New Roman"/>
          <w:sz w:val="18"/>
          <w:szCs w:val="18"/>
          <w:color w:val="auto"/>
        </w:rPr>
        <w:t>9,957</w:t>
      </w:r>
      <w:r>
        <w:rPr>
          <w:sz w:val="20"/>
          <w:szCs w:val="20"/>
          <w:color w:val="auto"/>
        </w:rPr>
        <w:tab/>
      </w:r>
      <w:r>
        <w:rPr>
          <w:rFonts w:ascii="Times New Roman" w:cs="Times New Roman" w:eastAsia="Times New Roman" w:hAnsi="Times New Roman"/>
          <w:sz w:val="18"/>
          <w:szCs w:val="18"/>
          <w:color w:val="auto"/>
        </w:rPr>
        <w:t>316,003</w:t>
      </w:r>
    </w:p>
    <w:p>
      <w:pPr>
        <w:spacing w:after="0" w:line="9" w:lineRule="exact"/>
        <w:rPr>
          <w:sz w:val="20"/>
          <w:szCs w:val="20"/>
          <w:color w:val="auto"/>
        </w:rPr>
      </w:pPr>
    </w:p>
    <w:p>
      <w:pPr>
        <w:ind w:left="396"/>
        <w:spacing w:after="0"/>
        <w:tabs>
          <w:tab w:leader="none" w:pos="1575" w:val="left"/>
        </w:tabs>
        <w:rPr>
          <w:sz w:val="20"/>
          <w:szCs w:val="20"/>
          <w:color w:val="auto"/>
        </w:rPr>
      </w:pPr>
      <w:r>
        <w:rPr>
          <w:rFonts w:ascii="Times New Roman" w:cs="Times New Roman" w:eastAsia="Times New Roman" w:hAnsi="Times New Roman"/>
          <w:sz w:val="18"/>
          <w:szCs w:val="18"/>
          <w:color w:val="auto"/>
        </w:rPr>
        <w:t>26,004</w:t>
      </w:r>
      <w:r>
        <w:rPr>
          <w:sz w:val="20"/>
          <w:szCs w:val="20"/>
          <w:color w:val="auto"/>
        </w:rPr>
        <w:tab/>
      </w:r>
      <w:r>
        <w:rPr>
          <w:rFonts w:ascii="Times New Roman" w:cs="Times New Roman" w:eastAsia="Times New Roman" w:hAnsi="Times New Roman"/>
          <w:sz w:val="18"/>
          <w:szCs w:val="18"/>
          <w:color w:val="auto"/>
        </w:rPr>
        <w:t>5,852</w:t>
      </w:r>
    </w:p>
    <w:p>
      <w:pPr>
        <w:spacing w:after="0" w:line="9" w:lineRule="exact"/>
        <w:rPr>
          <w:sz w:val="20"/>
          <w:szCs w:val="20"/>
          <w:color w:val="auto"/>
        </w:rPr>
      </w:pPr>
    </w:p>
    <w:p>
      <w:pPr>
        <w:jc w:val="both"/>
        <w:ind w:left="396"/>
        <w:spacing w:after="0"/>
        <w:tabs>
          <w:tab w:leader="none" w:pos="1495" w:val="left"/>
        </w:tabs>
        <w:rPr>
          <w:sz w:val="20"/>
          <w:szCs w:val="20"/>
          <w:color w:val="auto"/>
        </w:rPr>
      </w:pPr>
      <w:r>
        <w:rPr>
          <w:rFonts w:ascii="Times New Roman" w:cs="Times New Roman" w:eastAsia="Times New Roman" w:hAnsi="Times New Roman"/>
          <w:sz w:val="18"/>
          <w:szCs w:val="18"/>
          <w:color w:val="auto"/>
        </w:rPr>
        <w:t>35,239</w:t>
      </w:r>
      <w:r>
        <w:rPr>
          <w:sz w:val="20"/>
          <w:szCs w:val="20"/>
          <w:color w:val="auto"/>
        </w:rPr>
        <w:tab/>
      </w:r>
      <w:r>
        <w:rPr>
          <w:rFonts w:ascii="Times New Roman" w:cs="Times New Roman" w:eastAsia="Times New Roman" w:hAnsi="Times New Roman"/>
          <w:sz w:val="18"/>
          <w:szCs w:val="18"/>
          <w:color w:val="auto"/>
        </w:rPr>
        <w:t>(5,015)</w:t>
      </w:r>
    </w:p>
    <w:p>
      <w:pPr>
        <w:spacing w:after="0" w:line="9" w:lineRule="exact"/>
        <w:rPr>
          <w:sz w:val="20"/>
          <w:szCs w:val="20"/>
          <w:color w:val="auto"/>
        </w:rPr>
      </w:pPr>
    </w:p>
    <w:p>
      <w:pPr>
        <w:ind w:left="396"/>
        <w:spacing w:after="0"/>
        <w:tabs>
          <w:tab w:leader="none" w:pos="1575" w:val="left"/>
        </w:tabs>
        <w:rPr>
          <w:sz w:val="20"/>
          <w:szCs w:val="20"/>
          <w:color w:val="auto"/>
        </w:rPr>
      </w:pPr>
      <w:r>
        <w:rPr>
          <w:rFonts w:ascii="Times New Roman" w:cs="Times New Roman" w:eastAsia="Times New Roman" w:hAnsi="Times New Roman"/>
          <w:sz w:val="18"/>
          <w:szCs w:val="18"/>
          <w:color w:val="auto"/>
        </w:rPr>
        <w:t>13,649</w:t>
      </w:r>
      <w:r>
        <w:rPr>
          <w:sz w:val="20"/>
          <w:szCs w:val="20"/>
          <w:color w:val="auto"/>
        </w:rPr>
        <w:tab/>
      </w:r>
      <w:r>
        <w:rPr>
          <w:rFonts w:ascii="Times New Roman" w:cs="Times New Roman" w:eastAsia="Times New Roman" w:hAnsi="Times New Roman"/>
          <w:sz w:val="18"/>
          <w:szCs w:val="18"/>
          <w:color w:val="auto"/>
        </w:rPr>
        <w:t>2,695</w:t>
      </w:r>
    </w:p>
    <w:p>
      <w:pPr>
        <w:spacing w:after="0" w:line="9" w:lineRule="exact"/>
        <w:rPr>
          <w:sz w:val="20"/>
          <w:szCs w:val="20"/>
          <w:color w:val="auto"/>
        </w:rPr>
      </w:pPr>
    </w:p>
    <w:p>
      <w:pPr>
        <w:ind w:left="336"/>
        <w:spacing w:after="0"/>
        <w:tabs>
          <w:tab w:leader="none" w:pos="1475" w:val="left"/>
        </w:tabs>
        <w:rPr>
          <w:sz w:val="20"/>
          <w:szCs w:val="20"/>
          <w:color w:val="auto"/>
        </w:rPr>
      </w:pPr>
      <w:r>
        <w:rPr>
          <w:rFonts w:ascii="Times New Roman" w:cs="Times New Roman" w:eastAsia="Times New Roman" w:hAnsi="Times New Roman"/>
          <w:sz w:val="18"/>
          <w:szCs w:val="18"/>
          <w:u w:val="single" w:color="auto"/>
          <w:color w:val="auto"/>
        </w:rPr>
        <w:t>(22,285)</w:t>
      </w:r>
      <w:r>
        <w:rPr>
          <w:sz w:val="20"/>
          <w:szCs w:val="20"/>
          <w:color w:val="auto"/>
        </w:rPr>
        <w:tab/>
      </w:r>
      <w:r>
        <w:rPr>
          <w:rFonts w:ascii="Times New Roman" w:cs="Times New Roman" w:eastAsia="Times New Roman" w:hAnsi="Times New Roman"/>
          <w:sz w:val="18"/>
          <w:szCs w:val="18"/>
          <w:color w:val="auto"/>
        </w:rPr>
        <w:t>59,982</w:t>
      </w:r>
    </w:p>
    <w:p>
      <w:pPr>
        <w:spacing w:after="0" w:line="23" w:lineRule="exact"/>
        <w:rPr>
          <w:sz w:val="20"/>
          <w:szCs w:val="20"/>
          <w:color w:val="auto"/>
        </w:rPr>
      </w:pPr>
    </w:p>
    <w:p>
      <w:pPr>
        <w:ind w:left="316"/>
        <w:spacing w:after="0"/>
        <w:tabs>
          <w:tab w:leader="none" w:pos="1395" w:val="left"/>
        </w:tabs>
        <w:rPr>
          <w:sz w:val="20"/>
          <w:szCs w:val="20"/>
          <w:color w:val="auto"/>
        </w:rPr>
      </w:pPr>
      <w:r>
        <w:rPr>
          <w:rFonts w:ascii="Times New Roman" w:cs="Times New Roman" w:eastAsia="Times New Roman" w:hAnsi="Times New Roman"/>
          <w:sz w:val="18"/>
          <w:szCs w:val="18"/>
          <w:color w:val="auto"/>
        </w:rPr>
        <w:t>129,065</w:t>
      </w:r>
      <w:r>
        <w:rPr>
          <w:sz w:val="20"/>
          <w:szCs w:val="20"/>
          <w:color w:val="auto"/>
        </w:rPr>
        <w:tab/>
      </w:r>
      <w:r>
        <w:rPr>
          <w:rFonts w:ascii="Times New Roman" w:cs="Times New Roman" w:eastAsia="Times New Roman" w:hAnsi="Times New Roman"/>
          <w:sz w:val="18"/>
          <w:szCs w:val="18"/>
          <w:color w:val="auto"/>
        </w:rPr>
        <w:t>213,747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-130810</wp:posOffset>
            </wp:positionV>
            <wp:extent cx="5403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87" w:lineRule="exact"/>
        <w:rPr>
          <w:sz w:val="20"/>
          <w:szCs w:val="20"/>
          <w:color w:val="auto"/>
        </w:rPr>
      </w:pPr>
    </w:p>
    <w:p>
      <w:pPr>
        <w:jc w:val="both"/>
        <w:ind w:left="236"/>
        <w:spacing w:after="0"/>
        <w:tabs>
          <w:tab w:leader="none" w:pos="1395" w:val="left"/>
        </w:tabs>
        <w:rPr>
          <w:sz w:val="20"/>
          <w:szCs w:val="20"/>
          <w:color w:val="auto"/>
        </w:rPr>
      </w:pPr>
      <w:r>
        <w:rPr>
          <w:rFonts w:ascii="Times New Roman" w:cs="Times New Roman" w:eastAsia="Times New Roman" w:hAnsi="Times New Roman"/>
          <w:sz w:val="18"/>
          <w:szCs w:val="18"/>
          <w:color w:val="auto"/>
        </w:rPr>
        <w:t>(230,715)</w:t>
      </w:r>
      <w:r>
        <w:rPr>
          <w:sz w:val="20"/>
          <w:szCs w:val="20"/>
          <w:color w:val="auto"/>
        </w:rPr>
        <w:tab/>
      </w:r>
      <w:r>
        <w:rPr>
          <w:rFonts w:ascii="Times New Roman" w:cs="Times New Roman" w:eastAsia="Times New Roman" w:hAnsi="Times New Roman"/>
          <w:sz w:val="18"/>
          <w:szCs w:val="18"/>
          <w:color w:val="auto"/>
        </w:rPr>
        <w:t>(40,412)</w:t>
      </w:r>
    </w:p>
    <w:p>
      <w:pPr>
        <w:spacing w:after="0" w:line="27" w:lineRule="exact"/>
        <w:rPr>
          <w:sz w:val="20"/>
          <w:szCs w:val="20"/>
          <w:color w:val="auto"/>
        </w:rPr>
      </w:pPr>
    </w:p>
    <w:p>
      <w:pPr>
        <w:jc w:val="both"/>
        <w:ind w:left="336"/>
        <w:spacing w:after="0"/>
        <w:tabs>
          <w:tab w:leader="none" w:pos="1395" w:val="left"/>
        </w:tabs>
        <w:rPr>
          <w:sz w:val="20"/>
          <w:szCs w:val="20"/>
          <w:color w:val="auto"/>
        </w:rPr>
      </w:pPr>
      <w:r>
        <w:rPr>
          <w:rFonts w:ascii="Times New Roman" w:cs="Times New Roman" w:eastAsia="Times New Roman" w:hAnsi="Times New Roman"/>
          <w:sz w:val="18"/>
          <w:szCs w:val="18"/>
          <w:color w:val="auto"/>
        </w:rPr>
        <w:t>(37,102)</w:t>
      </w:r>
      <w:r>
        <w:rPr>
          <w:sz w:val="20"/>
          <w:szCs w:val="20"/>
          <w:color w:val="auto"/>
        </w:rPr>
        <w:tab/>
      </w:r>
      <w:r>
        <w:rPr>
          <w:rFonts w:ascii="Times New Roman" w:cs="Times New Roman" w:eastAsia="Times New Roman" w:hAnsi="Times New Roman"/>
          <w:sz w:val="18"/>
          <w:szCs w:val="18"/>
          <w:color w:val="auto"/>
        </w:rPr>
        <w:t>(50,286)</w:t>
      </w:r>
    </w:p>
    <w:p>
      <w:pPr>
        <w:spacing w:after="0" w:line="9" w:lineRule="exact"/>
        <w:rPr>
          <w:sz w:val="20"/>
          <w:szCs w:val="20"/>
          <w:color w:val="auto"/>
        </w:rPr>
      </w:pPr>
    </w:p>
    <w:p>
      <w:pPr>
        <w:ind w:left="336"/>
        <w:spacing w:after="0"/>
        <w:tabs>
          <w:tab w:leader="none" w:pos="1775" w:val="left"/>
        </w:tabs>
        <w:rPr>
          <w:sz w:val="20"/>
          <w:szCs w:val="20"/>
          <w:color w:val="auto"/>
        </w:rPr>
      </w:pPr>
      <w:r>
        <w:rPr>
          <w:rFonts w:ascii="Times New Roman" w:cs="Times New Roman" w:eastAsia="Times New Roman" w:hAnsi="Times New Roman"/>
          <w:sz w:val="18"/>
          <w:szCs w:val="18"/>
          <w:color w:val="auto"/>
        </w:rPr>
        <w:t>(21,724)</w:t>
      </w:r>
      <w:r>
        <w:rPr>
          <w:sz w:val="20"/>
          <w:szCs w:val="20"/>
          <w:color w:val="auto"/>
        </w:rPr>
        <w:tab/>
      </w:r>
      <w:r>
        <w:rPr>
          <w:rFonts w:ascii="Times New Roman" w:cs="Times New Roman" w:eastAsia="Times New Roman" w:hAnsi="Times New Roman"/>
          <w:sz w:val="18"/>
          <w:szCs w:val="18"/>
          <w:color w:val="auto"/>
        </w:rPr>
        <w:t>—</w:t>
      </w:r>
    </w:p>
    <w:p>
      <w:pPr>
        <w:spacing w:after="0" w:line="11" w:lineRule="exact"/>
        <w:rPr>
          <w:sz w:val="20"/>
          <w:szCs w:val="20"/>
          <w:color w:val="auto"/>
        </w:rPr>
      </w:pPr>
    </w:p>
    <w:p>
      <w:pPr>
        <w:jc w:val="both"/>
        <w:ind w:left="416"/>
        <w:spacing w:after="0"/>
        <w:tabs>
          <w:tab w:leader="none" w:pos="1395" w:val="left"/>
        </w:tabs>
        <w:rPr>
          <w:sz w:val="20"/>
          <w:szCs w:val="20"/>
          <w:color w:val="auto"/>
        </w:rPr>
      </w:pPr>
      <w:r>
        <w:rPr>
          <w:rFonts w:ascii="Times New Roman" w:cs="Times New Roman" w:eastAsia="Times New Roman" w:hAnsi="Times New Roman"/>
          <w:sz w:val="18"/>
          <w:szCs w:val="18"/>
          <w:color w:val="auto"/>
        </w:rPr>
        <w:t>(1,206)</w:t>
      </w:r>
      <w:r>
        <w:rPr>
          <w:sz w:val="20"/>
          <w:szCs w:val="20"/>
          <w:color w:val="auto"/>
        </w:rPr>
        <w:tab/>
      </w:r>
      <w:r>
        <w:rPr>
          <w:rFonts w:ascii="Times New Roman" w:cs="Times New Roman" w:eastAsia="Times New Roman" w:hAnsi="Times New Roman"/>
          <w:sz w:val="18"/>
          <w:szCs w:val="18"/>
          <w:color w:val="auto"/>
        </w:rPr>
        <w:t>(21,588)</w:t>
      </w:r>
    </w:p>
    <w:p>
      <w:pPr>
        <w:spacing w:after="0" w:line="7"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18"/>
          <w:szCs w:val="18"/>
          <w:color w:val="auto"/>
        </w:rPr>
        <w:t>—21,588</w:t>
      </w:r>
    </w:p>
    <w:p>
      <w:pPr>
        <w:spacing w:after="0" w:line="10"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(469)</w:t>
      </w:r>
    </w:p>
    <w:p>
      <w:pPr>
        <w:spacing w:after="0" w:line="9" w:lineRule="exact"/>
        <w:rPr>
          <w:sz w:val="20"/>
          <w:szCs w:val="20"/>
          <w:color w:val="auto"/>
        </w:rPr>
      </w:pPr>
    </w:p>
    <w:p>
      <w:pPr>
        <w:ind w:left="636"/>
        <w:spacing w:after="0"/>
        <w:rPr>
          <w:sz w:val="20"/>
          <w:szCs w:val="20"/>
          <w:color w:val="auto"/>
        </w:rPr>
      </w:pPr>
      <w:r>
        <w:rPr>
          <w:rFonts w:ascii="Times New Roman" w:cs="Times New Roman" w:eastAsia="Times New Roman" w:hAnsi="Times New Roman"/>
          <w:sz w:val="18"/>
          <w:szCs w:val="18"/>
          <w:color w:val="auto"/>
        </w:rPr>
        <w:t>566—</w:t>
      </w:r>
    </w:p>
    <w:p>
      <w:pPr>
        <w:spacing w:after="0" w:line="21" w:lineRule="exact"/>
        <w:rPr>
          <w:sz w:val="20"/>
          <w:szCs w:val="20"/>
          <w:color w:val="auto"/>
        </w:rPr>
      </w:pPr>
    </w:p>
    <w:p>
      <w:pPr>
        <w:jc w:val="both"/>
        <w:ind w:left="236"/>
        <w:spacing w:after="0"/>
        <w:tabs>
          <w:tab w:leader="none" w:pos="1395" w:val="left"/>
        </w:tabs>
        <w:rPr>
          <w:sz w:val="20"/>
          <w:szCs w:val="20"/>
          <w:color w:val="auto"/>
        </w:rPr>
      </w:pPr>
      <w:r>
        <w:rPr>
          <w:rFonts w:ascii="Times New Roman" w:cs="Times New Roman" w:eastAsia="Times New Roman" w:hAnsi="Times New Roman"/>
          <w:sz w:val="18"/>
          <w:szCs w:val="18"/>
          <w:color w:val="auto"/>
        </w:rPr>
        <w:t>(290,181)</w:t>
      </w:r>
      <w:r>
        <w:rPr>
          <w:sz w:val="20"/>
          <w:szCs w:val="20"/>
          <w:color w:val="auto"/>
        </w:rPr>
        <w:tab/>
      </w:r>
      <w:r>
        <w:rPr>
          <w:rFonts w:ascii="Times New Roman" w:cs="Times New Roman" w:eastAsia="Times New Roman" w:hAnsi="Times New Roman"/>
          <w:sz w:val="18"/>
          <w:szCs w:val="18"/>
          <w:color w:val="auto"/>
        </w:rPr>
        <w:t>(91,167)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294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73" w:lineRule="exact"/>
        <w:rPr>
          <w:sz w:val="20"/>
          <w:szCs w:val="20"/>
          <w:color w:val="auto"/>
        </w:rPr>
      </w:pPr>
    </w:p>
    <w:p>
      <w:pPr>
        <w:ind w:left="176"/>
        <w:spacing w:after="0"/>
        <w:tabs>
          <w:tab w:leader="none" w:pos="1255" w:val="left"/>
        </w:tabs>
        <w:rPr>
          <w:sz w:val="20"/>
          <w:szCs w:val="20"/>
          <w:color w:val="auto"/>
        </w:rPr>
      </w:pPr>
      <w:r>
        <w:rPr>
          <w:rFonts w:ascii="Times New Roman" w:cs="Times New Roman" w:eastAsia="Times New Roman" w:hAnsi="Times New Roman"/>
          <w:sz w:val="18"/>
          <w:szCs w:val="18"/>
          <w:color w:val="auto"/>
        </w:rPr>
        <w:t>4,726,000</w:t>
      </w:r>
      <w:r>
        <w:rPr>
          <w:sz w:val="20"/>
          <w:szCs w:val="20"/>
          <w:color w:val="auto"/>
        </w:rPr>
        <w:tab/>
      </w:r>
      <w:r>
        <w:rPr>
          <w:rFonts w:ascii="Times New Roman" w:cs="Times New Roman" w:eastAsia="Times New Roman" w:hAnsi="Times New Roman"/>
          <w:sz w:val="18"/>
          <w:szCs w:val="18"/>
          <w:color w:val="auto"/>
        </w:rPr>
        <w:t>3,433,500</w:t>
      </w:r>
    </w:p>
    <w:p>
      <w:pPr>
        <w:spacing w:after="0" w:line="27" w:lineRule="exact"/>
        <w:rPr>
          <w:sz w:val="20"/>
          <w:szCs w:val="20"/>
          <w:color w:val="auto"/>
        </w:rPr>
      </w:pPr>
    </w:p>
    <w:p>
      <w:pPr>
        <w:ind w:left="96"/>
        <w:spacing w:after="0"/>
        <w:tabs>
          <w:tab w:leader="none" w:pos="1175" w:val="left"/>
        </w:tabs>
        <w:rPr>
          <w:sz w:val="20"/>
          <w:szCs w:val="20"/>
          <w:color w:val="auto"/>
        </w:rPr>
      </w:pPr>
      <w:r>
        <w:rPr>
          <w:rFonts w:ascii="Times New Roman" w:cs="Times New Roman" w:eastAsia="Times New Roman" w:hAnsi="Times New Roman"/>
          <w:sz w:val="18"/>
          <w:szCs w:val="18"/>
          <w:color w:val="auto"/>
        </w:rPr>
        <w:t>(4,431,000)</w:t>
        <w:tab/>
        <w:t>(3,349,000)</w:t>
      </w:r>
    </w:p>
    <w:p>
      <w:pPr>
        <w:spacing w:after="0" w:line="9" w:lineRule="exact"/>
        <w:rPr>
          <w:sz w:val="20"/>
          <w:szCs w:val="20"/>
          <w:color w:val="auto"/>
        </w:rPr>
      </w:pPr>
    </w:p>
    <w:p>
      <w:pPr>
        <w:ind w:left="396"/>
        <w:spacing w:after="0"/>
        <w:tabs>
          <w:tab w:leader="none" w:pos="1575" w:val="left"/>
        </w:tabs>
        <w:rPr>
          <w:sz w:val="20"/>
          <w:szCs w:val="20"/>
          <w:color w:val="auto"/>
        </w:rPr>
      </w:pPr>
      <w:r>
        <w:rPr>
          <w:rFonts w:ascii="Times New Roman" w:cs="Times New Roman" w:eastAsia="Times New Roman" w:hAnsi="Times New Roman"/>
          <w:sz w:val="18"/>
          <w:szCs w:val="18"/>
          <w:color w:val="auto"/>
        </w:rPr>
        <w:t>12,086</w:t>
      </w:r>
      <w:r>
        <w:rPr>
          <w:sz w:val="20"/>
          <w:szCs w:val="20"/>
          <w:color w:val="auto"/>
        </w:rPr>
        <w:tab/>
      </w:r>
      <w:r>
        <w:rPr>
          <w:rFonts w:ascii="Times New Roman" w:cs="Times New Roman" w:eastAsia="Times New Roman" w:hAnsi="Times New Roman"/>
          <w:sz w:val="18"/>
          <w:szCs w:val="18"/>
          <w:color w:val="auto"/>
        </w:rPr>
        <w:t>3,393</w:t>
      </w:r>
    </w:p>
    <w:p>
      <w:pPr>
        <w:spacing w:after="0" w:line="9" w:lineRule="exact"/>
        <w:rPr>
          <w:sz w:val="20"/>
          <w:szCs w:val="20"/>
          <w:color w:val="auto"/>
        </w:rPr>
      </w:pPr>
    </w:p>
    <w:p>
      <w:pPr>
        <w:jc w:val="both"/>
        <w:ind w:left="336"/>
        <w:spacing w:after="0"/>
        <w:tabs>
          <w:tab w:leader="none" w:pos="1395" w:val="left"/>
        </w:tabs>
        <w:rPr>
          <w:sz w:val="20"/>
          <w:szCs w:val="20"/>
          <w:color w:val="auto"/>
        </w:rPr>
      </w:pPr>
      <w:r>
        <w:rPr>
          <w:rFonts w:ascii="Times New Roman" w:cs="Times New Roman" w:eastAsia="Times New Roman" w:hAnsi="Times New Roman"/>
          <w:sz w:val="18"/>
          <w:szCs w:val="18"/>
          <w:color w:val="auto"/>
        </w:rPr>
        <w:t>(24,509)</w:t>
      </w:r>
      <w:r>
        <w:rPr>
          <w:sz w:val="20"/>
          <w:szCs w:val="20"/>
          <w:color w:val="auto"/>
        </w:rPr>
        <w:tab/>
      </w:r>
      <w:r>
        <w:rPr>
          <w:rFonts w:ascii="Times New Roman" w:cs="Times New Roman" w:eastAsia="Times New Roman" w:hAnsi="Times New Roman"/>
          <w:sz w:val="18"/>
          <w:szCs w:val="18"/>
          <w:color w:val="auto"/>
        </w:rPr>
        <w:t>(12,713)</w:t>
      </w:r>
    </w:p>
    <w:p>
      <w:pPr>
        <w:spacing w:after="0" w:line="9" w:lineRule="exact"/>
        <w:rPr>
          <w:sz w:val="20"/>
          <w:szCs w:val="20"/>
          <w:color w:val="auto"/>
        </w:rPr>
      </w:pPr>
    </w:p>
    <w:p>
      <w:pPr>
        <w:jc w:val="both"/>
        <w:ind w:left="416"/>
        <w:spacing w:after="0"/>
        <w:tabs>
          <w:tab w:leader="none" w:pos="1495" w:val="left"/>
        </w:tabs>
        <w:rPr>
          <w:sz w:val="20"/>
          <w:szCs w:val="20"/>
          <w:color w:val="auto"/>
        </w:rPr>
      </w:pPr>
      <w:r>
        <w:rPr>
          <w:rFonts w:ascii="Times New Roman" w:cs="Times New Roman" w:eastAsia="Times New Roman" w:hAnsi="Times New Roman"/>
          <w:sz w:val="18"/>
          <w:szCs w:val="18"/>
          <w:color w:val="auto"/>
        </w:rPr>
        <w:t>(7,948)</w:t>
      </w:r>
      <w:r>
        <w:rPr>
          <w:sz w:val="20"/>
          <w:szCs w:val="20"/>
          <w:color w:val="auto"/>
        </w:rPr>
        <w:tab/>
      </w:r>
      <w:r>
        <w:rPr>
          <w:rFonts w:ascii="Times New Roman" w:cs="Times New Roman" w:eastAsia="Times New Roman" w:hAnsi="Times New Roman"/>
          <w:sz w:val="18"/>
          <w:szCs w:val="18"/>
          <w:color w:val="auto"/>
        </w:rPr>
        <w:t>(8,020)</w:t>
      </w:r>
    </w:p>
    <w:p>
      <w:pPr>
        <w:spacing w:after="0" w:line="9"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18"/>
          <w:szCs w:val="18"/>
          <w:color w:val="auto"/>
        </w:rPr>
        <w:t>—10,019</w:t>
      </w:r>
    </w:p>
    <w:p>
      <w:pPr>
        <w:spacing w:after="0" w:line="11" w:lineRule="exact"/>
        <w:rPr>
          <w:sz w:val="20"/>
          <w:szCs w:val="20"/>
          <w:color w:val="auto"/>
        </w:rPr>
      </w:pPr>
    </w:p>
    <w:p>
      <w:pPr>
        <w:ind w:left="1416" w:hanging="860"/>
        <w:spacing w:after="0"/>
        <w:tabs>
          <w:tab w:leader="none" w:pos="14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(14,497)</w:t>
      </w:r>
    </w:p>
    <w:p>
      <w:pPr>
        <w:spacing w:after="0" w:line="7" w:lineRule="exact"/>
        <w:rPr>
          <w:sz w:val="20"/>
          <w:szCs w:val="20"/>
          <w:color w:val="auto"/>
        </w:rPr>
      </w:pPr>
    </w:p>
    <w:p>
      <w:pPr>
        <w:jc w:val="both"/>
        <w:ind w:left="416"/>
        <w:spacing w:after="0"/>
        <w:tabs>
          <w:tab w:leader="none" w:pos="1395" w:val="left"/>
        </w:tabs>
        <w:rPr>
          <w:sz w:val="20"/>
          <w:szCs w:val="20"/>
          <w:color w:val="auto"/>
        </w:rPr>
      </w:pPr>
      <w:r>
        <w:rPr>
          <w:rFonts w:ascii="Times New Roman" w:cs="Times New Roman" w:eastAsia="Times New Roman" w:hAnsi="Times New Roman"/>
          <w:sz w:val="18"/>
          <w:szCs w:val="18"/>
          <w:color w:val="auto"/>
        </w:rPr>
        <w:t>(9,999)</w:t>
      </w:r>
      <w:r>
        <w:rPr>
          <w:sz w:val="20"/>
          <w:szCs w:val="20"/>
          <w:color w:val="auto"/>
        </w:rPr>
        <w:tab/>
      </w:r>
      <w:r>
        <w:rPr>
          <w:rFonts w:ascii="Times New Roman" w:cs="Times New Roman" w:eastAsia="Times New Roman" w:hAnsi="Times New Roman"/>
          <w:sz w:val="18"/>
          <w:szCs w:val="18"/>
          <w:color w:val="auto"/>
        </w:rPr>
        <w:t>(20,000)</w:t>
      </w:r>
    </w:p>
    <w:p>
      <w:pPr>
        <w:spacing w:after="0" w:line="153" w:lineRule="exact"/>
        <w:rPr>
          <w:sz w:val="20"/>
          <w:szCs w:val="20"/>
          <w:color w:val="auto"/>
        </w:rPr>
      </w:pPr>
    </w:p>
    <w:p>
      <w:pPr>
        <w:ind w:left="71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2,692</w:t>
      </w:r>
    </w:p>
    <w:p>
      <w:pPr>
        <w:spacing w:after="0" w:line="171" w:lineRule="exact"/>
        <w:rPr>
          <w:sz w:val="20"/>
          <w:szCs w:val="20"/>
          <w:color w:val="auto"/>
        </w:rPr>
      </w:pPr>
    </w:p>
    <w:p>
      <w:pPr>
        <w:ind w:left="416"/>
        <w:spacing w:after="0"/>
        <w:rPr>
          <w:sz w:val="20"/>
          <w:szCs w:val="20"/>
          <w:color w:val="auto"/>
        </w:rPr>
      </w:pPr>
      <w:r>
        <w:rPr>
          <w:rFonts w:ascii="Times New Roman" w:cs="Times New Roman" w:eastAsia="Times New Roman" w:hAnsi="Times New Roman"/>
          <w:sz w:val="18"/>
          <w:szCs w:val="18"/>
          <w:color w:val="auto"/>
        </w:rPr>
        <w:t>(4,458)</w:t>
      </w:r>
      <w:r>
        <w:rPr>
          <w:rFonts w:ascii="Times New Roman" w:cs="Times New Roman" w:eastAsia="Times New Roman" w:hAnsi="Times New Roman"/>
          <w:sz w:val="17"/>
          <w:szCs w:val="17"/>
          <w:color w:val="auto"/>
        </w:rPr>
        <w:t>(6,645)</w:t>
      </w:r>
    </w:p>
    <w:p>
      <w:pPr>
        <w:spacing w:after="0" w:line="25" w:lineRule="exact"/>
        <w:rPr>
          <w:sz w:val="20"/>
          <w:szCs w:val="20"/>
          <w:color w:val="auto"/>
        </w:rPr>
      </w:pPr>
    </w:p>
    <w:p>
      <w:pPr>
        <w:sectPr>
          <w:pgSz w:w="11900" w:h="16838" w:orient="portrait"/>
          <w:cols w:equalWidth="0" w:num="2">
            <w:col w:w="6760" w:space="124"/>
            <w:col w:w="2135"/>
          </w:cols>
          <w:pgMar w:left="1440" w:top="121" w:right="1440" w:bottom="1440" w:gutter="0" w:footer="0" w:header="0"/>
          <w:type w:val="continuous"/>
        </w:sectPr>
      </w:pPr>
    </w:p>
    <w:tbl>
      <w:tblPr>
        <w:tblLayout w:type="fixed"/>
        <w:tblInd w:w="100" w:type="dxa"/>
        <w:tblCellMar>
          <w:top w:w="0" w:type="dxa"/>
          <w:left w:w="0" w:type="dxa"/>
          <w:bottom w:w="0" w:type="dxa"/>
          <w:right w:w="0" w:type="dxa"/>
        </w:tblCellMar>
      </w:tblPr>
      <w:tr>
        <w:trPr>
          <w:trHeight w:val="212"/>
        </w:trPr>
        <w:tc>
          <w:tcPr>
            <w:tcW w:w="67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259,930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38,729</w:t>
            </w:r>
          </w:p>
        </w:tc>
      </w:tr>
      <w:tr>
        <w:trPr>
          <w:trHeight w:val="210"/>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160,483</w:t>
            </w:r>
          </w:p>
        </w:tc>
      </w:tr>
      <w:tr>
        <w:trPr>
          <w:trHeight w:val="216"/>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as of beginning of period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292,061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172,740</w:t>
            </w:r>
          </w:p>
        </w:tc>
      </w:tr>
      <w:tr>
        <w:trPr>
          <w:trHeight w:val="217"/>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end of period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388,544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333,223</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7" w:name="page8"/>
    <w:bookmarkEnd w:id="7"/>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p>
      <w:pPr>
        <w:spacing w:after="0" w:line="229" w:lineRule="exact"/>
        <w:rPr>
          <w:sz w:val="20"/>
          <w:szCs w:val="20"/>
          <w:color w:val="auto"/>
        </w:rPr>
      </w:pPr>
    </w:p>
    <w:p>
      <w:pPr>
        <w:ind w:left="100" w:right="839" w:firstLine="247"/>
        <w:spacing w:after="0" w:line="282" w:lineRule="auto"/>
        <w:rPr>
          <w:sz w:val="20"/>
          <w:szCs w:val="20"/>
          <w:color w:val="auto"/>
        </w:rPr>
      </w:pPr>
      <w:r>
        <w:rPr>
          <w:rFonts w:ascii="Times New Roman" w:cs="Times New Roman" w:eastAsia="Times New Roman" w:hAnsi="Times New Roman"/>
          <w:sz w:val="18"/>
          <w:szCs w:val="18"/>
          <w:color w:val="auto"/>
        </w:rPr>
        <w:t>Cash dividends declared, but not yet paid, were $2.6 million as of September 30, 2014 and $2.7 million as of September 30, 2013.</w:t>
      </w:r>
    </w:p>
    <w:p>
      <w:pPr>
        <w:spacing w:after="0" w:line="162" w:lineRule="exact"/>
        <w:rPr>
          <w:sz w:val="20"/>
          <w:szCs w:val="20"/>
          <w:color w:val="auto"/>
        </w:rPr>
      </w:pPr>
    </w:p>
    <w:p>
      <w:pPr>
        <w:ind w:left="100" w:right="99" w:firstLine="247"/>
        <w:spacing w:after="0" w:line="282" w:lineRule="auto"/>
        <w:rPr>
          <w:sz w:val="20"/>
          <w:szCs w:val="20"/>
          <w:color w:val="auto"/>
        </w:rPr>
      </w:pPr>
      <w:r>
        <w:rPr>
          <w:rFonts w:ascii="Times New Roman" w:cs="Times New Roman" w:eastAsia="Times New Roman" w:hAnsi="Times New Roman"/>
          <w:sz w:val="18"/>
          <w:szCs w:val="18"/>
          <w:color w:val="auto"/>
        </w:rPr>
        <w:t>As of September 30, 2013, we had accrued capital expenditures totaling $2.8 million, which were recorded in accounts payable.</w:t>
      </w:r>
    </w:p>
    <w:p>
      <w:pPr>
        <w:spacing w:after="0" w:line="162" w:lineRule="exact"/>
        <w:rPr>
          <w:sz w:val="20"/>
          <w:szCs w:val="20"/>
          <w:color w:val="auto"/>
        </w:rPr>
      </w:pPr>
    </w:p>
    <w:p>
      <w:pPr>
        <w:ind w:left="100" w:right="759" w:firstLine="252"/>
        <w:spacing w:after="0" w:line="282" w:lineRule="auto"/>
        <w:rPr>
          <w:sz w:val="20"/>
          <w:szCs w:val="20"/>
          <w:color w:val="auto"/>
        </w:rPr>
      </w:pPr>
      <w:r>
        <w:rPr>
          <w:rFonts w:ascii="Times New Roman" w:cs="Times New Roman" w:eastAsia="Times New Roman" w:hAnsi="Times New Roman"/>
          <w:sz w:val="18"/>
          <w:szCs w:val="18"/>
          <w:color w:val="auto"/>
        </w:rPr>
        <w:t>In connection with our acquisitions, the following table presents the assets acquired, net of cash and liabilities assumed (in thousands):</w:t>
      </w: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9"/>
        </w:trPr>
        <w:tc>
          <w:tcPr>
            <w:tcW w:w="4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448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2013</w:t>
            </w:r>
          </w:p>
        </w:tc>
      </w:tr>
      <w:tr>
        <w:trPr>
          <w:trHeight w:val="217"/>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 acquired, net of cash</w:t>
            </w:r>
          </w:p>
        </w:tc>
        <w:tc>
          <w:tcPr>
            <w:tcW w:w="2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542,143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54,998</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assumed</w:t>
            </w:r>
          </w:p>
        </w:tc>
        <w:tc>
          <w:tcPr>
            <w:tcW w:w="27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317,932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30,286</w:t>
            </w:r>
          </w:p>
        </w:tc>
      </w:tr>
      <w:tr>
        <w:trPr>
          <w:trHeight w:val="27"/>
        </w:trPr>
        <w:tc>
          <w:tcPr>
            <w:tcW w:w="448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100" w:right="179" w:firstLine="252"/>
        <w:spacing w:after="0" w:line="261" w:lineRule="auto"/>
        <w:rPr>
          <w:sz w:val="20"/>
          <w:szCs w:val="20"/>
          <w:color w:val="auto"/>
        </w:rPr>
      </w:pPr>
      <w:r>
        <w:rPr>
          <w:rFonts w:ascii="Times New Roman" w:cs="Times New Roman" w:eastAsia="Times New Roman" w:hAnsi="Times New Roman"/>
          <w:sz w:val="18"/>
          <w:szCs w:val="18"/>
          <w:color w:val="auto"/>
        </w:rPr>
        <w:t>In connection with our acquisitions during the nine months ended September 30, 2014, we issued $9.0 million of promissory notes. In connection with our acquisitions during the nine months ended September 30, 2013, we issued $3.0 million of promissory notes and recorded an amount payable to sellers related to a purchase price adjustment of $2.0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0" w:lineRule="exact"/>
        <w:rPr>
          <w:sz w:val="20"/>
          <w:szCs w:val="20"/>
          <w:color w:val="auto"/>
        </w:rPr>
      </w:pPr>
    </w:p>
    <w:p>
      <w:pPr>
        <w:ind w:left="420" w:right="4899" w:hanging="315"/>
        <w:spacing w:after="0" w:line="407" w:lineRule="auto"/>
        <w:tabs>
          <w:tab w:leader="none" w:pos="40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Significant Accounting Policies Acquisitions</w:t>
      </w: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2014 Acquisitions</w:t>
      </w:r>
    </w:p>
    <w:p>
      <w:pPr>
        <w:spacing w:after="0" w:line="148" w:lineRule="exact"/>
        <w:rPr>
          <w:sz w:val="20"/>
          <w:szCs w:val="20"/>
          <w:color w:val="auto"/>
        </w:rPr>
      </w:pPr>
    </w:p>
    <w:p>
      <w:pPr>
        <w:ind w:left="100" w:right="119" w:firstLine="324"/>
        <w:spacing w:after="0" w:line="226" w:lineRule="auto"/>
        <w:rPr>
          <w:sz w:val="20"/>
          <w:szCs w:val="20"/>
          <w:color w:val="auto"/>
        </w:rPr>
      </w:pPr>
      <w:r>
        <w:rPr>
          <w:rFonts w:ascii="Times New Roman" w:cs="Times New Roman" w:eastAsia="Times New Roman" w:hAnsi="Times New Roman"/>
          <w:sz w:val="18"/>
          <w:szCs w:val="18"/>
          <w:color w:val="auto"/>
        </w:rPr>
        <w:t>On July 29, 2014, we completed the acquisition of all of the outstanding stock of Colt International, L.L.C. (“Colt”) a leading provider of contract fuel and international trip planning services in the general aviation marketplace. Colt is headquartered in Houston, Texas and offers services at more than 3,000 locations.</w:t>
      </w:r>
    </w:p>
    <w:p>
      <w:pPr>
        <w:spacing w:after="0" w:line="118" w:lineRule="exact"/>
        <w:rPr>
          <w:sz w:val="20"/>
          <w:szCs w:val="20"/>
          <w:color w:val="auto"/>
        </w:rPr>
      </w:pPr>
    </w:p>
    <w:p>
      <w:pPr>
        <w:ind w:left="100" w:right="559" w:firstLine="324"/>
        <w:spacing w:after="0" w:line="220" w:lineRule="auto"/>
        <w:rPr>
          <w:sz w:val="20"/>
          <w:szCs w:val="20"/>
          <w:color w:val="auto"/>
        </w:rPr>
      </w:pPr>
      <w:r>
        <w:rPr>
          <w:rFonts w:ascii="Times New Roman" w:cs="Times New Roman" w:eastAsia="Times New Roman" w:hAnsi="Times New Roman"/>
          <w:sz w:val="18"/>
          <w:szCs w:val="18"/>
          <w:color w:val="auto"/>
        </w:rPr>
        <w:t>On March 7, 2014, we completed the acquisition of all of the outstanding stock of Watson Petroleum Limited (“Watson Petroleum”) a leading distributor of gasoline, diesel, heating oil, lubricants and other products and related services. Watson Petroleum is headquartered in Brinkworth, England and is one of the largest fuel distributors in the United Kingdom.</w:t>
      </w:r>
    </w:p>
    <w:p>
      <w:pPr>
        <w:spacing w:after="0" w:line="119" w:lineRule="exact"/>
        <w:rPr>
          <w:sz w:val="20"/>
          <w:szCs w:val="20"/>
          <w:color w:val="auto"/>
        </w:rPr>
      </w:pPr>
    </w:p>
    <w:p>
      <w:pPr>
        <w:ind w:left="100" w:right="279" w:firstLine="324"/>
        <w:spacing w:after="0" w:line="237" w:lineRule="auto"/>
        <w:rPr>
          <w:sz w:val="20"/>
          <w:szCs w:val="20"/>
          <w:color w:val="auto"/>
        </w:rPr>
      </w:pPr>
      <w:r>
        <w:rPr>
          <w:rFonts w:ascii="Times New Roman" w:cs="Times New Roman" w:eastAsia="Times New Roman" w:hAnsi="Times New Roman"/>
          <w:sz w:val="18"/>
          <w:szCs w:val="18"/>
          <w:color w:val="auto"/>
        </w:rPr>
        <w:t>In addition to the above acquisitions, in June 2014, we completed an acquisition in our aviation segment which was not significant.</w:t>
      </w:r>
    </w:p>
    <w:p>
      <w:pPr>
        <w:spacing w:after="0" w:line="118" w:lineRule="exact"/>
        <w:rPr>
          <w:sz w:val="20"/>
          <w:szCs w:val="20"/>
          <w:color w:val="auto"/>
        </w:rPr>
      </w:pPr>
    </w:p>
    <w:p>
      <w:pPr>
        <w:jc w:val="both"/>
        <w:ind w:left="100" w:right="159" w:firstLine="324"/>
        <w:spacing w:after="0" w:line="226" w:lineRule="auto"/>
        <w:rPr>
          <w:sz w:val="20"/>
          <w:szCs w:val="20"/>
          <w:color w:val="auto"/>
        </w:rPr>
      </w:pPr>
      <w:r>
        <w:rPr>
          <w:rFonts w:ascii="Times New Roman" w:cs="Times New Roman" w:eastAsia="Times New Roman" w:hAnsi="Times New Roman"/>
          <w:sz w:val="18"/>
          <w:szCs w:val="18"/>
          <w:color w:val="auto"/>
        </w:rPr>
        <w:t>The estimated aggregate purchase price for the 2014 acquisitions was $238.5 million, and is subject to change based on the final value of the net assets acquired. The following reconciles the estimated aggregate purchase price for the 2014 acquisitions to the cash paid for the acquisitions, net of cash acquired (in thousands):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purchase price</w:t>
            </w:r>
          </w:p>
        </w:tc>
        <w:tc>
          <w:tcPr>
            <w:tcW w:w="480" w:type="dxa"/>
            <w:vAlign w:val="bottom"/>
            <w:gridSpan w:val="2"/>
            <w:shd w:val="clear" w:color="auto" w:fill="CCEEFF"/>
          </w:tcPr>
          <w:p>
            <w:pPr>
              <w:jc w:val="right"/>
              <w:ind w:right="34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238,523</w:t>
            </w: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Cash acquired</w:t>
            </w: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16,167</w:t>
            </w: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purchase price, net of cash acquired</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222,356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Promissory notes issued</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due to sellers</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1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acquisition of businesses</w:t>
            </w: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212,567</w:t>
            </w:r>
          </w:p>
        </w:tc>
      </w:tr>
    </w:tbl>
    <w:p>
      <w:pPr>
        <w:spacing w:after="0" w:line="198" w:lineRule="exact"/>
        <w:rPr>
          <w:sz w:val="20"/>
          <w:szCs w:val="20"/>
          <w:color w:val="auto"/>
        </w:rPr>
      </w:pPr>
    </w:p>
    <w:p>
      <w:pPr>
        <w:jc w:val="both"/>
        <w:ind w:left="100" w:right="299" w:firstLine="324"/>
        <w:spacing w:after="0" w:line="261" w:lineRule="auto"/>
        <w:rPr>
          <w:sz w:val="20"/>
          <w:szCs w:val="20"/>
          <w:color w:val="auto"/>
        </w:rPr>
      </w:pPr>
      <w:r>
        <w:rPr>
          <w:rFonts w:ascii="Times New Roman" w:cs="Times New Roman" w:eastAsia="Times New Roman" w:hAnsi="Times New Roman"/>
          <w:sz w:val="18"/>
          <w:szCs w:val="18"/>
          <w:color w:val="auto"/>
        </w:rPr>
        <w:t>The estimated purchase price of the 2014 acquisitions was allocated to the assets acquired and liabilities assumed based on their estimated fair value as of the acquisition date. Since the valuations of the assets acquired and liabilities assumed in connection with the 2014 acquisitions have not been finalized, the allocation of the purchase price of these acquisitions may change. The estimated purchase price allocation for the 2014 acquisitions is as follows (in thousands):</w:t>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Initial noncontrolling interest upon acquisition of joint venture</w:t>
            </w:r>
          </w:p>
        </w:tc>
        <w:tc>
          <w:tcPr>
            <w:tcW w:w="1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purchase price</w:t>
            </w:r>
          </w:p>
        </w:tc>
        <w:tc>
          <w:tcPr>
            <w:tcW w:w="15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60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7</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60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2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 w:right="159" w:firstLine="324"/>
        <w:spacing w:after="0" w:line="261" w:lineRule="auto"/>
        <w:rPr>
          <w:sz w:val="20"/>
          <w:szCs w:val="20"/>
          <w:color w:val="auto"/>
        </w:rPr>
      </w:pPr>
      <w:r>
        <w:rPr>
          <w:rFonts w:ascii="Times New Roman" w:cs="Times New Roman" w:eastAsia="Times New Roman" w:hAnsi="Times New Roman"/>
          <w:sz w:val="18"/>
          <w:szCs w:val="18"/>
          <w:color w:val="auto"/>
        </w:rPr>
        <w:t>Upon the completion of the acquisition of Watson Petroleum, we made a payment of £13.0 million ($21.7 million) to an escrow account related to an assumed obligation. As of September 30, 2014, the escrow account balance and corresponding assumed obligation of £13.0 million ($21.1 million) are included in other current assets and accrued expenses and other current liabilities, respectively, in the accompanying consolidated balance sheets.</w:t>
      </w:r>
    </w:p>
    <w:p>
      <w:pPr>
        <w:spacing w:after="0" w:line="180" w:lineRule="exact"/>
        <w:rPr>
          <w:sz w:val="20"/>
          <w:szCs w:val="20"/>
          <w:color w:val="auto"/>
        </w:rPr>
      </w:pPr>
    </w:p>
    <w:p>
      <w:pPr>
        <w:ind w:left="100" w:right="43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2014 acquisitions, we recorded goodwill of $127.0 million of which $20.5 million is anticipated to be deductible for tax purposes. The identifiable intangible assets consisted of $51.9 million of customer relationships and $3.3 million of other identifiable intangible assets with weighted average lives of 4.2 years and 2.5 years, respectively, as well as $5.8 million of indefinite-lived trademark/trade name rights.</w:t>
      </w:r>
    </w:p>
    <w:p>
      <w:pPr>
        <w:spacing w:after="0" w:line="180" w:lineRule="exact"/>
        <w:rPr>
          <w:sz w:val="20"/>
          <w:szCs w:val="20"/>
          <w:color w:val="auto"/>
        </w:rPr>
      </w:pPr>
    </w:p>
    <w:p>
      <w:pPr>
        <w:ind w:left="100" w:right="65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unaudited pro forma results for 2014 and 2013 as if the 2014 acquisitions had been completed on January 1, 2013 (in thousands, except per share data):</w:t>
      </w:r>
    </w:p>
    <w:p>
      <w:pPr>
        <w:spacing w:after="0" w:line="34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13"/>
        </w:trPr>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3"/>
        </w:trPr>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9"/>
        </w:trPr>
        <w:tc>
          <w:tcPr>
            <w:tcW w:w="3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11,748,457</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11,127,729</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34,289,238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33,031,887</w:t>
            </w:r>
          </w:p>
        </w:tc>
      </w:tr>
      <w:tr>
        <w:trPr>
          <w:trHeight w:val="216"/>
        </w:trPr>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World Fuel</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51,786</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160,417</w:t>
            </w:r>
          </w:p>
        </w:tc>
      </w:tr>
      <w:tr>
        <w:trPr>
          <w:trHeight w:val="216"/>
        </w:trPr>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3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4"/>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bl>
    <w:p>
      <w:pPr>
        <w:spacing w:after="0" w:line="179" w:lineRule="exact"/>
        <w:rPr>
          <w:sz w:val="20"/>
          <w:szCs w:val="20"/>
          <w:color w:val="auto"/>
        </w:rPr>
      </w:pPr>
    </w:p>
    <w:p>
      <w:pPr>
        <w:ind w:left="100" w:right="499" w:firstLine="324"/>
        <w:spacing w:after="0" w:line="266" w:lineRule="auto"/>
        <w:rPr>
          <w:sz w:val="20"/>
          <w:szCs w:val="20"/>
          <w:color w:val="auto"/>
        </w:rPr>
      </w:pPr>
      <w:r>
        <w:rPr>
          <w:rFonts w:ascii="Times New Roman" w:cs="Times New Roman" w:eastAsia="Times New Roman" w:hAnsi="Times New Roman"/>
          <w:sz w:val="18"/>
          <w:szCs w:val="18"/>
          <w:color w:val="auto"/>
        </w:rPr>
        <w:t>The financial position, results of operations and cash flows of the 2014 acquisitions have been included in our consolidated financial statements since their respective acquisition dates and did not have a significant impact on our results for the three and nine months ended September 30, 2014.</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left="100" w:right="239" w:firstLine="324"/>
        <w:spacing w:after="0" w:line="235" w:lineRule="exact"/>
        <w:rPr>
          <w:sz w:val="20"/>
          <w:szCs w:val="20"/>
          <w:color w:val="auto"/>
        </w:rPr>
      </w:pPr>
      <w:r>
        <w:rPr>
          <w:rFonts w:ascii="Times New Roman" w:cs="Times New Roman" w:eastAsia="Times New Roman" w:hAnsi="Times New Roman"/>
          <w:sz w:val="18"/>
          <w:szCs w:val="18"/>
          <w:color w:val="auto"/>
        </w:rPr>
        <w:t>Except as updated below, the significant accounting policies we use for quarterly financial reporting are the same as those disclosed in Note 1 of the “Notes to the Consolidated Financial Statements” included in our 2013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Report.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100" w:right="199" w:firstLine="324"/>
        <w:spacing w:after="0" w:line="256" w:lineRule="auto"/>
        <w:rPr>
          <w:sz w:val="20"/>
          <w:szCs w:val="20"/>
          <w:color w:val="auto"/>
        </w:rPr>
      </w:pPr>
      <w:r>
        <w:rPr>
          <w:rFonts w:ascii="Times New Roman" w:cs="Times New Roman" w:eastAsia="Times New Roman" w:hAnsi="Times New Roman"/>
          <w:sz w:val="18"/>
          <w:szCs w:val="18"/>
          <w:color w:val="auto"/>
        </w:rPr>
        <w:t>During the first nine months of 2014, we recorded goodwill of $100.4 million in our land segment and goodwill of $26.6 million in our aviation segment in connection with the 2014 acquisitions and we increased land segment goodwill by $0.4 million as a result of a reduction in identifiable intangible assets based on our ongoing fair value assessment of certain of our 2013 acquisitions. Additionally, we had goodwill decreases of $0.7 million, $0.3 million and $0.1 million as a result of foreign currency translation adjustments of our non-U.S. dollar functional currency subsidiaries in our land, marine and aviation segments, respectively.</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Other Investments</w:t>
      </w:r>
    </w:p>
    <w:p>
      <w:pPr>
        <w:spacing w:after="0" w:line="229" w:lineRule="exact"/>
        <w:rPr>
          <w:sz w:val="20"/>
          <w:szCs w:val="20"/>
          <w:color w:val="auto"/>
        </w:rPr>
      </w:pPr>
    </w:p>
    <w:p>
      <w:pPr>
        <w:ind w:left="100" w:right="6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2014 and December 31, 2013, we had other investments, consisting primarily of equity investments, net of basis adjustments, of $106.4 million and $83.8 million, respectively, which are included within identifiable intangible and other non-current assets in the accompanying consolidated balance sheets.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100" w:right="13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Presentation of Financial Statements-Going Concern: Disclosure of Uncertainties about an Entity’s Ability to Continue as a Going Concern</w:t>
      </w:r>
      <w:r>
        <w:rPr>
          <w:rFonts w:ascii="Times New Roman" w:cs="Times New Roman" w:eastAsia="Times New Roman" w:hAnsi="Times New Roman"/>
          <w:sz w:val="18"/>
          <w:szCs w:val="18"/>
          <w:color w:val="auto"/>
        </w:rPr>
        <w:t>. In August 2014, the Financial Accounting Standards Board (“FASB”) issued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Update (“ASU”) which requires management of the Company to evaluate whether there is substantial doubt about the Company’s ability to continue as a going concern. This update is effective for fiscal years, and interim periods within those years, beginning after December 15, 2016, with early adoption permitted. We do not expect the adoption of this new guidance to have an impact on our financial statement disclosures.</w:t>
      </w:r>
    </w:p>
    <w:p>
      <w:pPr>
        <w:spacing w:after="0" w:line="183" w:lineRule="exact"/>
        <w:rPr>
          <w:sz w:val="20"/>
          <w:szCs w:val="20"/>
          <w:color w:val="auto"/>
        </w:rPr>
      </w:pPr>
    </w:p>
    <w:p>
      <w:pPr>
        <w:ind w:left="100" w:right="119"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Compensation-Stock Compensation. </w:t>
      </w:r>
      <w:r>
        <w:rPr>
          <w:rFonts w:ascii="Times New Roman" w:cs="Times New Roman" w:eastAsia="Times New Roman" w:hAnsi="Times New Roman"/>
          <w:sz w:val="18"/>
          <w:szCs w:val="18"/>
          <w:color w:val="auto"/>
        </w:rPr>
        <w:t>In June 2014, the FASB issued an ASU which includes guidance which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 performance target that affects vesting and that could be achieved after the requisite service period be treated as a performance condition. This update is effective for fiscal years, and interim periods within those years, beginning after December 15, 2015. We do not believe the adoption of this new guidance will have a significant impact on our consolidated financial statements and disclosures.</w:t>
      </w:r>
    </w:p>
    <w:p>
      <w:pPr>
        <w:spacing w:after="0" w:line="85" w:lineRule="exact"/>
        <w:rPr>
          <w:sz w:val="20"/>
          <w:szCs w:val="20"/>
          <w:color w:val="auto"/>
        </w:rPr>
      </w:pPr>
    </w:p>
    <w:p>
      <w:pPr>
        <w:ind w:left="100" w:right="21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Transfers and Servicing: Repurchase-to-Maturity Transactions, Repurchase Financings, and Disclosures.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2014, the FASB issued an ASU which changes the accounting for repurchase-to-maturity transactions and repurchase financing arrangements. It also requires additional disclosures about repurchase agreements and other similar transactions. This update is effective for fiscal years, and interim periods within those years, beginning after December 15, 2014. We do not believe the adoption of this new guidance will have a significant impact on our consolidated financial statements and disclosures.</w:t>
      </w:r>
    </w:p>
    <w:p>
      <w:pPr>
        <w:spacing w:after="0" w:line="88" w:lineRule="exact"/>
        <w:rPr>
          <w:sz w:val="20"/>
          <w:szCs w:val="20"/>
          <w:color w:val="auto"/>
        </w:rPr>
      </w:pPr>
    </w:p>
    <w:p>
      <w:pPr>
        <w:ind w:left="100" w:right="239" w:firstLine="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In May 2014, the FASB issued an ASU which provides guidance for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for any entity that either enters into contracts with customers to transfer goods or services or enters into contracts for the transfer of non-financial assets. The ASU will replace most existing revenue recognition guidance in U.S. GAAP when it becomes effective. This update is effective for fiscal years, and interim periods within those years, beginning after December 15, 2016. We are currently evaluating whether the adoption of this new guidance will have a significant impact on our consolidated financial statements and disclosures.</w:t>
      </w:r>
    </w:p>
    <w:p>
      <w:pPr>
        <w:spacing w:after="0" w:line="183" w:lineRule="exact"/>
        <w:rPr>
          <w:sz w:val="20"/>
          <w:szCs w:val="20"/>
          <w:color w:val="auto"/>
        </w:rPr>
      </w:pPr>
    </w:p>
    <w:p>
      <w:pPr>
        <w:ind w:left="100" w:right="17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Presentation of Financial Statements and Property, Plant, and Equipment: Reporting Discontinued Operations and Disclosures of Disposals of Components of an Entity. </w:t>
      </w:r>
      <w:r>
        <w:rPr>
          <w:rFonts w:ascii="Times New Roman" w:cs="Times New Roman" w:eastAsia="Times New Roman" w:hAnsi="Times New Roman"/>
          <w:sz w:val="18"/>
          <w:szCs w:val="18"/>
          <w:color w:val="auto"/>
        </w:rPr>
        <w:t>In April 2014, the FASB issued an ASU which changes the criteria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reporting discontinued operations while enhancing disclosures in this area. It also addresses sources of confusion and inconsistent application related to financial reporting of discontinued operations guidance. This update is effective for fiscal years, and interim periods within those years, beginning after December 15, 2014. We do not believe the adoption of this new guidance will have a significant impact on our consolidated financial statements and disclosures.</w:t>
      </w:r>
    </w:p>
    <w:p>
      <w:pPr>
        <w:spacing w:after="0" w:line="183" w:lineRule="exact"/>
        <w:rPr>
          <w:sz w:val="20"/>
          <w:szCs w:val="20"/>
          <w:color w:val="auto"/>
        </w:rPr>
      </w:pPr>
    </w:p>
    <w:p>
      <w:pPr>
        <w:ind w:left="100" w:right="21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Presentation of an Unrecognized Tax Benefit When a Net Loss Carryforward, a Similar Tax Loss, or a Tax Credit Carryforward Exists. </w:t>
      </w:r>
      <w:r>
        <w:rPr>
          <w:rFonts w:ascii="Times New Roman" w:cs="Times New Roman" w:eastAsia="Times New Roman" w:hAnsi="Times New Roman"/>
          <w:sz w:val="18"/>
          <w:szCs w:val="18"/>
          <w:color w:val="auto"/>
        </w:rPr>
        <w:t>In July 2013, the FASB issued an ASU on the presentation of an unrecognized tax benefit when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operating loss carryforward exists. Under this guidance, an unrecognized tax benefit, or a portion of an unrecognized tax benefit, should be presented in the financial statements as a reduction to a deferred tax asset for a net operating loss carryforward. This update became effective at the beginning of our 2014 fiscal year. The adoption of this ASU did not have a significant impact on our consolidated financial statements and disclosures.</w:t>
      </w:r>
    </w:p>
    <w:p>
      <w:pPr>
        <w:spacing w:after="0" w:line="183" w:lineRule="exact"/>
        <w:rPr>
          <w:sz w:val="20"/>
          <w:szCs w:val="20"/>
          <w:color w:val="auto"/>
        </w:rPr>
      </w:pPr>
    </w:p>
    <w:p>
      <w:pPr>
        <w:ind w:left="100" w:right="19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Foreign Currency Matters Parent’s Accounting for the Cumulative Translation Adjustment upon Derecognition of Certain Foreign Subsidiaries</w:t>
      </w:r>
      <w:r>
        <w:rPr>
          <w:rFonts w:ascii="Times New Roman" w:cs="Times New Roman" w:eastAsia="Times New Roman" w:hAnsi="Times New Roman"/>
          <w:sz w:val="18"/>
          <w:szCs w:val="18"/>
          <w:color w:val="auto"/>
        </w:rPr>
        <w:t>. In March 2013, the FASB issued an ASU aimed at resolving the diversity in practice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the release of the cumulative translation adjustment into net income when a parent either sells a part or all of its investment in a foreign entity or no longer holds a controlling financial interest in a subsidiary or group of assets that is a nonprofit activity or a business within a foreign entity. In addition, the amendments in this ASU resolve the diversity in practice for the treatment of business combinations achieved in stages (sometimes also referred to as step acquisitions) involving a foreign entity. This update became effective at the beginning of our 2014 fiscal year. The adoption of this ASU did not have a significant impact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00" w:right="11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Disclosure Obligations Resulting from Joint and Several Liability Arrangements. </w:t>
      </w:r>
      <w:r>
        <w:rPr>
          <w:rFonts w:ascii="Times New Roman" w:cs="Times New Roman" w:eastAsia="Times New Roman" w:hAnsi="Times New Roman"/>
          <w:sz w:val="18"/>
          <w:szCs w:val="18"/>
          <w:color w:val="auto"/>
        </w:rPr>
        <w:t>In February 2013, the FASB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ASU clarifying the guidance for the recognition, measurement and disclosure of obligations resulting from joint and several liability arrangements for which the total amount of the obligation within the scope of this ASU is fixed at the reporting date, except for obligations addressed within existing guidance in U.S. GAAP. This update became effective at the beginning of our 2014 fiscal year. The adoption of this ASU did not have a significant impact on our consolidated financial statements and disclosures.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period’s presentation.</w:t>
      </w:r>
    </w:p>
    <w:p>
      <w:pPr>
        <w:spacing w:after="0" w:line="221" w:lineRule="exact"/>
        <w:rPr>
          <w:sz w:val="20"/>
          <w:szCs w:val="20"/>
          <w:color w:val="auto"/>
        </w:rPr>
      </w:pPr>
    </w:p>
    <w:p>
      <w:pPr>
        <w:ind w:left="10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229" w:lineRule="exact"/>
        <w:rPr>
          <w:sz w:val="20"/>
          <w:szCs w:val="20"/>
          <w:color w:val="auto"/>
        </w:rPr>
      </w:pPr>
    </w:p>
    <w:p>
      <w:pPr>
        <w:ind w:left="100" w:right="119" w:firstLine="324"/>
        <w:spacing w:after="0" w:line="253" w:lineRule="auto"/>
        <w:rPr>
          <w:sz w:val="20"/>
          <w:szCs w:val="20"/>
          <w:color w:val="auto"/>
        </w:rPr>
      </w:pPr>
      <w:r>
        <w:rPr>
          <w:rFonts w:ascii="Times New Roman" w:cs="Times New Roman" w:eastAsia="Times New Roman" w:hAnsi="Times New Roman"/>
          <w:sz w:val="18"/>
          <w:szCs w:val="18"/>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describes our derivative classifications:</w:t>
      </w:r>
    </w:p>
    <w:p>
      <w:pPr>
        <w:spacing w:after="0" w:line="223" w:lineRule="exact"/>
        <w:rPr>
          <w:sz w:val="20"/>
          <w:szCs w:val="20"/>
          <w:color w:val="auto"/>
        </w:rPr>
      </w:pPr>
    </w:p>
    <w:p>
      <w:pPr>
        <w:ind w:left="100" w:right="2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Includes certain of our foreign currency forward contracts we enter into in order to mitigate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of currency exchange rate fluctuations.</w:t>
      </w:r>
    </w:p>
    <w:p>
      <w:pPr>
        <w:spacing w:after="0" w:line="158" w:lineRule="exact"/>
        <w:rPr>
          <w:sz w:val="20"/>
          <w:szCs w:val="20"/>
          <w:color w:val="auto"/>
        </w:rPr>
      </w:pPr>
    </w:p>
    <w:p>
      <w:pPr>
        <w:ind w:left="100" w:right="2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Hedges. </w:t>
      </w:r>
      <w:r>
        <w:rPr>
          <w:rFonts w:ascii="Times New Roman" w:cs="Times New Roman" w:eastAsia="Times New Roman" w:hAnsi="Times New Roman"/>
          <w:sz w:val="18"/>
          <w:szCs w:val="18"/>
          <w:color w:val="auto"/>
        </w:rPr>
        <w:t>Includes derivatives we enter into in order to hedge price risk associated with our inventory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firm commitments relating to fixed price purchase and sale contracts.</w:t>
      </w:r>
    </w:p>
    <w:p>
      <w:pPr>
        <w:spacing w:after="0" w:line="158" w:lineRule="exact"/>
        <w:rPr>
          <w:sz w:val="20"/>
          <w:szCs w:val="20"/>
          <w:color w:val="auto"/>
        </w:rPr>
      </w:pPr>
    </w:p>
    <w:p>
      <w:pPr>
        <w:ind w:left="100" w:right="13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Non-designated Derivatives. </w:t>
      </w:r>
      <w:r>
        <w:rPr>
          <w:rFonts w:ascii="Times New Roman" w:cs="Times New Roman" w:eastAsia="Times New Roman" w:hAnsi="Times New Roman"/>
          <w:sz w:val="18"/>
          <w:szCs w:val="18"/>
          <w:color w:val="auto"/>
        </w:rPr>
        <w:t>Includes derivatives we primarily enter into in order to mitigate the risk of market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fluctuations in aviation, marine and land fuel in the form of swaps or futures as well as certain fixed price purchase and sale contracts and proprietary trading. In addition, non-designated derivatives are also entered into to hedge the risk of currency rate fluctuations.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 w:right="51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2014, our derivative instruments, at their respective fair value positions were as follows (in thousands, except weighted average fixed price and weighted average mark-to-market amount):</w:t>
      </w:r>
    </w:p>
    <w:p>
      <w:pPr>
        <w:spacing w:after="0" w:line="119"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40" w:type="dxa"/>
            <w:vAlign w:val="bottom"/>
          </w:tcPr>
          <w:p>
            <w:pPr>
              <w:spacing w:after="0"/>
              <w:rPr>
                <w:sz w:val="18"/>
                <w:szCs w:val="18"/>
                <w:color w:val="auto"/>
              </w:rPr>
            </w:pP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Mark-to-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85"/>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Settlement</w:t>
            </w: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Market</w:t>
            </w:r>
          </w:p>
        </w:tc>
        <w:tc>
          <w:tcPr>
            <w:tcW w:w="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5"/>
        </w:trPr>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Hedge Strategy</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Period</w:t>
            </w:r>
          </w:p>
        </w:tc>
        <w:tc>
          <w:tcPr>
            <w:tcW w:w="3300" w:type="dxa"/>
            <w:vAlign w:val="bottom"/>
            <w:gridSpan w:val="2"/>
          </w:tcPr>
          <w:p>
            <w:pPr>
              <w:ind w:left="980"/>
              <w:spacing w:after="0"/>
              <w:rPr>
                <w:sz w:val="20"/>
                <w:szCs w:val="20"/>
                <w:color w:val="auto"/>
              </w:rPr>
            </w:pPr>
            <w:r>
              <w:rPr>
                <w:rFonts w:ascii="Times New Roman" w:cs="Times New Roman" w:eastAsia="Times New Roman" w:hAnsi="Times New Roman"/>
                <w:sz w:val="13"/>
                <w:szCs w:val="13"/>
                <w:b w:val="1"/>
                <w:bCs w:val="1"/>
                <w:color w:val="auto"/>
              </w:rPr>
              <w:t>Derivative Instrument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120" w:type="dxa"/>
            <w:vAlign w:val="bottom"/>
          </w:tcPr>
          <w:p>
            <w:pPr>
              <w:spacing w:after="0"/>
              <w:rPr>
                <w:sz w:val="13"/>
                <w:szCs w:val="13"/>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Unit</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Fixed Price</w:t>
            </w:r>
          </w:p>
        </w:tc>
        <w:tc>
          <w:tcPr>
            <w:tcW w:w="140" w:type="dxa"/>
            <w:vAlign w:val="bottom"/>
          </w:tcPr>
          <w:p>
            <w:pPr>
              <w:spacing w:after="0"/>
              <w:rPr>
                <w:sz w:val="13"/>
                <w:szCs w:val="13"/>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6"/>
              </w:rPr>
              <w:t>Amount</w:t>
            </w:r>
          </w:p>
        </w:tc>
      </w:tr>
      <w:tr>
        <w:trPr>
          <w:trHeight w:val="210"/>
        </w:trPr>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Hedge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 for inventory hedging (long)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(2.850)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Commodity contracts for inventory hedging (short)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2.912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14,130</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 for inventory hedging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1.300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0"/>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13,382</w:t>
            </w:r>
          </w:p>
        </w:tc>
      </w:tr>
      <w:tr>
        <w:trPr>
          <w:trHeight w:val="216"/>
        </w:trPr>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Non-Designated</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Commodity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14,323</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(4.211)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(60,319)</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13,783</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5.316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73,275</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Commodity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17,690</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(1.803)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(31,900)</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12,864</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3.234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41,604</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Commodity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(3.231)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3.926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Commodity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5.909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16"/>
        </w:trPr>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14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Commodity contracts (long)</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BBL</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21,848</w:t>
            </w:r>
          </w:p>
        </w:tc>
      </w:tr>
      <w:tr>
        <w:trPr>
          <w:trHeight w:val="210"/>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10,746</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AUD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8,664</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AUD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BRL</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7,690</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CAD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36,225</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0.028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1,847,698</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CLP</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2,385,660</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CLP</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19,179,268</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COP</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22,970,683</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COP</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35,110</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DKK</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11,303</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EUR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39,442</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EUR</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84,016</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GBP</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135,006</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GBP</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8,169</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110,129</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466,074</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JPY</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735,479</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JPY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0.001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1,381,969</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MXN</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1,240,477</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MXN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0.002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23,081</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NOK</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65,802</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NOK</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0.004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5,676</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PLN</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28,950</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0.020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11,651</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SGD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19,956</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SGD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0.016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77,303</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ZAR</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117,356</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ZAR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0.004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CHF</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0.054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221,819</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KRW</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GBP</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33,150</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GBP</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0.033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r>
      <w:tr>
        <w:trPr>
          <w:trHeight w:val="216"/>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GBP</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0.028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6"/>
        </w:trPr>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GBP</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0.064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10"/>
        </w:trPr>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9,491</w:t>
            </w:r>
          </w:p>
        </w:tc>
      </w:tr>
      <w:tr>
        <w:trPr>
          <w:trHeight w:val="190"/>
        </w:trPr>
        <w:tc>
          <w:tcPr>
            <w:tcW w:w="10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31,339</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derivative instruments measured at fair value and their locations on the consolidated balance sheets (in thousands):</w:t>
      </w:r>
    </w:p>
    <w:p>
      <w:pPr>
        <w:spacing w:after="0" w:line="331"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12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6"/>
                <w:szCs w:val="16"/>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41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8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8"/>
              </w:rPr>
              <w:t>Derivative assets:</w:t>
            </w:r>
          </w:p>
        </w:tc>
        <w:tc>
          <w:tcPr>
            <w:tcW w:w="1160" w:type="dxa"/>
            <w:vAlign w:val="bottom"/>
            <w:tcBorders>
              <w:bottom w:val="single" w:sz="8" w:color="CCEEFF"/>
            </w:tcBorders>
            <w:gridSpan w:val="2"/>
            <w:shd w:val="clear" w:color="auto" w:fill="CCEEFF"/>
          </w:tcPr>
          <w:p>
            <w:pPr>
              <w:spacing w:after="0"/>
              <w:rPr>
                <w:sz w:val="16"/>
                <w:szCs w:val="16"/>
                <w:color w:val="auto"/>
              </w:rPr>
            </w:pPr>
          </w:p>
        </w:tc>
        <w:tc>
          <w:tcPr>
            <w:tcW w:w="4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90,585</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173,390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187,767</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Derivative liabilities:</w:t>
            </w:r>
          </w:p>
        </w:tc>
        <w:tc>
          <w:tcPr>
            <w:tcW w:w="4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143,046</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4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 w:right="1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effect and financial statement location of our derivative instruments and related hedged items in fair value hedging relationships on our consolidated statements of income and comprehensive income (in thousands):</w:t>
      </w:r>
    </w:p>
    <w:p>
      <w:pPr>
        <w:spacing w:after="0" w:line="34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Realized and Unrealized</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Realized and Unrealized</w:t>
            </w:r>
          </w:p>
        </w:tc>
      </w:tr>
      <w:tr>
        <w:trPr>
          <w:trHeight w:val="199"/>
        </w:trPr>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Hedged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580" w:type="dxa"/>
            <w:vAlign w:val="bottom"/>
          </w:tcPr>
          <w:p>
            <w:pPr>
              <w:spacing w:after="0"/>
              <w:rPr>
                <w:sz w:val="17"/>
                <w:szCs w:val="17"/>
                <w:color w:val="auto"/>
              </w:rPr>
            </w:pPr>
          </w:p>
        </w:tc>
      </w:tr>
      <w:tr>
        <w:trPr>
          <w:trHeight w:val="142"/>
        </w:trPr>
        <w:tc>
          <w:tcPr>
            <w:tcW w:w="154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200" w:type="dxa"/>
            <w:vAlign w:val="bottom"/>
            <w:gridSpan w:val="4"/>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Items</w:t>
            </w:r>
          </w:p>
        </w:tc>
        <w:tc>
          <w:tcPr>
            <w:tcW w:w="180" w:type="dxa"/>
            <w:vAlign w:val="bottom"/>
          </w:tcPr>
          <w:p>
            <w:pPr>
              <w:spacing w:after="0"/>
              <w:rPr>
                <w:sz w:val="12"/>
                <w:szCs w:val="12"/>
                <w:color w:val="auto"/>
              </w:rPr>
            </w:pPr>
          </w:p>
        </w:tc>
        <w:tc>
          <w:tcPr>
            <w:tcW w:w="102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6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6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r>
      <w:tr>
        <w:trPr>
          <w:trHeight w:val="210"/>
        </w:trPr>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r>
      <w:tr>
        <w:trPr>
          <w:trHeight w:val="203"/>
        </w:trPr>
        <w:tc>
          <w:tcPr>
            <w:tcW w:w="218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Three months ended September 30,</w:t>
            </w:r>
          </w:p>
        </w:tc>
        <w:tc>
          <w:tcPr>
            <w:tcW w:w="56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r>
      <w:tr>
        <w:trPr>
          <w:trHeight w:val="203"/>
        </w:trPr>
        <w:tc>
          <w:tcPr>
            <w:tcW w:w="1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Commodity contracts</w:t>
            </w:r>
          </w:p>
        </w:tc>
        <w:tc>
          <w:tcPr>
            <w:tcW w:w="1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36,273</w:t>
            </w:r>
          </w:p>
        </w:tc>
        <w:tc>
          <w:tcPr>
            <w:tcW w:w="40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(12,032)</w:t>
            </w:r>
          </w:p>
        </w:tc>
        <w:tc>
          <w:tcPr>
            <w:tcW w:w="800" w:type="dxa"/>
            <w:vAlign w:val="bottom"/>
            <w:gridSpan w:val="2"/>
          </w:tcPr>
          <w:p>
            <w:pPr>
              <w:jc w:val="center"/>
              <w:ind w:left="3"/>
              <w:spacing w:after="0"/>
              <w:rPr>
                <w:sz w:val="20"/>
                <w:szCs w:val="20"/>
                <w:color w:val="auto"/>
              </w:rPr>
            </w:pPr>
            <w:r>
              <w:rPr>
                <w:rFonts w:ascii="Times New Roman" w:cs="Times New Roman" w:eastAsia="Times New Roman" w:hAnsi="Times New Roman"/>
                <w:sz w:val="15"/>
                <w:szCs w:val="15"/>
                <w:color w:val="auto"/>
              </w:rPr>
              <w:t>Inventories</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Cost of revenue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(36,227)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10,937</w:t>
            </w:r>
          </w:p>
        </w:tc>
      </w:tr>
      <w:tr>
        <w:trPr>
          <w:trHeight w:val="216"/>
        </w:trPr>
        <w:tc>
          <w:tcPr>
            <w:tcW w:w="1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03"/>
        </w:trPr>
        <w:tc>
          <w:tcPr>
            <w:tcW w:w="2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Nine months ended September 30,</w:t>
            </w:r>
          </w:p>
        </w:tc>
        <w:tc>
          <w:tcPr>
            <w:tcW w:w="6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Commodity contracts</w:t>
            </w:r>
          </w:p>
        </w:tc>
        <w:tc>
          <w:tcPr>
            <w:tcW w:w="1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34,572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7,593</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left="3"/>
              <w:spacing w:after="0"/>
              <w:rPr>
                <w:sz w:val="20"/>
                <w:szCs w:val="20"/>
                <w:color w:val="auto"/>
              </w:rPr>
            </w:pPr>
            <w:r>
              <w:rPr>
                <w:rFonts w:ascii="Times New Roman" w:cs="Times New Roman" w:eastAsia="Times New Roman" w:hAnsi="Times New Roman"/>
                <w:sz w:val="15"/>
                <w:szCs w:val="15"/>
                <w:color w:val="auto"/>
              </w:rPr>
              <w:t>Inventories</w:t>
            </w:r>
          </w:p>
        </w:tc>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Cost of revenue</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(44,869)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(7,224)</w:t>
            </w:r>
          </w:p>
        </w:tc>
      </w:tr>
      <w:tr>
        <w:trPr>
          <w:trHeight w:val="27"/>
        </w:trPr>
        <w:tc>
          <w:tcPr>
            <w:tcW w:w="1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100" w:right="219" w:firstLine="324"/>
        <w:spacing w:after="0" w:line="282" w:lineRule="auto"/>
        <w:rPr>
          <w:sz w:val="20"/>
          <w:szCs w:val="20"/>
          <w:color w:val="auto"/>
        </w:rPr>
      </w:pPr>
      <w:r>
        <w:rPr>
          <w:rFonts w:ascii="Times New Roman" w:cs="Times New Roman" w:eastAsia="Times New Roman" w:hAnsi="Times New Roman"/>
          <w:sz w:val="18"/>
          <w:szCs w:val="18"/>
          <w:color w:val="auto"/>
        </w:rPr>
        <w:t>There were no gains or losses for the three and nine months ended September 30, 2014 and 2013 that were excluded from the assessment of the effectiveness of our fair value hedges.</w:t>
      </w:r>
    </w:p>
    <w:p>
      <w:pPr>
        <w:spacing w:after="0" w:line="162" w:lineRule="exact"/>
        <w:rPr>
          <w:sz w:val="20"/>
          <w:szCs w:val="20"/>
          <w:color w:val="auto"/>
        </w:rPr>
      </w:pPr>
    </w:p>
    <w:p>
      <w:pPr>
        <w:ind w:left="100" w:right="179" w:firstLine="324"/>
        <w:spacing w:after="0" w:line="282" w:lineRule="auto"/>
        <w:rPr>
          <w:sz w:val="20"/>
          <w:szCs w:val="20"/>
          <w:color w:val="auto"/>
        </w:rPr>
      </w:pPr>
      <w:r>
        <w:rPr>
          <w:rFonts w:ascii="Times New Roman" w:cs="Times New Roman" w:eastAsia="Times New Roman" w:hAnsi="Times New Roman"/>
          <w:sz w:val="18"/>
          <w:szCs w:val="18"/>
          <w:color w:val="auto"/>
        </w:rPr>
        <w:t>There were no cash flow hedging activities during the three and nine months ended September 30, 2014 and the cash flow hedging activities during the three and nine months ended September 30, 2013 were not significant.</w:t>
      </w:r>
    </w:p>
    <w:p>
      <w:pPr>
        <w:spacing w:after="0" w:line="162" w:lineRule="exact"/>
        <w:rPr>
          <w:sz w:val="20"/>
          <w:szCs w:val="20"/>
          <w:color w:val="auto"/>
        </w:rPr>
      </w:pPr>
    </w:p>
    <w:p>
      <w:pPr>
        <w:ind w:left="100" w:right="2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and financial statement location of our derivative instruments not designated as hedging instruments on our consolidated statements of income and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 and Unrealized</w:t>
            </w:r>
          </w:p>
        </w:tc>
        <w:tc>
          <w:tcPr>
            <w:tcW w:w="0" w:type="dxa"/>
            <w:vAlign w:val="bottom"/>
          </w:tcPr>
          <w:p>
            <w:pPr>
              <w:spacing w:after="0"/>
              <w:rPr>
                <w:sz w:val="1"/>
                <w:szCs w:val="1"/>
                <w:color w:val="auto"/>
              </w:rPr>
            </w:pPr>
          </w:p>
        </w:tc>
      </w:tr>
      <w:tr>
        <w:trPr>
          <w:trHeight w:val="199"/>
        </w:trPr>
        <w:tc>
          <w:tcPr>
            <w:tcW w:w="5020" w:type="dxa"/>
            <w:vAlign w:val="bottom"/>
            <w:gridSpan w:val="4"/>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3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0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142"/>
        </w:trPr>
        <w:tc>
          <w:tcPr>
            <w:tcW w:w="5020" w:type="dxa"/>
            <w:vAlign w:val="bottom"/>
            <w:gridSpan w:val="4"/>
            <w:vMerge w:val="continue"/>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6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6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Three months ended September 30,</w:t>
            </w:r>
          </w:p>
        </w:tc>
        <w:tc>
          <w:tcPr>
            <w:tcW w:w="2460" w:type="dxa"/>
            <w:vAlign w:val="bottom"/>
            <w:tcBorders>
              <w:bottom w:val="single" w:sz="8" w:color="CCEEFF"/>
            </w:tcBorders>
            <w:gridSpan w:val="2"/>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$ 19,775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0" w:type="dxa"/>
            <w:vAlign w:val="bottom"/>
          </w:tcPr>
          <w:p>
            <w:pPr>
              <w:spacing w:after="0"/>
              <w:rPr>
                <w:sz w:val="1"/>
                <w:szCs w:val="1"/>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217"/>
        </w:trPr>
        <w:tc>
          <w:tcPr>
            <w:tcW w:w="24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$ 32,310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Nine months ended September 30,</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$ 43,918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26,096</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17"/>
        </w:trPr>
        <w:tc>
          <w:tcPr>
            <w:tcW w:w="2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$ 60,836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0" w:right="279" w:firstLine="324"/>
        <w:spacing w:after="0" w:line="254" w:lineRule="auto"/>
        <w:rPr>
          <w:sz w:val="20"/>
          <w:szCs w:val="20"/>
          <w:color w:val="auto"/>
        </w:rPr>
      </w:pPr>
      <w:r>
        <w:rPr>
          <w:rFonts w:ascii="Times New Roman" w:cs="Times New Roman" w:eastAsia="Times New Roman" w:hAnsi="Times New Roman"/>
          <w:sz w:val="18"/>
          <w:szCs w:val="18"/>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 As of September 30, 2014, the net liability position for such contracts is $23.6 million, the collateral posted is $2.2 million and the amount of assets required to be posted and/or to settle the positions should a credit-risk contingent feature be triggered is $21.4 million. As of December 31, 2013, the net liability position for derivative instrument contracts that contain credit-risk contingent features was not significant.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20" w:hanging="315"/>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debt consisted of the following (in thousands):</w:t>
      </w:r>
    </w:p>
    <w:p>
      <w:pPr>
        <w:spacing w:after="0" w:line="192"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40" w:type="dxa"/>
            <w:vAlign w:val="bottom"/>
            <w:tcBorders>
              <w:bottom w:val="single" w:sz="8" w:color="auto"/>
            </w:tcBorders>
          </w:tcPr>
          <w:p>
            <w:pPr>
              <w:spacing w:after="0"/>
              <w:rPr>
                <w:sz w:val="15"/>
                <w:szCs w:val="15"/>
                <w:color w:val="auto"/>
              </w:rPr>
            </w:pPr>
          </w:p>
        </w:tc>
      </w:tr>
      <w:tr>
        <w:trPr>
          <w:trHeight w:val="227"/>
        </w:trPr>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6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242,500</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promissory notes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w:t>
            </w:r>
          </w:p>
        </w:tc>
      </w:tr>
      <w:tr>
        <w:trPr>
          <w:trHeight w:val="21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w:t>
            </w:r>
          </w:p>
        </w:tc>
      </w:tr>
      <w:tr>
        <w:trPr>
          <w:trHeight w:val="210"/>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463,711</w:t>
            </w:r>
          </w:p>
        </w:tc>
      </w:tr>
      <w:tr>
        <w:trPr>
          <w:trHeight w:val="21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14,647</w:t>
            </w:r>
          </w:p>
        </w:tc>
      </w:tr>
      <w:tr>
        <w:trPr>
          <w:trHeight w:val="217"/>
        </w:trPr>
        <w:tc>
          <w:tcPr>
            <w:tcW w:w="6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750,885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449,064</w:t>
            </w:r>
          </w:p>
        </w:tc>
      </w:tr>
    </w:tbl>
    <w:p>
      <w:pPr>
        <w:spacing w:after="0" w:line="198" w:lineRule="exact"/>
        <w:rPr>
          <w:sz w:val="20"/>
          <w:szCs w:val="20"/>
          <w:color w:val="auto"/>
        </w:rPr>
      </w:pPr>
    </w:p>
    <w:p>
      <w:pPr>
        <w:ind w:left="100" w:right="2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about our interest income (expense), and other financing costs, net, for the periods presented (in thousands):</w:t>
      </w:r>
    </w:p>
    <w:p>
      <w:pPr>
        <w:spacing w:after="0" w:line="101"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6"/>
                <w:szCs w:val="16"/>
                <w:color w:val="auto"/>
              </w:rPr>
            </w:pPr>
          </w:p>
        </w:tc>
        <w:tc>
          <w:tcPr>
            <w:tcW w:w="1880" w:type="dxa"/>
            <w:vAlign w:val="bottom"/>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9"/>
        </w:trPr>
        <w:tc>
          <w:tcPr>
            <w:tcW w:w="3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880" w:type="dxa"/>
            <w:vAlign w:val="bottom"/>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8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8"/>
              </w:rPr>
              <w:t>1,432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other financing costs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(6,012)</w:t>
            </w:r>
          </w:p>
        </w:tc>
        <w:tc>
          <w:tcPr>
            <w:tcW w:w="12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(22,288)</w:t>
            </w:r>
          </w:p>
        </w:tc>
        <w:tc>
          <w:tcPr>
            <w:tcW w:w="20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(15,175)</w:t>
            </w:r>
          </w:p>
        </w:tc>
      </w:tr>
      <w:tr>
        <w:trPr>
          <w:trHeight w:val="217"/>
        </w:trPr>
        <w:tc>
          <w:tcPr>
            <w:tcW w:w="38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8"/>
              </w:rPr>
              <w:t>(4,580)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(17,826)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(12,818)</w:t>
            </w:r>
          </w:p>
        </w:tc>
      </w:tr>
    </w:tbl>
    <w:p>
      <w:pPr>
        <w:spacing w:after="0" w:line="248" w:lineRule="exact"/>
        <w:rPr>
          <w:sz w:val="20"/>
          <w:szCs w:val="20"/>
          <w:color w:val="auto"/>
        </w:rPr>
      </w:pPr>
    </w:p>
    <w:p>
      <w:pPr>
        <w:ind w:left="10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Other Comprehensive (Loss) Income and Accumulated Other Comprehensive Loss</w:t>
      </w:r>
    </w:p>
    <w:p>
      <w:pPr>
        <w:spacing w:after="0" w:line="229" w:lineRule="exact"/>
        <w:rPr>
          <w:sz w:val="20"/>
          <w:szCs w:val="20"/>
          <w:color w:val="auto"/>
        </w:rPr>
      </w:pPr>
    </w:p>
    <w:p>
      <w:pPr>
        <w:ind w:left="100" w:right="779" w:firstLine="324"/>
        <w:spacing w:after="0" w:line="266" w:lineRule="auto"/>
        <w:rPr>
          <w:sz w:val="20"/>
          <w:szCs w:val="20"/>
          <w:color w:val="auto"/>
        </w:rPr>
      </w:pPr>
      <w:r>
        <w:rPr>
          <w:rFonts w:ascii="Times New Roman" w:cs="Times New Roman" w:eastAsia="Times New Roman" w:hAnsi="Times New Roman"/>
          <w:sz w:val="18"/>
          <w:szCs w:val="18"/>
          <w:color w:val="auto"/>
        </w:rPr>
        <w:t>Our other comprehensive (loss) income, consisting of foreign currency translation adjustments related to our subsidiaries that have a functional currency other than the U.S. dollar and cash flow hedges, was as follows (in thousands):</w:t>
      </w:r>
    </w:p>
    <w:p>
      <w:pPr>
        <w:spacing w:after="0" w:line="8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3"/>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(29,319)</w:t>
            </w:r>
          </w:p>
        </w:tc>
      </w:tr>
      <w:tr>
        <w:trPr>
          <w:trHeight w:val="216"/>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17"/>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2014</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(37,728)</w:t>
            </w:r>
          </w:p>
        </w:tc>
      </w:tr>
      <w:tr>
        <w:trPr>
          <w:trHeight w:val="895"/>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9"/>
        </w:trPr>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2012</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r>
      <w:tr>
        <w:trPr>
          <w:trHeight w:val="217"/>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2013</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(25,078)</w:t>
            </w:r>
          </w:p>
        </w:tc>
      </w:tr>
    </w:tbl>
    <w:p>
      <w:pPr>
        <w:spacing w:after="0" w:line="198" w:lineRule="exact"/>
        <w:rPr>
          <w:sz w:val="20"/>
          <w:szCs w:val="20"/>
          <w:color w:val="auto"/>
        </w:rPr>
      </w:pPr>
    </w:p>
    <w:p>
      <w:pPr>
        <w:ind w:left="100" w:right="439" w:firstLine="324"/>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adjustment losses for the nine months ended September 30, 2014 and 2013 were primarily due to the strengthening of the U.S. dollar as compared to the Brazilian Real and the British Pound.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31" w:lineRule="exact"/>
        <w:rPr>
          <w:sz w:val="20"/>
          <w:szCs w:val="20"/>
          <w:color w:val="auto"/>
        </w:rPr>
      </w:pPr>
    </w:p>
    <w:p>
      <w:pPr>
        <w:ind w:left="100" w:right="199" w:firstLine="324"/>
        <w:spacing w:after="0" w:line="261" w:lineRule="auto"/>
        <w:rPr>
          <w:sz w:val="20"/>
          <w:szCs w:val="20"/>
          <w:color w:val="auto"/>
        </w:rPr>
      </w:pPr>
      <w:r>
        <w:rPr>
          <w:rFonts w:ascii="Times New Roman" w:cs="Times New Roman" w:eastAsia="Times New Roman" w:hAnsi="Times New Roman"/>
          <w:sz w:val="18"/>
          <w:szCs w:val="18"/>
          <w:color w:val="auto"/>
        </w:rPr>
        <w:t>Our income tax provision for the periods presented and the respective effective income tax rates for such periods are as follows (in thousands, except for income tax rates):</w:t>
      </w:r>
    </w:p>
    <w:p>
      <w:pPr>
        <w:spacing w:after="0" w:line="281"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9"/>
        </w:trPr>
        <w:tc>
          <w:tcPr>
            <w:tcW w:w="3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1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3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Pr>
          <w:p>
            <w:pPr>
              <w:spacing w:after="0"/>
              <w:rPr>
                <w:sz w:val="18"/>
                <w:szCs w:val="18"/>
                <w:color w:val="auto"/>
              </w:rPr>
            </w:pPr>
          </w:p>
        </w:tc>
        <w:tc>
          <w:tcPr>
            <w:tcW w:w="84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tcPr>
          <w:p>
            <w:pPr>
              <w:spacing w:after="0"/>
              <w:rPr>
                <w:sz w:val="18"/>
                <w:szCs w:val="18"/>
                <w:color w:val="auto"/>
              </w:rPr>
            </w:pPr>
          </w:p>
        </w:tc>
      </w:tr>
      <w:tr>
        <w:trPr>
          <w:trHeight w:val="217"/>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34,964</w:t>
            </w: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32,090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19.8 %</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14.0 %</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18.8 %</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17.3 %</w:t>
            </w:r>
          </w:p>
        </w:tc>
      </w:tr>
      <w:tr>
        <w:trPr>
          <w:trHeight w:val="27"/>
        </w:trPr>
        <w:tc>
          <w:tcPr>
            <w:tcW w:w="3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100" w:right="199" w:firstLine="324"/>
        <w:spacing w:after="0" w:line="258" w:lineRule="auto"/>
        <w:rPr>
          <w:sz w:val="20"/>
          <w:szCs w:val="20"/>
          <w:color w:val="auto"/>
        </w:rPr>
      </w:pPr>
      <w:r>
        <w:rPr>
          <w:rFonts w:ascii="Times New Roman" w:cs="Times New Roman" w:eastAsia="Times New Roman" w:hAnsi="Times New Roman"/>
          <w:sz w:val="18"/>
          <w:szCs w:val="18"/>
          <w:color w:val="auto"/>
        </w:rPr>
        <w:t>Our provision for income taxes for each of the three-month and nine-month periods ended September 30, 2014 and 2013 were calculated based on the estimated annual effective income tax rate for the full 2014 and 2013 fiscal years. The actual effective income tax rate for the full 2014 fiscal year may be materially different as a result of differences between estimated versus actual results and the geographic tax jurisdictions in which the results are earned as well as discrete items resulting from a lapse in the statute of limitations.</w:t>
      </w:r>
    </w:p>
    <w:p>
      <w:pPr>
        <w:spacing w:after="0" w:line="180" w:lineRule="exact"/>
        <w:rPr>
          <w:sz w:val="20"/>
          <w:szCs w:val="20"/>
          <w:color w:val="auto"/>
        </w:rPr>
      </w:pPr>
    </w:p>
    <w:p>
      <w:pPr>
        <w:ind w:left="10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Earnings per Common Share</w:t>
      </w:r>
    </w:p>
    <w:p>
      <w:pPr>
        <w:spacing w:after="0" w:line="229" w:lineRule="exact"/>
        <w:rPr>
          <w:sz w:val="20"/>
          <w:szCs w:val="20"/>
          <w:color w:val="auto"/>
        </w:rPr>
      </w:pPr>
    </w:p>
    <w:p>
      <w:pPr>
        <w:ind w:left="100" w:right="6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periods presented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6"/>
                <w:szCs w:val="16"/>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World Fuel</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154,613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for basic earnings per</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share</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840" w:type="dxa"/>
            <w:vAlign w:val="bottom"/>
            <w:shd w:val="clear" w:color="auto" w:fill="CCEEFF"/>
          </w:tcPr>
          <w:p>
            <w:pPr>
              <w:ind w:left="120"/>
              <w:spacing w:after="0" w:line="178" w:lineRule="exact"/>
              <w:rPr>
                <w:sz w:val="20"/>
                <w:szCs w:val="20"/>
                <w:color w:val="auto"/>
              </w:rPr>
            </w:pPr>
            <w:r>
              <w:rPr>
                <w:rFonts w:ascii="Times New Roman" w:cs="Times New Roman" w:eastAsia="Times New Roman" w:hAnsi="Times New Roman"/>
                <w:sz w:val="18"/>
                <w:szCs w:val="18"/>
                <w:color w:val="auto"/>
              </w:rPr>
              <w:t>Weighted average common shares for diluted earnings per</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share</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securities which are not included in the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calculation of diluted earnings per common share because their</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is anti-dilutive or their performance conditions have not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been met</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4840" w:type="dxa"/>
            <w:vAlign w:val="bottom"/>
            <w:tcBorders>
              <w:top w:val="single" w:sz="8" w:color="CCEEFF"/>
            </w:tcBorders>
          </w:tcPr>
          <w:p>
            <w:pPr>
              <w:ind w:left="432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62" w:lineRule="exact"/>
        <w:rPr>
          <w:sz w:val="20"/>
          <w:szCs w:val="20"/>
          <w:color w:val="auto"/>
        </w:rPr>
      </w:pPr>
    </w:p>
    <w:p>
      <w:pPr>
        <w:ind w:left="420" w:right="6059" w:hanging="315"/>
        <w:spacing w:after="0" w:line="502" w:lineRule="auto"/>
        <w:tabs>
          <w:tab w:leader="none" w:pos="40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Lac-Megantic, Quebec</w:t>
      </w:r>
    </w:p>
    <w:p>
      <w:pPr>
        <w:spacing w:after="0" w:line="227" w:lineRule="exact"/>
        <w:rPr>
          <w:sz w:val="20"/>
          <w:szCs w:val="20"/>
          <w:color w:val="auto"/>
        </w:rPr>
      </w:pPr>
    </w:p>
    <w:p>
      <w:pPr>
        <w:ind w:left="100" w:right="119" w:firstLine="324"/>
        <w:spacing w:after="0" w:line="261" w:lineRule="auto"/>
        <w:rPr>
          <w:sz w:val="20"/>
          <w:szCs w:val="20"/>
          <w:color w:val="auto"/>
        </w:rPr>
      </w:pPr>
      <w:r>
        <w:rPr>
          <w:rFonts w:ascii="Times New Roman" w:cs="Times New Roman" w:eastAsia="Times New Roman" w:hAnsi="Times New Roman"/>
          <w:sz w:val="18"/>
          <w:szCs w:val="18"/>
          <w:color w:val="auto"/>
        </w:rPr>
        <w:t>As previously disclosed in “Note 7 — Commitments and Contingencies” in the Notes to the Consolidated Financial Statements included in our 2013 10-K Report, various lawsuits have been filed against us and other third parties related to the July 2013 train derailment in Lac-Mégantic, Quebec. For additional information regarding legal proceedings related to the train derailment, see our 2013 10-K Report and Part II — Item 1 of this 10-Q Report.</w:t>
      </w:r>
    </w:p>
    <w:p>
      <w:pPr>
        <w:spacing w:after="0" w:line="180" w:lineRule="exact"/>
        <w:rPr>
          <w:sz w:val="20"/>
          <w:szCs w:val="20"/>
          <w:color w:val="auto"/>
        </w:rPr>
      </w:pPr>
    </w:p>
    <w:p>
      <w:pPr>
        <w:ind w:left="100" w:right="119" w:firstLine="324"/>
        <w:spacing w:after="0" w:line="254" w:lineRule="auto"/>
        <w:rPr>
          <w:sz w:val="20"/>
          <w:szCs w:val="20"/>
          <w:color w:val="auto"/>
        </w:rPr>
      </w:pPr>
      <w:r>
        <w:rPr>
          <w:rFonts w:ascii="Times New Roman" w:cs="Times New Roman" w:eastAsia="Times New Roman" w:hAnsi="Times New Roman"/>
          <w:sz w:val="18"/>
          <w:szCs w:val="18"/>
          <w:color w:val="auto"/>
        </w:rPr>
        <w:t>We are currently unable to determine the probability of loss, or reasonably estimate a range of potential losses related to the proceedings arising from the train derailment. Accordingly, we have not made any provision for these potential losses in our consolidated financial statements. However, based on estimated losses related to the value of the tank cars involved in the incident, as well as legal and other costs incurred in connection with the incident, which we believe are probable and for which a reasonable estimate can be made, we have recorded total liabilities of $35.3 million. We believe that a substantial portion of these liabilities are covered by insurance and have recorded total receivables of $34.0 million. As of September 30, 2014, the remaining unpaid liabilities of $19.3 million are included primarily in accrued expenses and other current liabilities and the remaining uncollected receivable of $24.3 million is included in other current assets in the accompanying consolidated balance sheets.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ind w:left="100" w:right="11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a theft of fuel product valued at approximately $18.0 million, we recorded an insurance receivable for the full amount of the loss, which is included in other current assets in the accompanying consolidated balance sheets. On July 31, 2014, our insurer, AGCS Marine Insurance Company (“AGCS”), filed a declaratory judgment action against us in the United States District Court for the Southern District of New York seeking a court ruling that the loss is not covered under our policy. We believe AGCS’ position is without merit and we intend to vigorously pursue our rights. However, due to the complexities and uncertainties inherent in litigation, we can provide no assurance that we will recover the full amount of the loss.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00" w:right="119" w:firstLine="324"/>
        <w:spacing w:after="0" w:line="270" w:lineRule="auto"/>
        <w:rPr>
          <w:sz w:val="20"/>
          <w:szCs w:val="20"/>
          <w:color w:val="auto"/>
        </w:rPr>
      </w:pPr>
      <w:r>
        <w:rPr>
          <w:rFonts w:ascii="Times New Roman" w:cs="Times New Roman" w:eastAsia="Times New Roman" w:hAnsi="Times New Roman"/>
          <w:sz w:val="17"/>
          <w:szCs w:val="17"/>
          <w:color w:val="auto"/>
        </w:rPr>
        <w:t>We are a party to various claims, complaints and proceedings arising in the ordinary course of our business including, but not limited to, environmental claims, commercial and governmental contract claims, such as property damage, demurrage, billing and fuel quality claims, as well as bankruptcy preference claims and tax and administrative claims. We have established loss provisions for these ordinary course claims as well as other matters in which losses are probable and can be reasonably estimated. As of September 30, 2014,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78" w:lineRule="exact"/>
        <w:rPr>
          <w:sz w:val="20"/>
          <w:szCs w:val="20"/>
          <w:color w:val="auto"/>
        </w:rPr>
      </w:pPr>
    </w:p>
    <w:p>
      <w:pPr>
        <w:ind w:left="100" w:right="119" w:firstLine="324"/>
        <w:spacing w:after="0" w:line="261" w:lineRule="auto"/>
        <w:rPr>
          <w:sz w:val="20"/>
          <w:szCs w:val="20"/>
          <w:color w:val="auto"/>
        </w:rPr>
      </w:pPr>
      <w:r>
        <w:rPr>
          <w:rFonts w:ascii="Times New Roman" w:cs="Times New Roman" w:eastAsia="Times New Roman" w:hAnsi="Times New Roman"/>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Executive Non-Renewal Charge</w:t>
      </w:r>
    </w:p>
    <w:p>
      <w:pPr>
        <w:spacing w:after="0" w:line="229" w:lineRule="exact"/>
        <w:rPr>
          <w:sz w:val="20"/>
          <w:szCs w:val="20"/>
          <w:color w:val="auto"/>
        </w:rPr>
      </w:pPr>
    </w:p>
    <w:p>
      <w:pPr>
        <w:ind w:left="100" w:right="13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non-renewal of the employment agreement between the Company and Paul H. Stebbins, the former Executive Chairman of the Board of Directors, we recorded an executive non-renewal charge totaling $4.8 million in May 2014, which included non-cash expenses of $1.1 million related to previously awarded stock compensation. As of September 30, 2014, $0.9 million of the cash portion of the executive non-renewal charge was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 w:right="339"/>
        <w:spacing w:after="0" w:line="282" w:lineRule="auto"/>
        <w:rPr>
          <w:sz w:val="20"/>
          <w:szCs w:val="20"/>
          <w:color w:val="auto"/>
        </w:rPr>
      </w:pPr>
      <w:r>
        <w:rPr>
          <w:rFonts w:ascii="Times New Roman" w:cs="Times New Roman" w:eastAsia="Times New Roman" w:hAnsi="Times New Roman"/>
          <w:sz w:val="18"/>
          <w:szCs w:val="18"/>
          <w:color w:val="auto"/>
        </w:rPr>
        <w:t>included in accrued expenses and other current liabilities and $2.6 million was included in other long-term liabilities in the accompanying consolidated balance sheets.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Plan</w:t>
      </w:r>
    </w:p>
    <w:p>
      <w:pPr>
        <w:spacing w:after="0" w:line="229" w:lineRule="exact"/>
        <w:rPr>
          <w:sz w:val="20"/>
          <w:szCs w:val="20"/>
          <w:color w:val="auto"/>
        </w:rPr>
      </w:pPr>
    </w:p>
    <w:p>
      <w:pPr>
        <w:ind w:left="100" w:right="219" w:firstLine="324"/>
        <w:spacing w:after="0" w:line="255" w:lineRule="auto"/>
        <w:rPr>
          <w:sz w:val="20"/>
          <w:szCs w:val="20"/>
          <w:color w:val="auto"/>
        </w:rPr>
      </w:pPr>
      <w:r>
        <w:rPr>
          <w:rFonts w:ascii="Times New Roman" w:cs="Times New Roman" w:eastAsia="Times New Roman" w:hAnsi="Times New Roman"/>
          <w:sz w:val="18"/>
          <w:szCs w:val="18"/>
          <w:color w:val="auto"/>
        </w:rPr>
        <w:t>We offer a non-qualified deferred compensation (“NQDC”) plan to certain eligible employees, excluding our named executive officers,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$2.2 million and $0.9 million as of September 30, 2014 and December 31, 2013, respectively, which was included other long-term liabilities in the accompanying consolidated balance sheets.</w:t>
      </w:r>
    </w:p>
    <w:p>
      <w:pPr>
        <w:spacing w:after="0" w:line="185" w:lineRule="exact"/>
        <w:rPr>
          <w:sz w:val="20"/>
          <w:szCs w:val="20"/>
          <w:color w:val="auto"/>
        </w:rPr>
      </w:pPr>
    </w:p>
    <w:p>
      <w:pPr>
        <w:ind w:left="10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left="100" w:right="99" w:firstLine="324"/>
        <w:spacing w:after="0" w:line="255"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accounts payable and accrued expenses and other current liabilities approximate fair value based on the short-term maturities of these instruments. We believe the carrying values of our debt and notes receivable approximate fair value since these instruments bear interest either at variable rates or fixed rates which are not significantly different than market rates. Based on the fair value hierarchy, our debt of $767.3 million and $463.7 million as of September 30, 2014 and December 31, 2013, respectively, and our notes receivable of $14.0 million and $20.9 million as of September 30, 2014 and December 31, 2013, respectively, are categorized in Level 3.</w:t>
      </w:r>
    </w:p>
    <w:p>
      <w:pPr>
        <w:spacing w:after="0" w:line="189" w:lineRule="exact"/>
        <w:rPr>
          <w:sz w:val="20"/>
          <w:szCs w:val="20"/>
          <w:color w:val="auto"/>
        </w:rPr>
      </w:pPr>
    </w:p>
    <w:p>
      <w:pPr>
        <w:ind w:left="10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assets and liabilities that are measured at estimated fair value on a recurring basis (in thousands):</w:t>
      </w:r>
    </w:p>
    <w:p>
      <w:pPr>
        <w:spacing w:after="0" w:line="88"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6"/>
        </w:trPr>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9"/>
        </w:trPr>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60" w:type="dxa"/>
            <w:vAlign w:val="bottom"/>
          </w:tcPr>
          <w:p>
            <w:pPr>
              <w:spacing w:after="0"/>
              <w:rPr>
                <w:sz w:val="17"/>
                <w:szCs w:val="17"/>
                <w:color w:val="auto"/>
              </w:rPr>
            </w:pP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180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w w:val="99"/>
              </w:rPr>
              <w:t>As of September 30, 2014</w:t>
            </w:r>
          </w:p>
        </w:tc>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(79,332)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88,578</w:t>
            </w:r>
          </w:p>
        </w:tc>
      </w:tr>
      <w:tr>
        <w:trPr>
          <w:trHeight w:val="216"/>
        </w:trPr>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Foreign currency contracts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(8,518)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11,339</w:t>
            </w:r>
          </w:p>
        </w:tc>
      </w:tr>
      <w:tr>
        <w:trPr>
          <w:trHeight w:val="216"/>
        </w:trPr>
        <w:tc>
          <w:tcPr>
            <w:tcW w:w="3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Cash surrender value of life insurance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w:t>
            </w:r>
          </w:p>
        </w:tc>
      </w:tr>
      <w:tr>
        <w:trPr>
          <w:trHeight w:val="216"/>
        </w:trPr>
        <w:tc>
          <w:tcPr>
            <w:tcW w:w="3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Mutual funds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r>
      <w:tr>
        <w:trPr>
          <w:trHeight w:val="203"/>
        </w:trPr>
        <w:tc>
          <w:tcPr>
            <w:tcW w:w="30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53,620</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132,997</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189,876</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(87,861)</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102,015</w:t>
            </w: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62,655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69,936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132,680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(111,135)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21,545</w:t>
            </w:r>
          </w:p>
        </w:tc>
      </w:tr>
      <w:tr>
        <w:trPr>
          <w:trHeight w:val="216"/>
        </w:trPr>
        <w:tc>
          <w:tcPr>
            <w:tcW w:w="3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currency contracts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(8,518)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w:t>
            </w:r>
          </w:p>
        </w:tc>
      </w:tr>
      <w:tr>
        <w:trPr>
          <w:trHeight w:val="216"/>
        </w:trPr>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12,222</w:t>
            </w:r>
          </w:p>
        </w:tc>
      </w:tr>
      <w:tr>
        <w:trPr>
          <w:trHeight w:val="203"/>
        </w:trPr>
        <w:tc>
          <w:tcPr>
            <w:tcW w:w="300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92,535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35,615</w:t>
            </w:r>
          </w:p>
        </w:tc>
      </w:tr>
      <w:tr>
        <w:trPr>
          <w:trHeight w:val="216"/>
        </w:trPr>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6"/>
        </w:trPr>
        <w:tc>
          <w:tcPr>
            <w:tcW w:w="3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As of December 31, 2013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Assets:</w:t>
            </w:r>
          </w:p>
        </w:tc>
        <w:tc>
          <w:tcPr>
            <w:tcW w:w="1240" w:type="dxa"/>
            <w:vAlign w:val="bottom"/>
            <w:tcBorders>
              <w:top w:val="single" w:sz="8" w:color="CCEEFF"/>
            </w:tcBorders>
            <w:gridSpan w:val="2"/>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216"/>
        </w:trPr>
        <w:tc>
          <w:tcPr>
            <w:tcW w:w="3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(35,983)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15,471</w:t>
            </w:r>
          </w:p>
        </w:tc>
      </w:tr>
      <w:tr>
        <w:trPr>
          <w:trHeight w:val="216"/>
        </w:trPr>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Foreign currency contracts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(6,350)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2,136</w:t>
            </w:r>
          </w:p>
        </w:tc>
      </w:tr>
      <w:tr>
        <w:trPr>
          <w:trHeight w:val="216"/>
        </w:trPr>
        <w:tc>
          <w:tcPr>
            <w:tcW w:w="3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w:t>
            </w:r>
          </w:p>
        </w:tc>
      </w:tr>
      <w:tr>
        <w:trPr>
          <w:trHeight w:val="203"/>
        </w:trPr>
        <w:tc>
          <w:tcPr>
            <w:tcW w:w="30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11,574</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50,056</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61,630</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(42,540)</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19,090</w:t>
            </w: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31,983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46,015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(31,329)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14,686</w:t>
            </w:r>
          </w:p>
        </w:tc>
      </w:tr>
      <w:tr>
        <w:trPr>
          <w:trHeight w:val="216"/>
        </w:trPr>
        <w:tc>
          <w:tcPr>
            <w:tcW w:w="3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currency contracts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(6,350)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5,453</w:t>
            </w:r>
          </w:p>
        </w:tc>
      </w:tr>
      <w:tr>
        <w:trPr>
          <w:trHeight w:val="216"/>
        </w:trPr>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300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43,993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20,139</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 w:right="299" w:firstLine="324"/>
        <w:spacing w:after="0" w:line="266" w:lineRule="auto"/>
        <w:rPr>
          <w:sz w:val="20"/>
          <w:szCs w:val="20"/>
          <w:color w:val="auto"/>
        </w:rPr>
      </w:pPr>
      <w:r>
        <w:rPr>
          <w:rFonts w:ascii="Times New Roman" w:cs="Times New Roman" w:eastAsia="Times New Roman" w:hAnsi="Times New Roman"/>
          <w:sz w:val="18"/>
          <w:szCs w:val="18"/>
          <w:color w:val="auto"/>
        </w:rPr>
        <w:t>The two investment assets of cash surrender value of life insurance and mutual funds are in connection with the NQDC plan and were included in identifiable intangible and other non-current assets in the accompanying consolidated balance sheets.</w:t>
      </w:r>
    </w:p>
    <w:p>
      <w:pPr>
        <w:spacing w:after="0" w:line="176" w:lineRule="exact"/>
        <w:rPr>
          <w:sz w:val="20"/>
          <w:szCs w:val="20"/>
          <w:color w:val="auto"/>
        </w:rPr>
      </w:pPr>
    </w:p>
    <w:p>
      <w:pPr>
        <w:ind w:left="10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balance sheet location of our commodity and foreign currency contracts net assets and liabilities (in thousands):</w:t>
      </w:r>
    </w:p>
    <w:p>
      <w:pPr>
        <w:spacing w:after="0" w:line="115"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1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Borders>
              <w:bottom w:val="single" w:sz="8" w:color="auto"/>
            </w:tcBorders>
          </w:tcPr>
          <w:p>
            <w:pPr>
              <w:spacing w:after="0"/>
              <w:rPr>
                <w:sz w:val="15"/>
                <w:szCs w:val="15"/>
                <w:color w:val="auto"/>
              </w:rPr>
            </w:pPr>
          </w:p>
        </w:tc>
      </w:tr>
      <w:tr>
        <w:trPr>
          <w:trHeight w:val="196"/>
        </w:trPr>
        <w:tc>
          <w:tcPr>
            <w:tcW w:w="16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41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190"/>
        </w:trPr>
        <w:tc>
          <w:tcPr>
            <w:tcW w:w="160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9"/>
              </w:rPr>
              <w:t>Commodity Contracts</w:t>
            </w:r>
          </w:p>
        </w:tc>
        <w:tc>
          <w:tcPr>
            <w:tcW w:w="4560" w:type="dxa"/>
            <w:vAlign w:val="bottom"/>
            <w:tcBorders>
              <w:bottom w:val="single" w:sz="8" w:color="CCEEFF"/>
            </w:tcBorders>
            <w:gridSpan w:val="2"/>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79,213</w:t>
            </w:r>
          </w:p>
        </w:tc>
        <w:tc>
          <w:tcPr>
            <w:tcW w:w="600" w:type="dxa"/>
            <w:vAlign w:val="bottom"/>
            <w:gridSpan w:val="3"/>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w:t>
            </w:r>
          </w:p>
        </w:tc>
      </w:tr>
      <w:tr>
        <w:trPr>
          <w:trHeight w:val="216"/>
        </w:trPr>
        <w:tc>
          <w:tcPr>
            <w:tcW w:w="61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7"/>
        </w:trPr>
        <w:tc>
          <w:tcPr>
            <w:tcW w:w="61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assets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88,578</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15,471</w:t>
            </w:r>
          </w:p>
        </w:tc>
      </w:tr>
      <w:tr>
        <w:trPr>
          <w:trHeight w:val="216"/>
        </w:trPr>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600" w:type="dxa"/>
            <w:vAlign w:val="bottom"/>
            <w:gridSpan w:val="3"/>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14,332</w:t>
            </w:r>
          </w:p>
        </w:tc>
      </w:tr>
      <w:tr>
        <w:trPr>
          <w:trHeight w:val="216"/>
        </w:trPr>
        <w:tc>
          <w:tcPr>
            <w:tcW w:w="6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7"/>
        </w:trPr>
        <w:tc>
          <w:tcPr>
            <w:tcW w:w="6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net liabilities</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14,686</w:t>
            </w:r>
          </w:p>
        </w:tc>
      </w:tr>
      <w:tr>
        <w:trPr>
          <w:trHeight w:val="216"/>
        </w:trPr>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76"/>
        </w:trPr>
        <w:tc>
          <w:tcPr>
            <w:tcW w:w="61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Foreign Currency Contracts</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
        </w:trPr>
        <w:tc>
          <w:tcPr>
            <w:tcW w:w="16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6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600" w:type="dxa"/>
            <w:vAlign w:val="bottom"/>
            <w:gridSpan w:val="3"/>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16"/>
        </w:trPr>
        <w:tc>
          <w:tcPr>
            <w:tcW w:w="6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16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net assets</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16"/>
        </w:trPr>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600" w:type="dxa"/>
            <w:vAlign w:val="bottom"/>
            <w:gridSpan w:val="3"/>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r>
      <w:tr>
        <w:trPr>
          <w:trHeight w:val="216"/>
        </w:trPr>
        <w:tc>
          <w:tcPr>
            <w:tcW w:w="61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7"/>
        </w:trPr>
        <w:tc>
          <w:tcPr>
            <w:tcW w:w="61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net liabilities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r>
    </w:tbl>
    <w:p>
      <w:pPr>
        <w:spacing w:after="0" w:line="198" w:lineRule="exact"/>
        <w:rPr>
          <w:sz w:val="20"/>
          <w:szCs w:val="20"/>
          <w:color w:val="auto"/>
        </w:rPr>
      </w:pPr>
    </w:p>
    <w:p>
      <w:pPr>
        <w:ind w:left="100" w:right="139" w:firstLine="324"/>
        <w:spacing w:after="0" w:line="258" w:lineRule="auto"/>
        <w:rPr>
          <w:sz w:val="20"/>
          <w:szCs w:val="20"/>
          <w:color w:val="auto"/>
        </w:rPr>
      </w:pPr>
      <w:r>
        <w:rPr>
          <w:rFonts w:ascii="Times New Roman" w:cs="Times New Roman" w:eastAsia="Times New Roman" w:hAnsi="Times New Roman"/>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184" w:lineRule="exact"/>
        <w:rPr>
          <w:sz w:val="20"/>
          <w:szCs w:val="20"/>
          <w:color w:val="auto"/>
        </w:rPr>
      </w:pPr>
    </w:p>
    <w:p>
      <w:pPr>
        <w:ind w:left="100" w:right="139"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2014, we had $43.9 million of cash collateral deposits held by financial counterparties, of which $34.7 million have been offset against the total amount of commodity fair value liabilities in the above table and the remaining $9.2 million is included in other current assets in the accompanying consolidated balance sheets. In addition, as of September 30, 2014, we have offset $2.9 million of cash collateral received from customers against the total amount of commodity fair value assets in the above table. As of December 31, 2013, we had $13.0 million of cash collateral deposits held by financial counterparties and there were no significant amounts of cash collateral that were offset against the total commodity fair value liabilities in the above table. Additionally, as of December 31, 2013, we had offset $4.7 million of cash collateral deposits received from customers against the total amount of commodity fair value assets in the above table.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 w:right="1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assets and liabilities that are measured at fair value on a recurring basis that utilized Level 3 inputs for the periods presented (in thousands):</w:t>
      </w:r>
    </w:p>
    <w:p>
      <w:pPr>
        <w:spacing w:after="0" w:line="2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and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(Losses) Relating</w:t>
            </w:r>
          </w:p>
        </w:tc>
        <w:tc>
          <w:tcPr>
            <w:tcW w:w="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Realized</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Assets and</w:t>
            </w:r>
          </w:p>
        </w:tc>
        <w:tc>
          <w:tcPr>
            <w:tcW w:w="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End</w:t>
            </w:r>
          </w:p>
        </w:tc>
        <w:tc>
          <w:tcPr>
            <w:tcW w:w="1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that are</w:t>
            </w:r>
          </w:p>
        </w:tc>
        <w:tc>
          <w:tcPr>
            <w:tcW w:w="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Unrealized Gains</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16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Held at end of</w:t>
            </w:r>
          </w:p>
        </w:tc>
        <w:tc>
          <w:tcPr>
            <w:tcW w:w="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(Losses) Included in</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29"/>
        </w:trPr>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2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September 30, 2014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0" w:type="dxa"/>
            <w:vAlign w:val="bottom"/>
          </w:tcPr>
          <w:p>
            <w:pPr>
              <w:spacing w:after="0"/>
              <w:rPr>
                <w:sz w:val="1"/>
                <w:szCs w:val="1"/>
                <w:color w:val="auto"/>
              </w:rPr>
            </w:pPr>
          </w:p>
        </w:tc>
      </w:tr>
      <w:tr>
        <w:trPr>
          <w:trHeight w:val="190"/>
        </w:trPr>
        <w:tc>
          <w:tcPr>
            <w:tcW w:w="178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1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0" w:type="dxa"/>
            <w:vAlign w:val="bottom"/>
          </w:tcPr>
          <w:p>
            <w:pPr>
              <w:spacing w:after="0"/>
              <w:rPr>
                <w:sz w:val="1"/>
                <w:szCs w:val="1"/>
                <w:color w:val="auto"/>
              </w:rPr>
            </w:pPr>
          </w:p>
        </w:tc>
      </w:tr>
      <w:tr>
        <w:trPr>
          <w:trHeight w:val="176"/>
        </w:trPr>
        <w:tc>
          <w:tcPr>
            <w:tcW w:w="17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September 30, 2013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0" w:type="dxa"/>
            <w:vAlign w:val="bottom"/>
          </w:tcPr>
          <w:p>
            <w:pPr>
              <w:spacing w:after="0"/>
              <w:rPr>
                <w:sz w:val="1"/>
                <w:szCs w:val="1"/>
                <w:color w:val="auto"/>
              </w:rPr>
            </w:pPr>
          </w:p>
        </w:tc>
      </w:tr>
      <w:tr>
        <w:trPr>
          <w:trHeight w:val="176"/>
        </w:trPr>
        <w:tc>
          <w:tcPr>
            <w:tcW w:w="17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6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Nine months ended September 30, 2014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0" w:type="dxa"/>
            <w:vAlign w:val="bottom"/>
          </w:tcPr>
          <w:p>
            <w:pPr>
              <w:spacing w:after="0"/>
              <w:rPr>
                <w:sz w:val="1"/>
                <w:szCs w:val="1"/>
                <w:color w:val="auto"/>
              </w:rPr>
            </w:pPr>
          </w:p>
        </w:tc>
      </w:tr>
      <w:tr>
        <w:trPr>
          <w:trHeight w:val="190"/>
        </w:trPr>
        <w:tc>
          <w:tcPr>
            <w:tcW w:w="178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1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0" w:type="dxa"/>
            <w:vAlign w:val="bottom"/>
          </w:tcPr>
          <w:p>
            <w:pPr>
              <w:spacing w:after="0"/>
              <w:rPr>
                <w:sz w:val="1"/>
                <w:szCs w:val="1"/>
                <w:color w:val="auto"/>
              </w:rPr>
            </w:pPr>
          </w:p>
        </w:tc>
      </w:tr>
      <w:tr>
        <w:trPr>
          <w:trHeight w:val="176"/>
        </w:trPr>
        <w:tc>
          <w:tcPr>
            <w:tcW w:w="17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6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Nine months ended September 30, 2013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0" w:type="dxa"/>
            <w:vAlign w:val="bottom"/>
          </w:tcPr>
          <w:p>
            <w:pPr>
              <w:spacing w:after="0"/>
              <w:rPr>
                <w:sz w:val="1"/>
                <w:szCs w:val="1"/>
                <w:color w:val="auto"/>
              </w:rPr>
            </w:pPr>
          </w:p>
        </w:tc>
      </w:tr>
      <w:tr>
        <w:trPr>
          <w:trHeight w:val="27"/>
        </w:trPr>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right="159" w:firstLine="324"/>
        <w:spacing w:after="0" w:line="258" w:lineRule="auto"/>
        <w:rPr>
          <w:sz w:val="20"/>
          <w:szCs w:val="20"/>
          <w:color w:val="auto"/>
        </w:rPr>
      </w:pPr>
      <w:r>
        <w:rPr>
          <w:rFonts w:ascii="Times New Roman" w:cs="Times New Roman" w:eastAsia="Times New Roman" w:hAnsi="Times New Roman"/>
          <w:sz w:val="18"/>
          <w:szCs w:val="18"/>
          <w:color w:val="auto"/>
        </w:rPr>
        <w:t>The nature of inputs that are considered Level 3 are modeled inputs. Commodity contracts categorized in Level 3 are due to the significance of the unobservable model inputs to their respective fair values. The unobservable model inputs, such as basis differentials, are based on the difference between the historical prices of our prior transactions and the underlying observable data as well as certain risk related to non-performance. The effect on our income before income taxes of a 10% change in the model input for non-performance risk would not be significant.</w:t>
      </w:r>
    </w:p>
    <w:p>
      <w:pPr>
        <w:spacing w:after="0" w:line="184" w:lineRule="exact"/>
        <w:rPr>
          <w:sz w:val="20"/>
          <w:szCs w:val="20"/>
          <w:color w:val="auto"/>
        </w:rPr>
      </w:pPr>
    </w:p>
    <w:p>
      <w:pPr>
        <w:ind w:left="100" w:right="259"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2 or 3 during the periods presented. In addition, there were no significant Level 3 settlements, purchases, sales or issuances for the periods presented.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9.</w:t>
        <w:tab/>
        <w:t>Business Segments</w:t>
      </w:r>
    </w:p>
    <w:p>
      <w:pPr>
        <w:spacing w:after="0" w:line="229" w:lineRule="exact"/>
        <w:rPr>
          <w:sz w:val="20"/>
          <w:szCs w:val="20"/>
          <w:color w:val="auto"/>
        </w:rPr>
      </w:pPr>
    </w:p>
    <w:p>
      <w:pPr>
        <w:ind w:left="100" w:right="119" w:firstLine="324"/>
        <w:spacing w:after="0" w:line="254" w:lineRule="auto"/>
        <w:rPr>
          <w:sz w:val="20"/>
          <w:szCs w:val="20"/>
          <w:color w:val="auto"/>
        </w:rPr>
      </w:pPr>
      <w:r>
        <w:rPr>
          <w:rFonts w:ascii="Times New Roman" w:cs="Times New Roman" w:eastAsia="Times New Roman" w:hAnsi="Times New Roman"/>
          <w:sz w:val="18"/>
          <w:szCs w:val="18"/>
          <w:color w:val="auto"/>
        </w:rPr>
        <w:t>Based on the nature of operations and quantitative thresholds pursuant to accounting guidance for segment reporting, we have three reportable operating business segments: aviation, marine and land. Corporate expenses are allocated to the segments based on usage, where possible, or on other factors according to the nature of the activity. Our results of operations include (i) the results of the acquisition of all of the outstanding stock of Watson Petroleum in our land segment commencing on March 7, 2014, its acquisition date, and (ii) the results of the acquisition of all of the outstanding stock of Colt in our aviation segment commencing on July 29, 2014, its acquisition date. The accounting policies of the reportable operating segments are the same as those described in the Summary of Significant Accounting Policies (see Note 1). Information concerning our revenue, gross profit and income from operations by segment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6"/>
                <w:szCs w:val="16"/>
                <w:color w:val="auto"/>
              </w:rPr>
            </w:pPr>
          </w:p>
        </w:tc>
        <w:tc>
          <w:tcPr>
            <w:tcW w:w="216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9"/>
        </w:trPr>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216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2013</w:t>
            </w:r>
          </w:p>
        </w:tc>
      </w:tr>
      <w:tr>
        <w:trPr>
          <w:trHeight w:val="210"/>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Aviation segment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4,675,530</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4,179,018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13,361,838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11,854,676</w:t>
            </w:r>
          </w:p>
        </w:tc>
      </w:tr>
      <w:tr>
        <w:trPr>
          <w:trHeight w:val="216"/>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Marine segment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3,725,612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3,575,777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10,738,646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11,260,025</w:t>
            </w:r>
          </w:p>
        </w:tc>
      </w:tr>
      <w:tr>
        <w:trPr>
          <w:trHeight w:val="216"/>
        </w:trPr>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Land segment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3,312,321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2,738,866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9,506,350</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8,042,593</w:t>
            </w:r>
          </w:p>
        </w:tc>
      </w:tr>
      <w:tr>
        <w:trPr>
          <w:trHeight w:val="217"/>
        </w:trPr>
        <w:tc>
          <w:tcPr>
            <w:tcW w:w="4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11,713,463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10,493,661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33,606,834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31,157,294</w:t>
            </w:r>
          </w:p>
        </w:tc>
      </w:tr>
      <w:tr>
        <w:trPr>
          <w:trHeight w:val="216"/>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Aviation segment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96,235</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246,980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242,783</w:t>
            </w:r>
          </w:p>
        </w:tc>
      </w:tr>
      <w:tr>
        <w:trPr>
          <w:trHeight w:val="216"/>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Marine segment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134,237</w:t>
            </w:r>
          </w:p>
        </w:tc>
      </w:tr>
      <w:tr>
        <w:trPr>
          <w:trHeight w:val="216"/>
        </w:trPr>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Land segment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201,089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180,158</w:t>
            </w:r>
          </w:p>
        </w:tc>
      </w:tr>
      <w:tr>
        <w:trPr>
          <w:trHeight w:val="217"/>
        </w:trPr>
        <w:tc>
          <w:tcPr>
            <w:tcW w:w="4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214,608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594,156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557,178</w:t>
            </w:r>
          </w:p>
        </w:tc>
      </w:tr>
      <w:tr>
        <w:trPr>
          <w:trHeight w:val="216"/>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Aviation segment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109,755</w:t>
            </w:r>
          </w:p>
        </w:tc>
      </w:tr>
      <w:tr>
        <w:trPr>
          <w:trHeight w:val="216"/>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Marine segment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56,340</w:t>
            </w:r>
          </w:p>
        </w:tc>
      </w:tr>
      <w:tr>
        <w:trPr>
          <w:trHeight w:val="216"/>
        </w:trPr>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Land segment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63,608</w:t>
            </w:r>
          </w:p>
        </w:tc>
      </w:tr>
      <w:tr>
        <w:trPr>
          <w:trHeight w:val="210"/>
        </w:trPr>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229,703</w:t>
            </w:r>
          </w:p>
        </w:tc>
      </w:tr>
      <w:tr>
        <w:trPr>
          <w:trHeight w:val="216"/>
        </w:trPr>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overhead - unallocated</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29,823</w:t>
            </w:r>
          </w:p>
        </w:tc>
      </w:tr>
      <w:tr>
        <w:trPr>
          <w:trHeight w:val="217"/>
        </w:trPr>
        <w:tc>
          <w:tcPr>
            <w:tcW w:w="4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198,219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199,880</w:t>
            </w: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Information concerning our accounts receivable, net and total assets by segment is as follows (in thousands):</w:t>
      </w:r>
    </w:p>
    <w:p>
      <w:pPr>
        <w:spacing w:after="0" w:line="200" w:lineRule="exact"/>
        <w:rPr>
          <w:sz w:val="20"/>
          <w:szCs w:val="20"/>
          <w:color w:val="auto"/>
        </w:rPr>
      </w:pPr>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7"/>
        </w:trPr>
        <w:tc>
          <w:tcPr>
            <w:tcW w:w="690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9"/>
                <w:szCs w:val="19"/>
                <w:color w:val="auto"/>
              </w:rPr>
            </w:pPr>
          </w:p>
        </w:tc>
      </w:tr>
      <w:tr>
        <w:trPr>
          <w:trHeight w:val="199"/>
        </w:trPr>
        <w:tc>
          <w:tcPr>
            <w:tcW w:w="69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Pr>
          <w:p>
            <w:pPr>
              <w:spacing w:after="0"/>
              <w:rPr>
                <w:sz w:val="17"/>
                <w:szCs w:val="17"/>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9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Aviation segment, net of allowance for bad debt of $7,121 and $9,351 as of September 30,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2014 and December 31, 2013, respectively</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833,478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771,178</w:t>
            </w:r>
          </w:p>
        </w:tc>
        <w:tc>
          <w:tcPr>
            <w:tcW w:w="40" w:type="dxa"/>
            <w:vAlign w:val="bottom"/>
          </w:tcPr>
          <w:p>
            <w:pPr>
              <w:spacing w:after="0"/>
              <w:rPr>
                <w:sz w:val="20"/>
                <w:szCs w:val="20"/>
                <w:color w:val="auto"/>
              </w:rPr>
            </w:pPr>
          </w:p>
        </w:tc>
      </w:tr>
      <w:tr>
        <w:trPr>
          <w:trHeight w:val="198"/>
        </w:trPr>
        <w:tc>
          <w:tcPr>
            <w:tcW w:w="69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Marine segment, net of allowance for bad debt of $10,063 and $9,845 as of September 30,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2014 and December 31, 2013, respectively</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1,243,994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1,205,005</w:t>
            </w:r>
          </w:p>
        </w:tc>
        <w:tc>
          <w:tcPr>
            <w:tcW w:w="40" w:type="dxa"/>
            <w:vAlign w:val="bottom"/>
          </w:tcPr>
          <w:p>
            <w:pPr>
              <w:spacing w:after="0"/>
              <w:rPr>
                <w:sz w:val="20"/>
                <w:szCs w:val="20"/>
                <w:color w:val="auto"/>
              </w:rPr>
            </w:pPr>
          </w:p>
        </w:tc>
      </w:tr>
      <w:tr>
        <w:trPr>
          <w:trHeight w:val="198"/>
        </w:trPr>
        <w:tc>
          <w:tcPr>
            <w:tcW w:w="69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Land segment, net of allowance for bad debt of $10,845 and $9,992 as of September 30,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2014 and December 31, 2013, respectively</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759,578</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562,459</w:t>
            </w:r>
          </w:p>
        </w:tc>
        <w:tc>
          <w:tcPr>
            <w:tcW w:w="40" w:type="dxa"/>
            <w:vAlign w:val="bottom"/>
          </w:tcPr>
          <w:p>
            <w:pPr>
              <w:spacing w:after="0"/>
              <w:rPr>
                <w:sz w:val="20"/>
                <w:szCs w:val="20"/>
                <w:color w:val="auto"/>
              </w:rPr>
            </w:pPr>
          </w:p>
        </w:tc>
      </w:tr>
      <w:tr>
        <w:trPr>
          <w:trHeight w:val="217"/>
        </w:trPr>
        <w:tc>
          <w:tcPr>
            <w:tcW w:w="6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2,837,050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2,538,642</w:t>
            </w:r>
          </w:p>
        </w:tc>
        <w:tc>
          <w:tcPr>
            <w:tcW w:w="40" w:type="dxa"/>
            <w:vAlign w:val="bottom"/>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Aviation segment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1,878,198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1,708,569</w:t>
            </w:r>
          </w:p>
        </w:tc>
        <w:tc>
          <w:tcPr>
            <w:tcW w:w="40" w:type="dxa"/>
            <w:vAlign w:val="bottom"/>
          </w:tcPr>
          <w:p>
            <w:pPr>
              <w:spacing w:after="0"/>
              <w:rPr>
                <w:sz w:val="18"/>
                <w:szCs w:val="18"/>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Marine segment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1,680,701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1,553,267</w:t>
            </w: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segment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1,784,749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1,304,436</w:t>
            </w:r>
          </w:p>
        </w:tc>
        <w:tc>
          <w:tcPr>
            <w:tcW w:w="40" w:type="dxa"/>
            <w:vAlign w:val="bottom"/>
          </w:tcPr>
          <w:p>
            <w:pPr>
              <w:spacing w:after="0"/>
              <w:rPr>
                <w:sz w:val="18"/>
                <w:szCs w:val="18"/>
                <w:color w:val="auto"/>
              </w:rPr>
            </w:pPr>
          </w:p>
        </w:tc>
      </w:tr>
      <w:tr>
        <w:trPr>
          <w:trHeight w:val="216"/>
        </w:trPr>
        <w:tc>
          <w:tcPr>
            <w:tcW w:w="6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180,017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173,005</w:t>
            </w:r>
          </w:p>
        </w:tc>
        <w:tc>
          <w:tcPr>
            <w:tcW w:w="40" w:type="dxa"/>
            <w:vAlign w:val="bottom"/>
          </w:tcPr>
          <w:p>
            <w:pPr>
              <w:spacing w:after="0"/>
              <w:rPr>
                <w:sz w:val="18"/>
                <w:szCs w:val="18"/>
                <w:color w:val="auto"/>
              </w:rPr>
            </w:pPr>
          </w:p>
        </w:tc>
      </w:tr>
      <w:tr>
        <w:trPr>
          <w:trHeight w:val="230"/>
        </w:trPr>
        <w:tc>
          <w:tcPr>
            <w:tcW w:w="6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5,523,665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4,739,277</w:t>
            </w:r>
          </w:p>
        </w:tc>
        <w:tc>
          <w:tcPr>
            <w:tcW w:w="40" w:type="dxa"/>
            <w:vAlign w:val="bottom"/>
          </w:tcPr>
          <w:p>
            <w:pPr>
              <w:spacing w:after="0"/>
              <w:rPr>
                <w:sz w:val="19"/>
                <w:szCs w:val="19"/>
                <w:color w:val="auto"/>
              </w:rPr>
            </w:pPr>
          </w:p>
        </w:tc>
      </w:tr>
      <w:tr>
        <w:trPr>
          <w:trHeight w:val="446"/>
        </w:trPr>
        <w:tc>
          <w:tcPr>
            <w:tcW w:w="690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56"/>
        </w:trPr>
        <w:tc>
          <w:tcPr>
            <w:tcW w:w="6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69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left="100" w:right="219"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2013 10-K Report and the consolidated financial statements and related notes in “Item 1 -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materially from the results and events anticipated or implied by such forward-looking statements are described in “Item 1A — Risk Factors” of our 2013 10-K Report.</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00" w:right="99" w:firstLine="324"/>
        <w:spacing w:after="0" w:line="255" w:lineRule="auto"/>
        <w:rPr>
          <w:sz w:val="20"/>
          <w:szCs w:val="20"/>
          <w:color w:val="auto"/>
        </w:rPr>
      </w:pPr>
      <w:r>
        <w:rPr>
          <w:rFonts w:ascii="Times New Roman" w:cs="Times New Roman" w:eastAsia="Times New Roman" w:hAnsi="Times New Roman"/>
          <w:sz w:val="18"/>
          <w:szCs w:val="18"/>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89" w:lineRule="exact"/>
        <w:rPr>
          <w:sz w:val="20"/>
          <w:szCs w:val="20"/>
          <w:color w:val="auto"/>
        </w:rPr>
      </w:pPr>
    </w:p>
    <w:p>
      <w:pPr>
        <w:ind w:left="100" w:right="119"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88" w:lineRule="exact"/>
        <w:rPr>
          <w:sz w:val="20"/>
          <w:szCs w:val="20"/>
          <w:color w:val="auto"/>
        </w:rPr>
      </w:pPr>
    </w:p>
    <w:p>
      <w:pPr>
        <w:ind w:left="100" w:right="139" w:firstLine="324"/>
        <w:spacing w:after="0" w:line="255" w:lineRule="auto"/>
        <w:rPr>
          <w:sz w:val="20"/>
          <w:szCs w:val="20"/>
          <w:color w:val="auto"/>
        </w:rPr>
      </w:pPr>
      <w:r>
        <w:rPr>
          <w:rFonts w:ascii="Times New Roman" w:cs="Times New Roman" w:eastAsia="Times New Roman" w:hAnsi="Times New Roman"/>
          <w:sz w:val="18"/>
          <w:szCs w:val="18"/>
          <w:color w:val="auto"/>
        </w:rPr>
        <w:t>Examples of forward-looking statements in this 10-Q Report include, but are not limited to, our expectations regarding our business strategy, business prospects, operating results, effectiveness of internal controls to manage risk, working capital, liquidity, capital expenditure requirements and future acquisitions. Important assumptions relating to the forward-looking statements include, among others, assumptions regarding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85" w:lineRule="exact"/>
        <w:rPr>
          <w:sz w:val="20"/>
          <w:szCs w:val="20"/>
          <w:color w:val="auto"/>
        </w:rPr>
      </w:pPr>
    </w:p>
    <w:p>
      <w:pPr>
        <w:ind w:left="100" w:right="139" w:firstLine="324"/>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the results and events anticipated or implied by such forward-looking statements include, but are not limited to:</w:t>
      </w:r>
    </w:p>
    <w:p>
      <w:pPr>
        <w:spacing w:after="0" w:line="162" w:lineRule="exact"/>
        <w:rPr>
          <w:sz w:val="20"/>
          <w:szCs w:val="20"/>
          <w:color w:val="auto"/>
        </w:rPr>
      </w:pPr>
    </w:p>
    <w:p>
      <w:pPr>
        <w:ind w:left="480" w:right="619" w:hanging="53"/>
        <w:spacing w:after="0" w:line="282" w:lineRule="auto"/>
        <w:rPr>
          <w:sz w:val="20"/>
          <w:szCs w:val="20"/>
          <w:color w:val="auto"/>
        </w:rPr>
      </w:pPr>
      <w:r>
        <w:rPr>
          <w:rFonts w:ascii="Times New Roman" w:cs="Times New Roman" w:eastAsia="Times New Roman" w:hAnsi="Times New Roman"/>
          <w:sz w:val="18"/>
          <w:szCs w:val="18"/>
          <w:color w:val="auto"/>
        </w:rPr>
        <w:t>·customer and counterparty creditworthiness and our ability to collect accounts receivable and settle derivative contracts;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changes in the market price of fuel;</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the political, economic or regulatory conditions generally and in the markets in which we operate;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failure to effectively hedge certain financial risks and the use of derivatives;</w:t>
      </w:r>
    </w:p>
    <w:p>
      <w:pPr>
        <w:spacing w:after="0" w:line="225" w:lineRule="exact"/>
        <w:rPr>
          <w:sz w:val="20"/>
          <w:szCs w:val="20"/>
          <w:color w:val="auto"/>
        </w:rPr>
      </w:pPr>
    </w:p>
    <w:p>
      <w:pPr>
        <w:ind w:left="500" w:hanging="71"/>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by counterparties or customers to derivative contracts;</w:t>
      </w:r>
    </w:p>
    <w:p>
      <w:pPr>
        <w:spacing w:after="0" w:line="225" w:lineRule="exact"/>
        <w:rPr>
          <w:rFonts w:ascii="Times New Roman" w:cs="Times New Roman" w:eastAsia="Times New Roman" w:hAnsi="Times New Roman"/>
          <w:sz w:val="18"/>
          <w:szCs w:val="18"/>
          <w:color w:val="auto"/>
        </w:rPr>
      </w:pPr>
    </w:p>
    <w:p>
      <w:pPr>
        <w:ind w:left="540" w:hanging="111"/>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credit terms extended to us from our suppliers;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·non-performance of suppliers on their sale commitments and customers on their purchase commitments;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hanging="91"/>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reduced sales to a significant government customer;</w:t>
      </w:r>
    </w:p>
    <w:p>
      <w:pPr>
        <w:spacing w:after="0" w:line="225" w:lineRule="exact"/>
        <w:rPr>
          <w:rFonts w:ascii="Times New Roman" w:cs="Times New Roman" w:eastAsia="Times New Roman" w:hAnsi="Times New Roman"/>
          <w:sz w:val="18"/>
          <w:szCs w:val="18"/>
          <w:color w:val="auto"/>
        </w:rPr>
      </w:pPr>
    </w:p>
    <w:p>
      <w:pPr>
        <w:ind w:left="560" w:hanging="131"/>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of third-party service providers;</w:t>
      </w:r>
    </w:p>
    <w:p>
      <w:pPr>
        <w:spacing w:after="0" w:line="225" w:lineRule="exact"/>
        <w:rPr>
          <w:sz w:val="20"/>
          <w:szCs w:val="20"/>
          <w:color w:val="auto"/>
        </w:rPr>
      </w:pPr>
    </w:p>
    <w:p>
      <w:pPr>
        <w:ind w:left="480" w:right="159" w:hanging="53"/>
        <w:spacing w:after="0" w:line="282" w:lineRule="auto"/>
        <w:rPr>
          <w:sz w:val="20"/>
          <w:szCs w:val="20"/>
          <w:color w:val="auto"/>
        </w:rPr>
      </w:pPr>
      <w:r>
        <w:rPr>
          <w:rFonts w:ascii="Times New Roman" w:cs="Times New Roman" w:eastAsia="Times New Roman" w:hAnsi="Times New Roman"/>
          <w:sz w:val="18"/>
          <w:szCs w:val="18"/>
          <w:color w:val="auto"/>
        </w:rPr>
        <w:t>·adverse conditions in the industries in which our customers operate, including a continuation of the global economic instability and its impact on the airline and shipping industries;</w:t>
      </w:r>
    </w:p>
    <w:p>
      <w:pPr>
        <w:spacing w:after="0" w:line="162" w:lineRule="exact"/>
        <w:rPr>
          <w:sz w:val="20"/>
          <w:szCs w:val="20"/>
          <w:color w:val="auto"/>
        </w:rPr>
      </w:pPr>
    </w:p>
    <w:p>
      <w:pPr>
        <w:ind w:left="620" w:hanging="191"/>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w:t>
      </w:r>
    </w:p>
    <w:p>
      <w:pPr>
        <w:spacing w:after="0" w:line="225" w:lineRule="exact"/>
        <w:rPr>
          <w:rFonts w:ascii="Times New Roman" w:cs="Times New Roman" w:eastAsia="Times New Roman" w:hAnsi="Times New Roman"/>
          <w:sz w:val="18"/>
          <w:szCs w:val="18"/>
          <w:color w:val="auto"/>
        </w:rPr>
      </w:pPr>
    </w:p>
    <w:p>
      <w:pPr>
        <w:ind w:left="520" w:hanging="91"/>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fuel and other products we sell to meet specifications;</w:t>
      </w:r>
    </w:p>
    <w:p>
      <w:pPr>
        <w:spacing w:after="0" w:line="225" w:lineRule="exact"/>
        <w:rPr>
          <w:rFonts w:ascii="Times New Roman" w:cs="Times New Roman" w:eastAsia="Times New Roman" w:hAnsi="Times New Roman"/>
          <w:sz w:val="18"/>
          <w:szCs w:val="18"/>
          <w:color w:val="auto"/>
        </w:rPr>
      </w:pPr>
    </w:p>
    <w:p>
      <w:pPr>
        <w:ind w:left="640" w:hanging="21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w:t>
      </w:r>
    </w:p>
    <w:p>
      <w:pPr>
        <w:spacing w:after="0" w:line="225" w:lineRule="exact"/>
        <w:rPr>
          <w:sz w:val="20"/>
          <w:szCs w:val="20"/>
          <w:color w:val="auto"/>
        </w:rPr>
      </w:pPr>
    </w:p>
    <w:p>
      <w:pPr>
        <w:ind w:left="420" w:right="2779"/>
        <w:spacing w:after="0" w:line="501" w:lineRule="auto"/>
        <w:rPr>
          <w:sz w:val="20"/>
          <w:szCs w:val="20"/>
          <w:color w:val="auto"/>
        </w:rPr>
      </w:pPr>
      <w:r>
        <w:rPr>
          <w:rFonts w:ascii="Times New Roman" w:cs="Times New Roman" w:eastAsia="Times New Roman" w:hAnsi="Times New Roman"/>
          <w:sz w:val="18"/>
          <w:szCs w:val="18"/>
          <w:color w:val="auto"/>
        </w:rPr>
        <w:t>·our ability to effectively integrate and derive benefits from acquired businesses; · material disruptions in the availability or supply of fuel;</w:t>
      </w:r>
    </w:p>
    <w:p>
      <w:pPr>
        <w:ind w:left="420"/>
        <w:spacing w:after="0"/>
        <w:rPr>
          <w:sz w:val="20"/>
          <w:szCs w:val="20"/>
          <w:color w:val="auto"/>
        </w:rPr>
      </w:pPr>
      <w:r>
        <w:rPr>
          <w:rFonts w:ascii="Times New Roman" w:cs="Times New Roman" w:eastAsia="Times New Roman" w:hAnsi="Times New Roman"/>
          <w:sz w:val="18"/>
          <w:szCs w:val="18"/>
          <w:color w:val="auto"/>
        </w:rPr>
        <w:t>·environmental and other risks associated with the storage, transportation and delivery of petroleum products;</w:t>
      </w:r>
    </w:p>
    <w:p>
      <w:pPr>
        <w:spacing w:after="0" w:line="225" w:lineRule="exact"/>
        <w:rPr>
          <w:sz w:val="20"/>
          <w:szCs w:val="20"/>
          <w:color w:val="auto"/>
        </w:rPr>
      </w:pPr>
    </w:p>
    <w:p>
      <w:pPr>
        <w:ind w:left="520" w:hanging="91"/>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Lac-Mégantic derailment and related matters;</w:t>
      </w:r>
    </w:p>
    <w:p>
      <w:pPr>
        <w:spacing w:after="0" w:line="225" w:lineRule="exact"/>
        <w:rPr>
          <w:rFonts w:ascii="Times New Roman" w:cs="Times New Roman" w:eastAsia="Times New Roman" w:hAnsi="Times New Roman"/>
          <w:sz w:val="18"/>
          <w:szCs w:val="18"/>
          <w:color w:val="auto"/>
        </w:rPr>
      </w:pPr>
    </w:p>
    <w:p>
      <w:pPr>
        <w:ind w:left="540" w:hanging="111"/>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high risk locations;</w:t>
      </w:r>
    </w:p>
    <w:p>
      <w:pPr>
        <w:spacing w:after="0" w:line="225" w:lineRule="exact"/>
        <w:rPr>
          <w:rFonts w:ascii="Times New Roman" w:cs="Times New Roman" w:eastAsia="Times New Roman" w:hAnsi="Times New Roman"/>
          <w:sz w:val="18"/>
          <w:szCs w:val="18"/>
          <w:color w:val="auto"/>
        </w:rPr>
      </w:pPr>
    </w:p>
    <w:p>
      <w:pPr>
        <w:ind w:left="780" w:hanging="351"/>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losses;</w:t>
      </w:r>
    </w:p>
    <w:p>
      <w:pPr>
        <w:spacing w:after="0" w:line="225" w:lineRule="exact"/>
        <w:rPr>
          <w:rFonts w:ascii="Times New Roman" w:cs="Times New Roman" w:eastAsia="Times New Roman" w:hAnsi="Times New Roman"/>
          <w:sz w:val="18"/>
          <w:szCs w:val="18"/>
          <w:color w:val="auto"/>
        </w:rPr>
      </w:pPr>
    </w:p>
    <w:p>
      <w:pPr>
        <w:ind w:left="560" w:hanging="131"/>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such as hurricanes;</w:t>
      </w:r>
    </w:p>
    <w:p>
      <w:pPr>
        <w:spacing w:after="0" w:line="225" w:lineRule="exact"/>
        <w:rPr>
          <w:sz w:val="20"/>
          <w:szCs w:val="20"/>
          <w:color w:val="auto"/>
        </w:rPr>
      </w:pPr>
    </w:p>
    <w:p>
      <w:pPr>
        <w:ind w:left="480" w:right="359" w:hanging="53"/>
        <w:spacing w:after="0" w:line="282" w:lineRule="auto"/>
        <w:rPr>
          <w:sz w:val="20"/>
          <w:szCs w:val="20"/>
          <w:color w:val="auto"/>
        </w:rPr>
      </w:pPr>
      <w:r>
        <w:rPr>
          <w:rFonts w:ascii="Times New Roman" w:cs="Times New Roman" w:eastAsia="Times New Roman" w:hAnsi="Times New Roman"/>
          <w:sz w:val="18"/>
          <w:szCs w:val="18"/>
          <w:color w:val="auto"/>
        </w:rPr>
        <w:t>·our failure to comply with restrictions and covenants in our senior revolving credit facility (“Credit Facility”) and our senior term loans (“Term Loans”);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liquidity and solvency of banks within our Credit Facility and Term Loans;</w:t>
      </w:r>
    </w:p>
    <w:p>
      <w:pPr>
        <w:spacing w:after="0" w:line="225" w:lineRule="exact"/>
        <w:rPr>
          <w:sz w:val="20"/>
          <w:szCs w:val="20"/>
          <w:color w:val="auto"/>
        </w:rPr>
      </w:pPr>
    </w:p>
    <w:p>
      <w:pPr>
        <w:ind w:left="660" w:hanging="231"/>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w:t>
      </w:r>
    </w:p>
    <w:p>
      <w:pPr>
        <w:spacing w:after="0" w:line="225" w:lineRule="exact"/>
        <w:rPr>
          <w:rFonts w:ascii="Times New Roman" w:cs="Times New Roman" w:eastAsia="Times New Roman" w:hAnsi="Times New Roman"/>
          <w:sz w:val="18"/>
          <w:szCs w:val="18"/>
          <w:color w:val="auto"/>
        </w:rPr>
      </w:pPr>
    </w:p>
    <w:p>
      <w:pPr>
        <w:ind w:left="500" w:hanging="71"/>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and liquidity of cash equivalents and investments;</w:t>
      </w:r>
    </w:p>
    <w:p>
      <w:pPr>
        <w:spacing w:after="0" w:line="225" w:lineRule="exact"/>
        <w:rPr>
          <w:rFonts w:ascii="Times New Roman" w:cs="Times New Roman" w:eastAsia="Times New Roman" w:hAnsi="Times New Roman"/>
          <w:sz w:val="18"/>
          <w:szCs w:val="18"/>
          <w:color w:val="auto"/>
        </w:rPr>
      </w:pPr>
    </w:p>
    <w:p>
      <w:pPr>
        <w:ind w:left="500" w:hanging="71"/>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senior management and other key employees;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U.S. or foreign tax laws or changes in the mix of taxable income among different tax jurisdictions;</w:t>
      </w:r>
    </w:p>
    <w:p>
      <w:pPr>
        <w:spacing w:after="0" w:line="225" w:lineRule="exact"/>
        <w:rPr>
          <w:sz w:val="20"/>
          <w:szCs w:val="20"/>
          <w:color w:val="auto"/>
        </w:rPr>
      </w:pPr>
    </w:p>
    <w:p>
      <w:pPr>
        <w:ind w:left="480" w:right="459" w:hanging="53"/>
        <w:spacing w:after="0" w:line="282" w:lineRule="auto"/>
        <w:rPr>
          <w:sz w:val="20"/>
          <w:szCs w:val="20"/>
          <w:color w:val="auto"/>
        </w:rPr>
      </w:pPr>
      <w:r>
        <w:rPr>
          <w:rFonts w:ascii="Times New Roman" w:cs="Times New Roman" w:eastAsia="Times New Roman" w:hAnsi="Times New Roman"/>
          <w:sz w:val="18"/>
          <w:szCs w:val="18"/>
          <w:color w:val="auto"/>
        </w:rPr>
        <w:t>·our ability to comply with U.S. and international laws and regulations including those related to anti-corruption, economic sanction programs and environmental matters;</w:t>
      </w:r>
    </w:p>
    <w:p>
      <w:pPr>
        <w:spacing w:after="0" w:line="162" w:lineRule="exact"/>
        <w:rPr>
          <w:sz w:val="20"/>
          <w:szCs w:val="20"/>
          <w:color w:val="auto"/>
        </w:rPr>
      </w:pPr>
    </w:p>
    <w:p>
      <w:pPr>
        <w:ind w:left="420"/>
        <w:spacing w:after="0"/>
        <w:tabs>
          <w:tab w:leader="none" w:pos="600" w:val="left"/>
        </w:tabs>
        <w:rPr>
          <w:sz w:val="20"/>
          <w:szCs w:val="20"/>
          <w:color w:val="auto"/>
        </w:rPr>
      </w:pPr>
      <w:r>
        <w:rPr>
          <w:rFonts w:ascii="Times New Roman" w:cs="Times New Roman" w:eastAsia="Times New Roman" w:hAnsi="Times New Roman"/>
          <w:sz w:val="18"/>
          <w:szCs w:val="18"/>
          <w:color w:val="auto"/>
        </w:rPr>
        <w:t>·</w:t>
        <w:tab/>
        <w:t>increased levels of competition;</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outcome of litigation and the costs associated in defending any actions; and</w:t>
      </w:r>
    </w:p>
    <w:p>
      <w:pPr>
        <w:spacing w:after="0" w:line="225" w:lineRule="exact"/>
        <w:rPr>
          <w:sz w:val="20"/>
          <w:szCs w:val="20"/>
          <w:color w:val="auto"/>
        </w:rPr>
      </w:pPr>
    </w:p>
    <w:p>
      <w:pPr>
        <w:ind w:left="480" w:right="119" w:hanging="53"/>
        <w:spacing w:after="0" w:line="282" w:lineRule="auto"/>
        <w:rPr>
          <w:sz w:val="20"/>
          <w:szCs w:val="20"/>
          <w:color w:val="auto"/>
        </w:rPr>
      </w:pPr>
      <w:r>
        <w:rPr>
          <w:rFonts w:ascii="Times New Roman" w:cs="Times New Roman" w:eastAsia="Times New Roman" w:hAnsi="Times New Roman"/>
          <w:sz w:val="18"/>
          <w:szCs w:val="18"/>
          <w:color w:val="auto"/>
        </w:rPr>
        <w:t>·other risks, including those described in “Item 1A - Risk Factors” in our 2013 10-K Report and those described from time to time in our other filings with the SEC.</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 w:right="199" w:firstLine="324"/>
        <w:spacing w:after="0" w:line="255"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w:t>
      </w:r>
    </w:p>
    <w:p>
      <w:pPr>
        <w:spacing w:after="0" w:line="3" w:lineRule="exact"/>
        <w:rPr>
          <w:sz w:val="20"/>
          <w:szCs w:val="20"/>
          <w:color w:val="auto"/>
        </w:rPr>
      </w:pPr>
    </w:p>
    <w:p>
      <w:pPr>
        <w:ind w:left="100" w:right="139"/>
        <w:spacing w:after="0" w:line="254" w:lineRule="auto"/>
        <w:rPr>
          <w:sz w:val="20"/>
          <w:szCs w:val="20"/>
          <w:color w:val="auto"/>
        </w:rPr>
      </w:pPr>
      <w:r>
        <w:rPr>
          <w:rFonts w:ascii="Times New Roman" w:cs="Times New Roman" w:eastAsia="Times New Roman" w:hAnsi="Times New Roman"/>
          <w:sz w:val="18"/>
          <w:szCs w:val="18"/>
          <w:color w:val="auto"/>
        </w:rPr>
        <w:t>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w:t>
      </w:r>
    </w:p>
    <w:p>
      <w:pPr>
        <w:spacing w:after="0" w:line="186" w:lineRule="exact"/>
        <w:rPr>
          <w:sz w:val="20"/>
          <w:szCs w:val="20"/>
          <w:color w:val="auto"/>
        </w:rPr>
      </w:pPr>
    </w:p>
    <w:p>
      <w:pPr>
        <w:ind w:left="100" w:right="219" w:firstLine="324"/>
        <w:spacing w:after="0" w:line="282" w:lineRule="auto"/>
        <w:rPr>
          <w:sz w:val="20"/>
          <w:szCs w:val="20"/>
          <w:color w:val="auto"/>
        </w:rPr>
      </w:pPr>
      <w:r>
        <w:rPr>
          <w:rFonts w:ascii="Times New Roman" w:cs="Times New Roman" w:eastAsia="Times New Roman" w:hAnsi="Times New Roman"/>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100" w:right="99" w:firstLine="324"/>
        <w:spacing w:after="0" w:line="252" w:lineRule="auto"/>
        <w:rPr>
          <w:sz w:val="20"/>
          <w:szCs w:val="20"/>
          <w:color w:val="auto"/>
        </w:rPr>
      </w:pPr>
      <w:r>
        <w:rPr>
          <w:rFonts w:ascii="Times New Roman" w:cs="Times New Roman" w:eastAsia="Times New Roman" w:hAnsi="Times New Roman"/>
          <w:sz w:val="18"/>
          <w:szCs w:val="18"/>
          <w:color w:val="auto"/>
        </w:rPr>
        <w:t>We are a leading global fuel logistics company, principally engaged in the marketing, sale and distribution of aviation, marine, and land fuel and related products and services on a worldwide basis. We compete by providing our customers with value-added benefits, including single-supplier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Additionally, we offer transaction management services which consist of card payment solutions and merchant processing services to customers in the aviation, marine and land transportation industries. In our aviation segment, we offer fuel and related products and services to major commercial airlines, second and third-tier airlines, cargo carriers, regional and low cost carriers, airports, fixed based operators, corporate fleets, fractional operators, private aircraft, military fleets and to the U.S. and foreign governments. In our marine segment, we offer fuel, lubricants, and related products and services to a broad base of marine customers, including international container and tanker fleets, commercial cruise lines, yachts and time-charter operators, as well as to the U.S. and foreign governments. In our land segment, we offer fuel, lubricants and related products and services to petroleum distributors operating in the land transportation market, retail petroleum operators, and retail, industrial, commercial and government customers and we engage in crude oil marketing activities.</w:t>
      </w:r>
    </w:p>
    <w:p>
      <w:pPr>
        <w:spacing w:after="0" w:line="196" w:lineRule="exact"/>
        <w:rPr>
          <w:sz w:val="20"/>
          <w:szCs w:val="20"/>
          <w:color w:val="auto"/>
        </w:rPr>
      </w:pPr>
    </w:p>
    <w:p>
      <w:pPr>
        <w:ind w:left="100" w:right="99" w:firstLine="324"/>
        <w:spacing w:after="0" w:line="255" w:lineRule="auto"/>
        <w:rPr>
          <w:sz w:val="20"/>
          <w:szCs w:val="20"/>
          <w:color w:val="auto"/>
        </w:rPr>
      </w:pPr>
      <w:r>
        <w:rPr>
          <w:rFonts w:ascii="Times New Roman" w:cs="Times New Roman" w:eastAsia="Times New Roman" w:hAnsi="Times New Roman"/>
          <w:sz w:val="18"/>
          <w:szCs w:val="18"/>
          <w:color w:val="auto"/>
        </w:rPr>
        <w:t>In our aviation and land segments, we primarily purchase and resell fuel and other products, and we do not act as brokers. Profit from our aviation and land segments is primarily determined by the volume and the gross profit achieved on fuel resales and a percentage of card payment and processing revenue. In our marine segment, we primarily purchase and resell fuel and other products, and also act as brokers for others. Profit from our marine segment is determined primarily by the volume and gross profit achieved on fuel resales and by the volume and commission rate of the brokering business. Our profitability in our segments also depends on our operating expenses, which may be significantly affected to the extent that we are required to provide for potential bad debt.</w:t>
      </w:r>
    </w:p>
    <w:p>
      <w:pPr>
        <w:spacing w:after="0" w:line="189" w:lineRule="exact"/>
        <w:rPr>
          <w:sz w:val="20"/>
          <w:szCs w:val="20"/>
          <w:color w:val="auto"/>
        </w:rPr>
      </w:pPr>
    </w:p>
    <w:p>
      <w:pPr>
        <w:jc w:val="both"/>
        <w:ind w:left="100" w:right="239" w:firstLine="324"/>
        <w:spacing w:after="0" w:line="258" w:lineRule="auto"/>
        <w:rPr>
          <w:sz w:val="20"/>
          <w:szCs w:val="20"/>
          <w:color w:val="auto"/>
        </w:rPr>
      </w:pPr>
      <w:r>
        <w:rPr>
          <w:rFonts w:ascii="Times New Roman" w:cs="Times New Roman" w:eastAsia="Times New Roman" w:hAnsi="Times New Roman"/>
          <w:sz w:val="18"/>
          <w:szCs w:val="18"/>
          <w:color w:val="auto"/>
        </w:rPr>
        <w:t>Our revenue and cost of revenue are significantly impacted by world oil prices, as evidenced in part by our revenue and cost of revenue fluctuations in previous fiscal years, while our gross profit is not necessarily impacted by changes in world oil prices. However, significant movements in fuel prices during any given financial period can have a significant impact on our gross profit, either positively or negatively depending on the direction, volatility and timing of such price movements.</w:t>
      </w:r>
    </w:p>
    <w:p>
      <w:pPr>
        <w:spacing w:after="0" w:line="184" w:lineRule="exact"/>
        <w:rPr>
          <w:sz w:val="20"/>
          <w:szCs w:val="20"/>
          <w:color w:val="auto"/>
        </w:rPr>
      </w:pPr>
    </w:p>
    <w:p>
      <w:pPr>
        <w:ind w:left="100" w:right="119" w:firstLine="324"/>
        <w:spacing w:after="0" w:line="255" w:lineRule="auto"/>
        <w:rPr>
          <w:sz w:val="20"/>
          <w:szCs w:val="20"/>
          <w:color w:val="auto"/>
        </w:rPr>
      </w:pPr>
      <w:r>
        <w:rPr>
          <w:rFonts w:ascii="Times New Roman" w:cs="Times New Roman" w:eastAsia="Times New Roman" w:hAnsi="Times New Roman"/>
          <w:sz w:val="18"/>
          <w:szCs w:val="18"/>
          <w:color w:val="auto"/>
        </w:rPr>
        <w:t>We may experience decreases in future sales volumes and margins as a result of the ongoing deterioration in the world economy, the decline of the transportation industry, natural disasters and continued conflicts and instability in the Middle East, Eastern Europe,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Our hedging activities may not be effective to mitigate volatile fuel prices and may expose us to counterparty risk. See “Item 1A — Risk Factors” of our 2013 10-K Report.</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left="100" w:right="359" w:firstLine="324"/>
        <w:spacing w:after="0" w:line="258" w:lineRule="auto"/>
        <w:rPr>
          <w:sz w:val="20"/>
          <w:szCs w:val="20"/>
          <w:color w:val="auto"/>
        </w:rPr>
      </w:pPr>
      <w:r>
        <w:rPr>
          <w:rFonts w:ascii="Times New Roman" w:cs="Times New Roman" w:eastAsia="Times New Roman" w:hAnsi="Times New Roman"/>
          <w:sz w:val="18"/>
          <w:szCs w:val="18"/>
          <w:color w:val="auto"/>
        </w:rPr>
        <w:t>We have three reportable operating segments: aviation, marine and land. Corporate expenses are allocated to each segment based on usage, where possible, or on other factors according to the nature of the activity. We evaluate and manage our business segments using the performance measurement of income from operations. Financial information with respect to our business segments is provided in Note 9 to the accompanying consolidated financial statements included in this 10-Q Report.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100" w:right="359" w:firstLine="441"/>
        <w:spacing w:after="0" w:line="276" w:lineRule="auto"/>
        <w:rPr>
          <w:sz w:val="20"/>
          <w:szCs w:val="20"/>
          <w:color w:val="auto"/>
        </w:rPr>
      </w:pPr>
      <w:r>
        <w:rPr>
          <w:rFonts w:ascii="Times New Roman" w:cs="Times New Roman" w:eastAsia="Times New Roman" w:hAnsi="Times New Roman"/>
          <w:sz w:val="17"/>
          <w:szCs w:val="17"/>
          <w:color w:val="auto"/>
        </w:rPr>
        <w:t>Our results of operations include (i) the results of the acquisition of all of the outstanding stock of Watson Petroleum Limited (“Watson Petroleum”) in our land segment commencing on March 7, 2014, its acquisition date, and</w:t>
      </w:r>
    </w:p>
    <w:p>
      <w:pPr>
        <w:spacing w:after="0" w:line="1" w:lineRule="exact"/>
        <w:rPr>
          <w:sz w:val="20"/>
          <w:szCs w:val="20"/>
          <w:color w:val="auto"/>
        </w:rPr>
      </w:pPr>
    </w:p>
    <w:p>
      <w:pPr>
        <w:ind w:left="100" w:right="619" w:firstLine="5"/>
        <w:spacing w:after="0" w:line="261" w:lineRule="auto"/>
        <w:tabs>
          <w:tab w:leader="none" w:pos="3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acquisition of all of the outstanding stock of Colt International, L.L.C. (“Colt”) in our aviation segment commencing on July 29, 2014, its acquisition date.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2014 Compared to Three Months Ended September 30, 2013</w:t>
      </w:r>
    </w:p>
    <w:p>
      <w:pPr>
        <w:spacing w:after="0" w:line="227" w:lineRule="exact"/>
        <w:rPr>
          <w:sz w:val="20"/>
          <w:szCs w:val="20"/>
          <w:color w:val="auto"/>
        </w:rPr>
      </w:pPr>
    </w:p>
    <w:p>
      <w:pPr>
        <w:ind w:left="100" w:right="3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revenue for the third quarter of 2014 was $11.7 billion, an increase of $1.2 billion, or 11.6%,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third quarter of 2013. Our revenue during these periods was attributable to the following segments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9"/>
        </w:trPr>
        <w:tc>
          <w:tcPr>
            <w:tcW w:w="3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3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21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4,675,530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4,179,018</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496,512</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3,725,612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3,575,777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149,835</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19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3,312,321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2,738,866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573,455</w:t>
            </w:r>
          </w:p>
        </w:tc>
      </w:tr>
      <w:tr>
        <w:trPr>
          <w:trHeight w:val="217"/>
        </w:trPr>
        <w:tc>
          <w:tcPr>
            <w:tcW w:w="3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11,713,463</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10,493,661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1,219,802</w:t>
            </w:r>
          </w:p>
        </w:tc>
      </w:tr>
    </w:tbl>
    <w:p>
      <w:pPr>
        <w:spacing w:after="0" w:line="198" w:lineRule="exact"/>
        <w:rPr>
          <w:sz w:val="20"/>
          <w:szCs w:val="20"/>
          <w:color w:val="auto"/>
        </w:rPr>
      </w:pPr>
    </w:p>
    <w:p>
      <w:pPr>
        <w:ind w:left="100" w:right="219" w:firstLine="324"/>
        <w:spacing w:after="0" w:line="258" w:lineRule="auto"/>
        <w:rPr>
          <w:sz w:val="20"/>
          <w:szCs w:val="20"/>
          <w:color w:val="auto"/>
        </w:rPr>
      </w:pPr>
      <w:r>
        <w:rPr>
          <w:rFonts w:ascii="Times New Roman" w:cs="Times New Roman" w:eastAsia="Times New Roman" w:hAnsi="Times New Roman"/>
          <w:sz w:val="18"/>
          <w:szCs w:val="18"/>
          <w:color w:val="auto"/>
        </w:rPr>
        <w:t>Our aviation segment revenue for the third quarter of 2014 was $4.7 billion, an increase of $0.5 billion, or 11.9%, as compared to the third quarter of 2013. Of the increase in aviation segment revenue, $0.7 billion was due to increased volume attributable to new and existing customers, which was partially offset by $0.2 billion due to a decrease in the average price per gallon sold as a result of lower average jet fuel prices in the third quarter of 2014 as compared to the third quarter of 2013.</w:t>
      </w:r>
    </w:p>
    <w:p>
      <w:pPr>
        <w:spacing w:after="0" w:line="184" w:lineRule="exact"/>
        <w:rPr>
          <w:sz w:val="20"/>
          <w:szCs w:val="20"/>
          <w:color w:val="auto"/>
        </w:rPr>
      </w:pPr>
    </w:p>
    <w:p>
      <w:pPr>
        <w:ind w:left="100" w:right="159" w:firstLine="324"/>
        <w:spacing w:after="0" w:line="266" w:lineRule="auto"/>
        <w:rPr>
          <w:sz w:val="20"/>
          <w:szCs w:val="20"/>
          <w:color w:val="auto"/>
        </w:rPr>
      </w:pPr>
      <w:r>
        <w:rPr>
          <w:rFonts w:ascii="Times New Roman" w:cs="Times New Roman" w:eastAsia="Times New Roman" w:hAnsi="Times New Roman"/>
          <w:sz w:val="18"/>
          <w:szCs w:val="18"/>
          <w:color w:val="auto"/>
        </w:rPr>
        <w:t>Our marine segment revenue for the third quarter of 2014 was $3.7 billion, an increase of $0.1 billion, or 4.2%, as compared to the third quarter of 2013. The increase in marine segment revenue was primarily due to increased volume in the third quarter of 2014 as compared to the third quarter of 2013.</w:t>
      </w:r>
    </w:p>
    <w:p>
      <w:pPr>
        <w:spacing w:after="0" w:line="176" w:lineRule="exact"/>
        <w:rPr>
          <w:sz w:val="20"/>
          <w:szCs w:val="20"/>
          <w:color w:val="auto"/>
        </w:rPr>
      </w:pPr>
    </w:p>
    <w:p>
      <w:pPr>
        <w:ind w:left="100" w:right="219" w:firstLine="324"/>
        <w:spacing w:after="0" w:line="258" w:lineRule="auto"/>
        <w:rPr>
          <w:sz w:val="20"/>
          <w:szCs w:val="20"/>
          <w:color w:val="auto"/>
        </w:rPr>
      </w:pPr>
      <w:r>
        <w:rPr>
          <w:rFonts w:ascii="Times New Roman" w:cs="Times New Roman" w:eastAsia="Times New Roman" w:hAnsi="Times New Roman"/>
          <w:sz w:val="18"/>
          <w:szCs w:val="18"/>
          <w:color w:val="auto"/>
        </w:rPr>
        <w:t>Our land segment revenue for the third quarter of 2014 was $3.3 billion, an increase of $0.6 billion, or 20.9%, as compared to the third quarter of 2013. Of the increase in land segment revenue, $0.6 billion was due to revenue from acquired businesses and $0.3 billion was due to increased volume attributable to new and existing customers, which was partially offset by $0.3 billion due to a decrease in the average price per gallon sold as a result of lower average land fuel prices in the third quarter of 2014 as compared to the third quarter of 2013.</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00" w:right="2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Our gross profit for the third quarter of 2014 was $214.6 million, an increase of $28.3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15.2%, as compared to the third quarter of 2013. Our gross profit during these periods was attributable to the following segments (in thousands):</w:t>
      </w:r>
    </w:p>
    <w:p>
      <w:pPr>
        <w:spacing w:after="0" w:line="11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9"/>
        </w:trPr>
        <w:tc>
          <w:tcPr>
            <w:tcW w:w="3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3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2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89,758</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18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68,969</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w:t>
            </w:r>
          </w:p>
        </w:tc>
      </w:tr>
      <w:tr>
        <w:trPr>
          <w:trHeight w:val="217"/>
        </w:trPr>
        <w:tc>
          <w:tcPr>
            <w:tcW w:w="3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214,608</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186,341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28,267</w:t>
            </w: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Our aviation segment gross profit for the third quarter of 2014 was $96.2 million, an increase of $6.5 million, or</w:t>
      </w:r>
    </w:p>
    <w:p>
      <w:pPr>
        <w:spacing w:after="0" w:line="27" w:lineRule="exact"/>
        <w:rPr>
          <w:sz w:val="20"/>
          <w:szCs w:val="20"/>
          <w:color w:val="auto"/>
        </w:rPr>
      </w:pPr>
    </w:p>
    <w:p>
      <w:pPr>
        <w:ind w:left="100" w:right="179"/>
        <w:spacing w:after="0" w:line="254" w:lineRule="auto"/>
        <w:rPr>
          <w:sz w:val="20"/>
          <w:szCs w:val="20"/>
          <w:color w:val="auto"/>
        </w:rPr>
      </w:pPr>
      <w:r>
        <w:rPr>
          <w:rFonts w:ascii="Times New Roman" w:cs="Times New Roman" w:eastAsia="Times New Roman" w:hAnsi="Times New Roman"/>
          <w:sz w:val="18"/>
          <w:szCs w:val="18"/>
          <w:color w:val="auto"/>
        </w:rPr>
        <w:t>7.2%, as compared to the third quarter of 2013. Of the increase in aviation segment gross profit, $14.0 million was due to increased volume attributable to new and existing customers and $4.9 million was due to gross profit from acquired businesses, which was partially offset by $12.4 million from lower gross profit per gallon sold principally due to fluctuations in customer mix.</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marine segment gross profit for the third quarter of 2014 was $49.4 million, an increase of $9.2 million, or</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22.8%, as compared to the third quarter of 2013. Of the increase in marine segment gross profit, $7.7 million was due to</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increased gross profit per metric ton sold principally due to certain higher margin business activity and $1.5 million was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due to increased volume.</w:t>
      </w:r>
    </w:p>
    <w:p>
      <w:pPr>
        <w:spacing w:after="0" w:line="207" w:lineRule="exact"/>
        <w:rPr>
          <w:sz w:val="20"/>
          <w:szCs w:val="20"/>
          <w:color w:val="auto"/>
        </w:rPr>
      </w:pPr>
    </w:p>
    <w:p>
      <w:pPr>
        <w:ind w:left="100" w:right="119" w:firstLine="324"/>
        <w:spacing w:after="0" w:line="256" w:lineRule="auto"/>
        <w:rPr>
          <w:sz w:val="20"/>
          <w:szCs w:val="20"/>
          <w:color w:val="auto"/>
        </w:rPr>
      </w:pPr>
      <w:r>
        <w:rPr>
          <w:rFonts w:ascii="Times New Roman" w:cs="Times New Roman" w:eastAsia="Times New Roman" w:hAnsi="Times New Roman"/>
          <w:sz w:val="18"/>
          <w:szCs w:val="18"/>
          <w:color w:val="auto"/>
        </w:rPr>
        <w:t>Our land segment gross profit for the third quarter of 2014 was $69.0 million, an increase of $12.6 million, or 22.4%, as compared to the third quarter of 2013. Of the increase in land segment gross profit, $9.8 million was due to gross profit from acquired businesses, $2.2 million was due to increased volume and $2.1 million was due to higher gross profit per gallon sold principally due to fluctuations in customer mix. Additionally, a land segment joint venture which generated $1.5 million in gross profit for the third quarter of 2013 was deconsolidated effective December 31, 2013 and is not included in our land segment gross profit for the third quarter of 2014.</w:t>
      </w:r>
    </w:p>
    <w:p>
      <w:pPr>
        <w:spacing w:after="0" w:line="186" w:lineRule="exact"/>
        <w:rPr>
          <w:sz w:val="20"/>
          <w:szCs w:val="20"/>
          <w:color w:val="auto"/>
        </w:rPr>
      </w:pPr>
    </w:p>
    <w:p>
      <w:pPr>
        <w:ind w:left="100" w:right="1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third quarter of 2014 were $140.5 million, an increase of $18.4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15.0%, as compared to the third quarter of 2013. The following table sets forth our expense categories (in thousands):</w:t>
      </w:r>
    </w:p>
    <w:p>
      <w:pPr>
        <w:spacing w:after="0" w:line="11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9"/>
        </w:trPr>
        <w:tc>
          <w:tcPr>
            <w:tcW w:w="3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72,184</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bad debt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54,141</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r>
      <w:tr>
        <w:trPr>
          <w:trHeight w:val="217"/>
        </w:trPr>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140,505</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18,367</w:t>
            </w:r>
          </w:p>
        </w:tc>
      </w:tr>
    </w:tbl>
    <w:p>
      <w:pPr>
        <w:spacing w:after="0" w:line="198" w:lineRule="exact"/>
        <w:rPr>
          <w:sz w:val="20"/>
          <w:szCs w:val="20"/>
          <w:color w:val="auto"/>
        </w:rPr>
      </w:pPr>
    </w:p>
    <w:p>
      <w:pPr>
        <w:ind w:left="100" w:right="299" w:firstLine="324"/>
        <w:spacing w:after="0" w:line="261" w:lineRule="auto"/>
        <w:rPr>
          <w:sz w:val="20"/>
          <w:szCs w:val="20"/>
          <w:color w:val="auto"/>
        </w:rPr>
      </w:pPr>
      <w:r>
        <w:rPr>
          <w:rFonts w:ascii="Times New Roman" w:cs="Times New Roman" w:eastAsia="Times New Roman" w:hAnsi="Times New Roman"/>
          <w:sz w:val="18"/>
          <w:szCs w:val="18"/>
          <w:color w:val="auto"/>
        </w:rPr>
        <w:t>The $13.0 million increase in compensation and employee benefits was due to the inclusion of $8.7 million of expenses from acquired businesses and $4.3 million principally related to incentive based compensation. The $6.0 million increase in general and administrative expenses was principally due to the inclusion of $4.9 million of expenses from acquired businesses and $0.6 million of acquisition related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 w:name="page28"/>
    <w:bookmarkEnd w:id="27"/>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00" w:right="1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Our income from operations for the third quarter of 2014 was $74.1 million,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$9.9 million, or 15.4%, as compared to the third quarter of 2013. Income from operations during these periods was attributable to the following segments (in thousands):</w:t>
      </w:r>
    </w:p>
    <w:p>
      <w:pPr>
        <w:spacing w:after="0" w:line="331"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9"/>
        </w:trPr>
        <w:tc>
          <w:tcPr>
            <w:tcW w:w="3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3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1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1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r>
      <w:tr>
        <w:trPr>
          <w:trHeight w:val="210"/>
        </w:trPr>
        <w:tc>
          <w:tcPr>
            <w:tcW w:w="3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14,244</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overhead - unallocated</w:t>
            </w:r>
          </w:p>
        </w:tc>
        <w:tc>
          <w:tcPr>
            <w:tcW w:w="1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r>
      <w:tr>
        <w:trPr>
          <w:trHeight w:val="217"/>
        </w:trPr>
        <w:tc>
          <w:tcPr>
            <w:tcW w:w="3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74,103</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r>
    </w:tbl>
    <w:p>
      <w:pPr>
        <w:spacing w:after="0" w:line="198" w:lineRule="exact"/>
        <w:rPr>
          <w:sz w:val="20"/>
          <w:szCs w:val="20"/>
          <w:color w:val="auto"/>
        </w:rPr>
      </w:pPr>
    </w:p>
    <w:p>
      <w:pPr>
        <w:ind w:left="100" w:right="419" w:firstLine="324"/>
        <w:spacing w:after="0" w:line="266" w:lineRule="auto"/>
        <w:rPr>
          <w:sz w:val="20"/>
          <w:szCs w:val="20"/>
          <w:color w:val="auto"/>
        </w:rPr>
      </w:pPr>
      <w:r>
        <w:rPr>
          <w:rFonts w:ascii="Times New Roman" w:cs="Times New Roman" w:eastAsia="Times New Roman" w:hAnsi="Times New Roman"/>
          <w:sz w:val="18"/>
          <w:szCs w:val="18"/>
          <w:color w:val="auto"/>
        </w:rPr>
        <w:t>Our aviation segment income from operations for the third quarter of 2014 was $47.3 million, an increase of $6.3 million, or 15.4%, as compared to the third quarter of 2013. This increase resulted from $6.5 million in higher gross profit, partially offset by increased operating expenses of $0.2 million.</w:t>
      </w:r>
    </w:p>
    <w:p>
      <w:pPr>
        <w:spacing w:after="0" w:line="176" w:lineRule="exact"/>
        <w:rPr>
          <w:sz w:val="20"/>
          <w:szCs w:val="20"/>
          <w:color w:val="auto"/>
        </w:rPr>
      </w:pPr>
    </w:p>
    <w:p>
      <w:pPr>
        <w:ind w:left="100" w:right="139" w:firstLine="324"/>
        <w:spacing w:after="0" w:line="256" w:lineRule="auto"/>
        <w:rPr>
          <w:sz w:val="20"/>
          <w:szCs w:val="20"/>
          <w:color w:val="auto"/>
        </w:rPr>
      </w:pPr>
      <w:r>
        <w:rPr>
          <w:rFonts w:ascii="Times New Roman" w:cs="Times New Roman" w:eastAsia="Times New Roman" w:hAnsi="Times New Roman"/>
          <w:sz w:val="18"/>
          <w:szCs w:val="18"/>
          <w:color w:val="auto"/>
        </w:rPr>
        <w:t>Our marine segment income from operations for the third quarter of 2014 was $20.9 million, an increase of $3.9 million, or 23.0%, as compared to the third quarter of 2013. This increase resulted from $9.2 million in higher gross profit, which was partially offset by increased operating expenses of $5.3 million. The increase in marine segment operating expenses was due to a $3.4 million increase in compensation and employee benefits primarily due to higher incentive based compensation, a $0.9 million increase in provision for bad debt and a $1.0 million increase in general and administrative expenses.</w:t>
      </w:r>
    </w:p>
    <w:p>
      <w:pPr>
        <w:spacing w:after="0" w:line="188" w:lineRule="exact"/>
        <w:rPr>
          <w:sz w:val="20"/>
          <w:szCs w:val="20"/>
          <w:color w:val="auto"/>
        </w:rPr>
      </w:pPr>
    </w:p>
    <w:p>
      <w:pPr>
        <w:ind w:left="100" w:right="479" w:firstLine="324"/>
        <w:spacing w:after="0" w:line="261" w:lineRule="auto"/>
        <w:rPr>
          <w:sz w:val="20"/>
          <w:szCs w:val="20"/>
          <w:color w:val="auto"/>
        </w:rPr>
      </w:pPr>
      <w:r>
        <w:rPr>
          <w:rFonts w:ascii="Times New Roman" w:cs="Times New Roman" w:eastAsia="Times New Roman" w:hAnsi="Times New Roman"/>
          <w:sz w:val="18"/>
          <w:szCs w:val="18"/>
          <w:color w:val="auto"/>
        </w:rPr>
        <w:t>Our land segment income from operations for the third quarter of 2014 was $19.1 million, an increase of $4.0 million, or 26.5%, as compared to the third quarter of 2013. This increase resulted from $12.6 million in higher gross profit, which was partially offset by increased operating expenses of $8.6 million, principally due to the inclusion of acquired businesses.</w:t>
      </w:r>
    </w:p>
    <w:p>
      <w:pPr>
        <w:spacing w:after="0" w:line="180" w:lineRule="exact"/>
        <w:rPr>
          <w:sz w:val="20"/>
          <w:szCs w:val="20"/>
          <w:color w:val="auto"/>
        </w:rPr>
      </w:pPr>
    </w:p>
    <w:p>
      <w:pPr>
        <w:jc w:val="both"/>
        <w:ind w:left="100" w:right="299" w:firstLine="324"/>
        <w:spacing w:after="0" w:line="266" w:lineRule="auto"/>
        <w:rPr>
          <w:sz w:val="20"/>
          <w:szCs w:val="20"/>
          <w:color w:val="auto"/>
        </w:rPr>
      </w:pPr>
      <w:r>
        <w:rPr>
          <w:rFonts w:ascii="Times New Roman" w:cs="Times New Roman" w:eastAsia="Times New Roman" w:hAnsi="Times New Roman"/>
          <w:sz w:val="18"/>
          <w:szCs w:val="18"/>
          <w:color w:val="auto"/>
        </w:rPr>
        <w:t>Corporate overhead costs not charged to the business segments for the third quarter of 2014 were $13.3 million, an increase of $4.3 million, or 48.7%, as compared to the third quarter of 2013. This increase was primarily attributable to $2.8 million in increased compensation and employee benefits and $0.6 million in acquisition related expenses.</w:t>
      </w:r>
    </w:p>
    <w:p>
      <w:pPr>
        <w:spacing w:after="0" w:line="174" w:lineRule="exact"/>
        <w:rPr>
          <w:sz w:val="20"/>
          <w:szCs w:val="20"/>
          <w:color w:val="auto"/>
        </w:rPr>
      </w:pPr>
    </w:p>
    <w:p>
      <w:pPr>
        <w:ind w:left="100" w:right="11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Non-Operating Expenses, net. </w:t>
      </w:r>
      <w:r>
        <w:rPr>
          <w:rFonts w:ascii="Times New Roman" w:cs="Times New Roman" w:eastAsia="Times New Roman" w:hAnsi="Times New Roman"/>
          <w:sz w:val="18"/>
          <w:szCs w:val="18"/>
          <w:color w:val="auto"/>
        </w:rPr>
        <w:t>For the third quarter of 2014, we had non-operating expenses, net of $6.2 million,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$0.5 million, or 8.5%, as compared to the third quarter of 2013. This increase was principally due to a $4.2 million increase in interest expense and other financing costs, net, as a result of higher average borrowings in the third quarter of 2014 as compared to the third quarter of 2013. This was partially offset by an increase in earnings of $2.0 million from our equity investments in the third quarter of 2014 as compared to the third quarter of 2013. The increase in earnings from our equity investments is principally related to the deconsolidation of a land segment joint venture effective December 31, 2013, which thereafter is being accounted for under the equity method.</w:t>
      </w:r>
    </w:p>
    <w:p>
      <w:pPr>
        <w:spacing w:after="0" w:line="183" w:lineRule="exact"/>
        <w:rPr>
          <w:sz w:val="20"/>
          <w:szCs w:val="20"/>
          <w:color w:val="auto"/>
        </w:rPr>
      </w:pPr>
    </w:p>
    <w:p>
      <w:pPr>
        <w:jc w:val="both"/>
        <w:ind w:left="100" w:right="1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the third quarter of 2014, our effective income tax rate was 19.8% and our income tax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$13.4 million, as compared to an effective income tax rate of 14.0% and an income tax provision of $8.2 million for the third quarter of 2013. The higher effective income tax rate is primarily attributable to differences in the results of our subsidiaries in tax jurisdictions with different income tax rates as compared to the third quarter of 2013.</w:t>
      </w:r>
    </w:p>
    <w:p>
      <w:pPr>
        <w:spacing w:after="0" w:line="180" w:lineRule="exact"/>
        <w:rPr>
          <w:sz w:val="20"/>
          <w:szCs w:val="20"/>
          <w:color w:val="auto"/>
        </w:rPr>
      </w:pPr>
    </w:p>
    <w:p>
      <w:pPr>
        <w:ind w:left="100" w:right="9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(Loss) Income Attributable to Noncontrolling Interest</w:t>
      </w:r>
      <w:r>
        <w:rPr>
          <w:rFonts w:ascii="Times New Roman" w:cs="Times New Roman" w:eastAsia="Times New Roman" w:hAnsi="Times New Roman"/>
          <w:sz w:val="18"/>
          <w:szCs w:val="18"/>
          <w:color w:val="auto"/>
        </w:rPr>
        <w:t>. For the third quarter of 2014 and 2013, net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noncontrolling interest was $1.2 million.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00" w:right="4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Net Income and Diluted Earnings per Common Share</w:t>
      </w:r>
      <w:r>
        <w:rPr>
          <w:rFonts w:ascii="Times New Roman" w:cs="Times New Roman" w:eastAsia="Times New Roman" w:hAnsi="Times New Roman"/>
          <w:sz w:val="18"/>
          <w:szCs w:val="18"/>
          <w:color w:val="auto"/>
        </w:rPr>
        <w:t>. Our net income for the third quarter of 2014 was $55.7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 increase of $4.2 million, or 8.1%, as compared to the third quarter of 2013. Diluted earnings per common share for the third quarter of 2014 was $0.78 per common share, an increase of $0.06 per common share, or 8.3%, as compared to the third quarter of 2013.</w:t>
      </w:r>
    </w:p>
    <w:p>
      <w:pPr>
        <w:spacing w:after="0" w:line="180" w:lineRule="exact"/>
        <w:rPr>
          <w:sz w:val="20"/>
          <w:szCs w:val="20"/>
          <w:color w:val="auto"/>
        </w:rPr>
      </w:pPr>
    </w:p>
    <w:p>
      <w:pPr>
        <w:ind w:left="100" w:right="179"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Non-GAAP Net Income and Non-GAAP Diluted Earnings per Common Share</w:t>
      </w:r>
      <w:r>
        <w:rPr>
          <w:rFonts w:ascii="Times New Roman" w:cs="Times New Roman" w:eastAsia="Times New Roman" w:hAnsi="Times New Roman"/>
          <w:sz w:val="18"/>
          <w:szCs w:val="18"/>
          <w:color w:val="auto"/>
        </w:rPr>
        <w:t>. Our non-GAAP net income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2014 was $64.6 million, an increase of $6.7 million, or 11.6%, as compared to the third quarter of 2013. Non-GAAP diluted earnings per common share for the third quarter of 2014 was $0.91 per common share, an increase of $0.10 per common share, or 12.3%, as compared to the third quarter of 2013. The following table sets forth the reconciliation between our net income and non-GAAP net income for the third quarter of 2014 and 2013 (in thousands):</w:t>
      </w:r>
    </w:p>
    <w:p>
      <w:pPr>
        <w:spacing w:after="0" w:line="108"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55"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7620</wp:posOffset>
            </wp:positionV>
            <wp:extent cx="14408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89"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65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World Fuel</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51,472</w:t>
            </w:r>
          </w:p>
        </w:tc>
      </w:tr>
      <w:tr>
        <w:trPr>
          <w:trHeight w:val="198"/>
        </w:trPr>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expense, net of income taxes of $1,067 and $1,472 for 2014</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and 2013, respectively</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198"/>
        </w:trPr>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Intangible asset amortization expense, net of income taxes of $707 and $1,970 for 2014</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2013, respectively</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198"/>
        </w:trPr>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the acquisitions of Watson Petroleum and Colt, net of income taxes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of $232</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World Fuel</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57,882</w:t>
            </w:r>
          </w:p>
        </w:tc>
      </w:tr>
    </w:tbl>
    <w:p>
      <w:pPr>
        <w:spacing w:after="0" w:line="198" w:lineRule="exact"/>
        <w:rPr>
          <w:sz w:val="20"/>
          <w:szCs w:val="20"/>
          <w:color w:val="auto"/>
        </w:rPr>
      </w:pPr>
    </w:p>
    <w:p>
      <w:pPr>
        <w:ind w:left="100" w:right="4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between our diluted earnings per common share and non-GAAP diluted earnings per common share for the third quarter of 2014 and 2013:</w:t>
      </w:r>
    </w:p>
    <w:p>
      <w:pPr>
        <w:spacing w:after="0" w:line="101"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55"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7620</wp:posOffset>
            </wp:positionV>
            <wp:extent cx="14408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89"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65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6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0.78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 net of income taxes</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 net of income taxes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Expenses related to the acquisitions of Watson Petroleum and Colt, net of income taxes</w:t>
            </w: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common share</w:t>
            </w:r>
          </w:p>
        </w:tc>
        <w:tc>
          <w:tcPr>
            <w:tcW w:w="68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0.91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bl>
    <w:p>
      <w:pPr>
        <w:spacing w:after="0" w:line="198" w:lineRule="exact"/>
        <w:rPr>
          <w:sz w:val="20"/>
          <w:szCs w:val="20"/>
          <w:color w:val="auto"/>
        </w:rPr>
      </w:pPr>
    </w:p>
    <w:p>
      <w:pPr>
        <w:ind w:left="100" w:right="99" w:firstLine="324"/>
        <w:spacing w:after="0" w:line="268" w:lineRule="auto"/>
        <w:rPr>
          <w:sz w:val="20"/>
          <w:szCs w:val="20"/>
          <w:color w:val="auto"/>
        </w:rPr>
      </w:pPr>
      <w:r>
        <w:rPr>
          <w:rFonts w:ascii="Times New Roman" w:cs="Times New Roman" w:eastAsia="Times New Roman" w:hAnsi="Times New Roman"/>
          <w:sz w:val="17"/>
          <w:szCs w:val="17"/>
          <w:color w:val="auto"/>
        </w:rPr>
        <w:t>The non-GAAP financial measures exclude costs associated with share-based compensation, amortization of acquired intangible assets and expenses related to the acquisitions of Watson Petroleum and Colt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and the expenses related to the acquisitions of Watson Petroleum and Colt are useful for purposes of evaluating operating performance of our core operating results and comparing them period over 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 w:right="559"/>
        <w:spacing w:after="0" w:line="282" w:lineRule="auto"/>
        <w:rPr>
          <w:sz w:val="20"/>
          <w:szCs w:val="20"/>
          <w:color w:val="auto"/>
        </w:rPr>
      </w:pPr>
      <w:r>
        <w:rPr>
          <w:rFonts w:ascii="Times New Roman" w:cs="Times New Roman" w:eastAsia="Times New Roman" w:hAnsi="Times New Roman"/>
          <w:sz w:val="18"/>
          <w:szCs w:val="18"/>
          <w:color w:val="auto"/>
        </w:rPr>
        <w:t>outstanding if our outstanding potentially dilutive securities had been issued. Investors are encouraged to review the reconciliation of these non-GAAP measures to their most directly comparable GAAP financial measures.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 September 30, 2014 Compared to Nine Months Ended September 30, 2013</w:t>
      </w:r>
    </w:p>
    <w:p>
      <w:pPr>
        <w:spacing w:after="0" w:line="227" w:lineRule="exact"/>
        <w:rPr>
          <w:sz w:val="20"/>
          <w:szCs w:val="20"/>
          <w:color w:val="auto"/>
        </w:rPr>
      </w:pPr>
    </w:p>
    <w:p>
      <w:pPr>
        <w:ind w:left="100" w:right="2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Our revenue for the first nine months of 2014 was $33.6 billion, an increase of $2.4 billion, or 7.9%,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first nine months of 2013. Our revenue during these periods was attributable to the following segments (in thousands):</w:t>
      </w: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9"/>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13,361,838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11,854,676</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1,507,162</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10,738,646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11,260,025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(521,379)</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9,506,350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8,042,593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1,463,757</w:t>
            </w:r>
          </w:p>
        </w:tc>
      </w:tr>
      <w:tr>
        <w:trPr>
          <w:trHeight w:val="217"/>
        </w:trPr>
        <w:tc>
          <w:tcPr>
            <w:tcW w:w="50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33,606,834</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31,157,294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2,449,540</w:t>
            </w: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aviation segment revenue for the first nine months of 2014 was $13.4 billion, an increase of $1.5 billion, or</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12.7%, as compared to the first nine months of 2013. Of the increase in aviation segment revenue, $2.0 billion was due to</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increased volume attributable to new and existing customers, which was partially offset by $0.5 billion due to a decrease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 the average price per gallon sold as a result of lower average jet fuel prices in the first nine months of 2014 as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compared to the first nine months of 2013.</w:t>
      </w:r>
    </w:p>
    <w:p>
      <w:pPr>
        <w:spacing w:after="0" w:line="207" w:lineRule="exact"/>
        <w:rPr>
          <w:sz w:val="20"/>
          <w:szCs w:val="20"/>
          <w:color w:val="auto"/>
        </w:rPr>
      </w:pPr>
    </w:p>
    <w:p>
      <w:pPr>
        <w:ind w:left="100" w:right="219" w:firstLine="324"/>
        <w:spacing w:after="0" w:line="258" w:lineRule="auto"/>
        <w:rPr>
          <w:sz w:val="20"/>
          <w:szCs w:val="20"/>
          <w:color w:val="auto"/>
        </w:rPr>
      </w:pPr>
      <w:r>
        <w:rPr>
          <w:rFonts w:ascii="Times New Roman" w:cs="Times New Roman" w:eastAsia="Times New Roman" w:hAnsi="Times New Roman"/>
          <w:sz w:val="18"/>
          <w:szCs w:val="18"/>
          <w:color w:val="auto"/>
        </w:rPr>
        <w:t>Our marine segment revenue for the first nine months of 2014 was $10.7 billion, a decrease of $0.5 billion, or 4.6%, as compared to the first nine months of 2013. Of the decrease in marine segment revenue, $1.0 billion was due to decreased volume for the first nine months of 2014 as compared to the first nine months of 2013, which was partially offset by $0.5 billion due to an increase in the average price per metric ton sold in the first nine months of 2014 as compared to the first nine months of 2013.</w:t>
      </w:r>
    </w:p>
    <w:p>
      <w:pPr>
        <w:spacing w:after="0" w:line="184" w:lineRule="exact"/>
        <w:rPr>
          <w:sz w:val="20"/>
          <w:szCs w:val="20"/>
          <w:color w:val="auto"/>
        </w:rPr>
      </w:pPr>
    </w:p>
    <w:p>
      <w:pPr>
        <w:ind w:left="100" w:right="119" w:firstLine="324"/>
        <w:spacing w:after="0" w:line="258" w:lineRule="auto"/>
        <w:rPr>
          <w:sz w:val="20"/>
          <w:szCs w:val="20"/>
          <w:color w:val="auto"/>
        </w:rPr>
      </w:pPr>
      <w:r>
        <w:rPr>
          <w:rFonts w:ascii="Times New Roman" w:cs="Times New Roman" w:eastAsia="Times New Roman" w:hAnsi="Times New Roman"/>
          <w:sz w:val="18"/>
          <w:szCs w:val="18"/>
          <w:color w:val="auto"/>
        </w:rPr>
        <w:t>Our land segment revenue for the first nine months of 2014 was $9.5 billion, an increase of $1.5 billion, or 18.2%, as compared to the first nine months of 2013. Of the increase in land segment revenue, $1.5 billion was due to revenue from acquired businesses and $0.8 billion was due to increased volume attributable to new and existing customers, which was partially offset by $0.8 billion due to a decrease in the average price per gallon sold as a result of lower average land fuel prices in the first nine months of 2014 as compared to the first nine months of 2013.</w:t>
      </w:r>
    </w:p>
    <w:p>
      <w:pPr>
        <w:spacing w:after="0" w:line="182" w:lineRule="exact"/>
        <w:rPr>
          <w:sz w:val="20"/>
          <w:szCs w:val="20"/>
          <w:color w:val="auto"/>
        </w:rPr>
      </w:pPr>
    </w:p>
    <w:p>
      <w:pPr>
        <w:ind w:left="100" w:right="2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Our gross profit for the first nine months of 2014 was $594.2 million, an increase of $37.0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6.6%, as compared to the first nine months of 2013. Our gross profit during these periods was attributable to the following segments (in thousands):</w:t>
      </w:r>
    </w:p>
    <w:p>
      <w:pPr>
        <w:spacing w:after="0" w:line="102"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9"/>
        </w:trPr>
        <w:tc>
          <w:tcPr>
            <w:tcW w:w="5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246,980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242,783</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146,087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201,089</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w:t>
            </w:r>
          </w:p>
        </w:tc>
      </w:tr>
      <w:tr>
        <w:trPr>
          <w:trHeight w:val="217"/>
        </w:trPr>
        <w:tc>
          <w:tcPr>
            <w:tcW w:w="50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594,156</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557,178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36,978</w:t>
            </w:r>
          </w:p>
        </w:tc>
      </w:tr>
    </w:tbl>
    <w:p>
      <w:pPr>
        <w:spacing w:after="0" w:line="198" w:lineRule="exact"/>
        <w:rPr>
          <w:sz w:val="20"/>
          <w:szCs w:val="20"/>
          <w:color w:val="auto"/>
        </w:rPr>
      </w:pPr>
    </w:p>
    <w:p>
      <w:pPr>
        <w:ind w:left="100" w:right="99" w:firstLine="324"/>
        <w:spacing w:after="0" w:line="258" w:lineRule="auto"/>
        <w:rPr>
          <w:sz w:val="20"/>
          <w:szCs w:val="20"/>
          <w:color w:val="auto"/>
        </w:rPr>
      </w:pPr>
      <w:r>
        <w:rPr>
          <w:rFonts w:ascii="Times New Roman" w:cs="Times New Roman" w:eastAsia="Times New Roman" w:hAnsi="Times New Roman"/>
          <w:sz w:val="18"/>
          <w:szCs w:val="18"/>
          <w:color w:val="auto"/>
        </w:rPr>
        <w:t>Our aviation segment gross profit for the first nine months of 2014 was $247.0 million, an increase of $4.2 million, or 1.7%, as compared to the first nine months of 2013. Of the increase in aviation segment gross profit, $40.3 million was due to increased volume attributable to new and existing customers and $4.9 million was due to gross profit from acquired businesses, which was partially offset by $41.0 million from lower gross profit per gallon sold principally due to fluctuations in customer mix.</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 w:right="99" w:firstLine="324"/>
        <w:spacing w:after="0" w:line="258" w:lineRule="auto"/>
        <w:rPr>
          <w:sz w:val="20"/>
          <w:szCs w:val="20"/>
          <w:color w:val="auto"/>
        </w:rPr>
      </w:pPr>
      <w:r>
        <w:rPr>
          <w:rFonts w:ascii="Times New Roman" w:cs="Times New Roman" w:eastAsia="Times New Roman" w:hAnsi="Times New Roman"/>
          <w:sz w:val="18"/>
          <w:szCs w:val="18"/>
          <w:color w:val="auto"/>
        </w:rPr>
        <w:t>Our marine segment gross profit for the first nine months of 2014 was $146.1 million, an increase of $11.9 million, or 8.8%, as compared to the first nine months of 2013. Of the increase in marine segment gross profit, $23.9 million was due to increased gross profit per metric ton sold principally due to certain higher margin business activity and fluctuations in customer mix. This was partially offset by $12.0 million in decreased volume due to an increase in market competitiveness.</w:t>
      </w:r>
    </w:p>
    <w:p>
      <w:pPr>
        <w:spacing w:after="0" w:line="184" w:lineRule="exact"/>
        <w:rPr>
          <w:sz w:val="20"/>
          <w:szCs w:val="20"/>
          <w:color w:val="auto"/>
        </w:rPr>
      </w:pPr>
    </w:p>
    <w:p>
      <w:pPr>
        <w:ind w:left="100" w:right="279" w:firstLine="324"/>
        <w:spacing w:after="0" w:line="255" w:lineRule="auto"/>
        <w:rPr>
          <w:sz w:val="20"/>
          <w:szCs w:val="20"/>
          <w:color w:val="auto"/>
        </w:rPr>
      </w:pPr>
      <w:r>
        <w:rPr>
          <w:rFonts w:ascii="Times New Roman" w:cs="Times New Roman" w:eastAsia="Times New Roman" w:hAnsi="Times New Roman"/>
          <w:sz w:val="18"/>
          <w:szCs w:val="18"/>
          <w:color w:val="auto"/>
        </w:rPr>
        <w:t>Our land segment gross profit for the first nine months of 2014 was $201.1 million, an increase of $20.9 million, or 11.6%, as compared to the first nine months of 2013. The increase in land segment gross profit was principally due to $36.7 million in gross profit from acquired businesses and $1.0 million due to higher gross profit per gallon sold principally due to fluctuations in customer mix. These increases were partially offset by $5.3 million due to decreased volume and $4.2 million in lower gross profit related to our crude oil marketing activities. Additionally, a land segment joint venture which generated $7.3 million in gross profit for the first nine months of 2013 was deconsolidated effective December 31, 2013 and is not included in our land segment gross profit for the first nine months of 2014.</w:t>
      </w:r>
    </w:p>
    <w:p>
      <w:pPr>
        <w:spacing w:after="0" w:line="187" w:lineRule="exact"/>
        <w:rPr>
          <w:sz w:val="20"/>
          <w:szCs w:val="20"/>
          <w:color w:val="auto"/>
        </w:rPr>
      </w:pPr>
    </w:p>
    <w:p>
      <w:pPr>
        <w:ind w:left="100" w:right="2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first nine months of 2014 were $395.9 million,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$38.6 million, or 10.8%, as compared to the first nine months of 2013. The following table sets forth our expense categories (in thousands):</w:t>
      </w:r>
    </w:p>
    <w:p>
      <w:pPr>
        <w:spacing w:after="0" w:line="102"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9"/>
        </w:trPr>
        <w:tc>
          <w:tcPr>
            <w:tcW w:w="5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214,358</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19,251</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bad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(2,142)</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158,795</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21,530</w:t>
            </w:r>
          </w:p>
        </w:tc>
      </w:tr>
      <w:tr>
        <w:trPr>
          <w:trHeight w:val="217"/>
        </w:trPr>
        <w:tc>
          <w:tcPr>
            <w:tcW w:w="50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395,937</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357,298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38,639</w:t>
            </w:r>
          </w:p>
        </w:tc>
      </w:tr>
    </w:tbl>
    <w:p>
      <w:pPr>
        <w:spacing w:after="0" w:line="198" w:lineRule="exact"/>
        <w:rPr>
          <w:sz w:val="20"/>
          <w:szCs w:val="20"/>
          <w:color w:val="auto"/>
        </w:rPr>
      </w:pPr>
    </w:p>
    <w:p>
      <w:pPr>
        <w:ind w:left="100" w:right="159" w:firstLine="324"/>
        <w:spacing w:after="0" w:line="256" w:lineRule="auto"/>
        <w:rPr>
          <w:sz w:val="20"/>
          <w:szCs w:val="20"/>
          <w:color w:val="auto"/>
        </w:rPr>
      </w:pPr>
      <w:r>
        <w:rPr>
          <w:rFonts w:ascii="Times New Roman" w:cs="Times New Roman" w:eastAsia="Times New Roman" w:hAnsi="Times New Roman"/>
          <w:sz w:val="18"/>
          <w:szCs w:val="18"/>
          <w:color w:val="auto"/>
        </w:rPr>
        <w:t>The $19.3 million increase in compensation and employee benefits was due to the inclusion of $18.0 million of expenses from acquired businesses and an executive non-renewal charge of $4.8 million related to the non-renewal of the employment agreement of our former Executive Chairman of the Board of Directors. These increases were partially offset by $2.5 million in decreased share-based compensation. The $21.5 million increase in general and administrative expenses was due to the inclusion of $13.7 million in expenses from acquired businesses and $7.8 million principally due to increased professional fees, general insurance expenses and acquisition related expenses.</w:t>
      </w:r>
    </w:p>
    <w:p>
      <w:pPr>
        <w:spacing w:after="0" w:line="186" w:lineRule="exact"/>
        <w:rPr>
          <w:sz w:val="20"/>
          <w:szCs w:val="20"/>
          <w:color w:val="auto"/>
        </w:rPr>
      </w:pPr>
    </w:p>
    <w:p>
      <w:pPr>
        <w:ind w:left="100" w:right="4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Our income from operations for the first nine months of 2014 was $198.2 million,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$1.7 million, or 0.8%, as compared to the first nine months of 2013. Income from operations during these periods was attributable to the following segments (in thousands):</w:t>
      </w:r>
    </w:p>
    <w:p>
      <w:pPr>
        <w:spacing w:after="0" w:line="11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9"/>
        </w:trPr>
        <w:tc>
          <w:tcPr>
            <w:tcW w:w="3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3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1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114,553</w:t>
            </w:r>
          </w:p>
        </w:tc>
        <w:tc>
          <w:tcPr>
            <w:tcW w:w="540" w:type="dxa"/>
            <w:vAlign w:val="bottom"/>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8"/>
              </w:rPr>
              <w:t>4,798</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8"/>
              </w:rPr>
              <w:t>6,563</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1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60,020</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8"/>
              </w:rPr>
              <w:t>(3,588)</w:t>
            </w:r>
          </w:p>
        </w:tc>
      </w:tr>
      <w:tr>
        <w:trPr>
          <w:trHeight w:val="210"/>
        </w:trPr>
        <w:tc>
          <w:tcPr>
            <w:tcW w:w="3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237,476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8"/>
              </w:rPr>
              <w:t>7,773</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overhead - unallocated</w:t>
            </w:r>
          </w:p>
        </w:tc>
        <w:tc>
          <w:tcPr>
            <w:tcW w:w="1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39,257</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8"/>
              </w:rPr>
              <w:t>9,434</w:t>
            </w:r>
          </w:p>
        </w:tc>
      </w:tr>
      <w:tr>
        <w:trPr>
          <w:trHeight w:val="217"/>
        </w:trPr>
        <w:tc>
          <w:tcPr>
            <w:tcW w:w="3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198,219</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199,880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w w:val="98"/>
              </w:rPr>
              <w:t>(1,661)</w:t>
            </w:r>
          </w:p>
        </w:tc>
      </w:tr>
    </w:tbl>
    <w:p>
      <w:pPr>
        <w:spacing w:after="0" w:line="198" w:lineRule="exact"/>
        <w:rPr>
          <w:sz w:val="20"/>
          <w:szCs w:val="20"/>
          <w:color w:val="auto"/>
        </w:rPr>
      </w:pPr>
    </w:p>
    <w:p>
      <w:pPr>
        <w:jc w:val="both"/>
        <w:ind w:left="100" w:right="379" w:firstLine="324"/>
        <w:spacing w:after="0" w:line="266" w:lineRule="auto"/>
        <w:rPr>
          <w:sz w:val="20"/>
          <w:szCs w:val="20"/>
          <w:color w:val="auto"/>
        </w:rPr>
      </w:pPr>
      <w:r>
        <w:rPr>
          <w:rFonts w:ascii="Times New Roman" w:cs="Times New Roman" w:eastAsia="Times New Roman" w:hAnsi="Times New Roman"/>
          <w:sz w:val="18"/>
          <w:szCs w:val="18"/>
          <w:color w:val="auto"/>
        </w:rPr>
        <w:t>Our aviation segment income from operations for the first nine months of 2014 was $114.6 million, an increase of $4.8 million, or 4.4%, as compared to the first nine months of 2013. This increase resulted from $4.2 million in higher gross profit and $0.6 million of decreased operating expenses.</w:t>
      </w:r>
    </w:p>
    <w:p>
      <w:pPr>
        <w:spacing w:after="0" w:line="176" w:lineRule="exact"/>
        <w:rPr>
          <w:sz w:val="20"/>
          <w:szCs w:val="20"/>
          <w:color w:val="auto"/>
        </w:rPr>
      </w:pPr>
    </w:p>
    <w:p>
      <w:pPr>
        <w:jc w:val="both"/>
        <w:ind w:left="100" w:right="159" w:firstLine="324"/>
        <w:spacing w:after="0" w:line="266" w:lineRule="auto"/>
        <w:rPr>
          <w:sz w:val="20"/>
          <w:szCs w:val="20"/>
          <w:color w:val="auto"/>
        </w:rPr>
      </w:pPr>
      <w:r>
        <w:rPr>
          <w:rFonts w:ascii="Times New Roman" w:cs="Times New Roman" w:eastAsia="Times New Roman" w:hAnsi="Times New Roman"/>
          <w:sz w:val="18"/>
          <w:szCs w:val="18"/>
          <w:color w:val="auto"/>
        </w:rPr>
        <w:t>Our marine segment income from operations for the first nine months of 2014 was $62.9 million, an increase of $6.6 million, or 11.6%, as compared to the first nine months of 2013. This increase resulted from $11.9 million in higher gross profit, which was partially offset by increased operating expenses of $5.3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00" w:right="199" w:firstLine="324"/>
        <w:spacing w:after="0" w:line="261" w:lineRule="auto"/>
        <w:rPr>
          <w:sz w:val="20"/>
          <w:szCs w:val="20"/>
          <w:color w:val="auto"/>
        </w:rPr>
      </w:pPr>
      <w:r>
        <w:rPr>
          <w:rFonts w:ascii="Times New Roman" w:cs="Times New Roman" w:eastAsia="Times New Roman" w:hAnsi="Times New Roman"/>
          <w:sz w:val="18"/>
          <w:szCs w:val="18"/>
          <w:color w:val="auto"/>
        </w:rPr>
        <w:t>Our land segment income from operations for the first nine months of 2014 was $60.0 million, a decrease of $3.6 million, or 5.6%, as compared to the first nine months of 2013. This decrease resulted from increased operating expenses of $24.5 million, which was partially offset by $20.9 million in higher gross profit. The increase in land segment operating expenses was principally due to the inclusion of acquired businesses.</w:t>
      </w:r>
    </w:p>
    <w:p>
      <w:pPr>
        <w:spacing w:after="0" w:line="180" w:lineRule="exact"/>
        <w:rPr>
          <w:sz w:val="20"/>
          <w:szCs w:val="20"/>
          <w:color w:val="auto"/>
        </w:rPr>
      </w:pPr>
    </w:p>
    <w:p>
      <w:pPr>
        <w:ind w:left="100" w:right="159" w:firstLine="324"/>
        <w:spacing w:after="0" w:line="261" w:lineRule="auto"/>
        <w:rPr>
          <w:sz w:val="20"/>
          <w:szCs w:val="20"/>
          <w:color w:val="auto"/>
        </w:rPr>
      </w:pPr>
      <w:r>
        <w:rPr>
          <w:rFonts w:ascii="Times New Roman" w:cs="Times New Roman" w:eastAsia="Times New Roman" w:hAnsi="Times New Roman"/>
          <w:sz w:val="18"/>
          <w:szCs w:val="18"/>
          <w:color w:val="auto"/>
        </w:rPr>
        <w:t>Corporate overhead costs not charged to the business segments for the first nine months of 2014 were $39.3 million, an increase of $9.4 million, or 31.6%, as compared to the first nine months of 2013. This increase was primarily attributable to the $4.8 million executive non-renewal charge, $3.8 million in increased professional fees and $1.8 million in acquisition related expenses.</w:t>
      </w:r>
    </w:p>
    <w:p>
      <w:pPr>
        <w:spacing w:after="0" w:line="178" w:lineRule="exact"/>
        <w:rPr>
          <w:sz w:val="20"/>
          <w:szCs w:val="20"/>
          <w:color w:val="auto"/>
        </w:rPr>
      </w:pPr>
    </w:p>
    <w:p>
      <w:pPr>
        <w:ind w:left="100" w:right="159"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Non-Operating Expenses, net. </w:t>
      </w:r>
      <w:r>
        <w:rPr>
          <w:rFonts w:ascii="Times New Roman" w:cs="Times New Roman" w:eastAsia="Times New Roman" w:hAnsi="Times New Roman"/>
          <w:sz w:val="17"/>
          <w:szCs w:val="17"/>
          <w:color w:val="auto"/>
        </w:rPr>
        <w:t>For the first nine months of 2014, we had non-operating expenses, net of $11.9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a decrease of $2.1 million, or 15.1%, as compared to the first nine months of 2013. This decrease was principally due to a $4.9 million increase in earnings from our equity investments in the first nine months of 2014 as compared to the first nine months of 2013, which was partially offset by a $4.1 million increase in interest expense and other financing costs, net, as a result of higher average borrowings in the first nine months of 2014 as compared to the first nine months of 2013. The increase in earnings from our equity investments is principally related to the deconsolidation of a land segment joint venture effective December 31, 2013, which thereafter is being accounted for under the equity method.</w:t>
      </w:r>
    </w:p>
    <w:p>
      <w:pPr>
        <w:spacing w:after="0" w:line="172" w:lineRule="exact"/>
        <w:rPr>
          <w:sz w:val="20"/>
          <w:szCs w:val="20"/>
          <w:color w:val="auto"/>
        </w:rPr>
      </w:pPr>
    </w:p>
    <w:p>
      <w:pPr>
        <w:ind w:left="100" w:right="239"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the first nine months of 2014, our effective income tax rate was 18.8% and our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was $35.0 million, as compared to an effective income tax rate of 17.3% and an income tax provision of $32.1 million for the first nine months of 2013. The higher effective income tax rate is primarily attributable to differences in the results of our subsidiaries in tax jurisdictions with different income tax rates as compared to the first nine months of 2013.</w:t>
      </w:r>
    </w:p>
    <w:p>
      <w:pPr>
        <w:spacing w:after="0" w:line="180" w:lineRule="exact"/>
        <w:rPr>
          <w:sz w:val="20"/>
          <w:szCs w:val="20"/>
          <w:color w:val="auto"/>
        </w:rPr>
      </w:pPr>
    </w:p>
    <w:p>
      <w:pPr>
        <w:jc w:val="both"/>
        <w:ind w:left="100" w:right="1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(Loss) Income Attributable to Noncontrolling Interest. </w:t>
      </w:r>
      <w:r>
        <w:rPr>
          <w:rFonts w:ascii="Times New Roman" w:cs="Times New Roman" w:eastAsia="Times New Roman" w:hAnsi="Times New Roman"/>
          <w:sz w:val="18"/>
          <w:szCs w:val="18"/>
          <w:color w:val="auto"/>
        </w:rPr>
        <w:t>For the first nine months of 2014, net loss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noncontrolling interest was $3.3 million as compared to net income attributable to noncontrolling interest of $2.6 million for the first nine months of 2013.</w:t>
      </w:r>
    </w:p>
    <w:p>
      <w:pPr>
        <w:spacing w:after="0" w:line="174" w:lineRule="exact"/>
        <w:rPr>
          <w:sz w:val="20"/>
          <w:szCs w:val="20"/>
          <w:color w:val="auto"/>
        </w:rPr>
      </w:pPr>
    </w:p>
    <w:p>
      <w:pPr>
        <w:ind w:left="100" w:right="13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Net Income and Diluted Earnings per Common Share</w:t>
      </w:r>
      <w:r>
        <w:rPr>
          <w:rFonts w:ascii="Times New Roman" w:cs="Times New Roman" w:eastAsia="Times New Roman" w:hAnsi="Times New Roman"/>
          <w:sz w:val="18"/>
          <w:szCs w:val="18"/>
          <w:color w:val="auto"/>
        </w:rPr>
        <w:t>. Our net income for the first nine months of 2014 was $154.6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 increase of $3.4 million, or 2.2%, as compared to the first nine months of 2013. Diluted earnings per common share for the first nine months of 2014 was $2.17 per common share, an increase of $0.07 per common share, or 3.3%, as compared to the first nine months of 2013.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00" w:right="13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Non-GAAP Net Income and Non-GAAP Diluted Earnings per Common Share</w:t>
      </w:r>
      <w:r>
        <w:rPr>
          <w:rFonts w:ascii="Times New Roman" w:cs="Times New Roman" w:eastAsia="Times New Roman" w:hAnsi="Times New Roman"/>
          <w:sz w:val="18"/>
          <w:szCs w:val="18"/>
          <w:color w:val="auto"/>
        </w:rPr>
        <w:t>. Our non-GAAP net income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nine months of 2014 was $181.0 million, an increase of $10.6 million, or 6.2%, as compared to the first nine months of 2013. Non-GAAP diluted earnings per common share for the first nine months of 2014 was $2.54 per common share, an increase of $0.17 per common share, or 7.2%, as compared to the first nine months of 2013. The following table sets forth the reconciliation between our net income and non-GAAP net income for the first nine months of 2014 and 2013 (in thousands):</w:t>
      </w:r>
    </w:p>
    <w:p>
      <w:pPr>
        <w:spacing w:after="0" w:line="124"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9"/>
        </w:trPr>
        <w:tc>
          <w:tcPr>
            <w:tcW w:w="6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7"/>
                <w:szCs w:val="17"/>
                <w:color w:val="auto"/>
              </w:rPr>
            </w:pPr>
          </w:p>
        </w:tc>
      </w:tr>
      <w:tr>
        <w:trPr>
          <w:trHeight w:val="191"/>
        </w:trPr>
        <w:tc>
          <w:tcPr>
            <w:tcW w:w="6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15"/>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World Fuel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151,213</w:t>
            </w:r>
          </w:p>
        </w:tc>
      </w:tr>
      <w:tr>
        <w:trPr>
          <w:trHeight w:val="198"/>
        </w:trPr>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expense, net of income taxes of $3,183 and $4,208 for 2014</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and 2013, respectively</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198"/>
        </w:trPr>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Intangible asset amortization expense, net of income taxes of $4,989 and $6,101 for</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 and 2013, respectively</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14,837</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r>
      <w:tr>
        <w:trPr>
          <w:trHeight w:val="198"/>
        </w:trPr>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the acquisitions of Watson Petroleum and Colt, net of income taxes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of $232</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non-renewal charge, net of income taxes of $1,757</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attributable to World Fuel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180,957</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170,392</w:t>
            </w:r>
          </w:p>
        </w:tc>
      </w:tr>
    </w:tbl>
    <w:p>
      <w:pPr>
        <w:spacing w:after="0" w:line="198" w:lineRule="exact"/>
        <w:rPr>
          <w:sz w:val="20"/>
          <w:szCs w:val="20"/>
          <w:color w:val="auto"/>
        </w:rPr>
      </w:pPr>
    </w:p>
    <w:p>
      <w:pPr>
        <w:ind w:left="100" w:right="4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between our diluted earnings per common share and non-GAAP diluted earnings per common share for the first nine months of 2014 and 2013:</w:t>
      </w:r>
    </w:p>
    <w:p>
      <w:pPr>
        <w:spacing w:after="0" w:line="236"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9"/>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7"/>
                <w:szCs w:val="17"/>
                <w:color w:val="auto"/>
              </w:rPr>
            </w:pPr>
          </w:p>
        </w:tc>
      </w:tr>
      <w:tr>
        <w:trPr>
          <w:trHeight w:val="196"/>
        </w:trPr>
        <w:tc>
          <w:tcPr>
            <w:tcW w:w="64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 net of income taxes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 net of income taxes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Expenses related to the acquisitions of Watson Petroleum and Colt, net of income taxes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non-renewal charge, net of income taxes</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common share</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bl>
    <w:p>
      <w:pPr>
        <w:spacing w:after="0" w:line="198" w:lineRule="exact"/>
        <w:rPr>
          <w:sz w:val="20"/>
          <w:szCs w:val="20"/>
          <w:color w:val="auto"/>
        </w:rPr>
      </w:pPr>
    </w:p>
    <w:p>
      <w:pPr>
        <w:ind w:left="100" w:right="99" w:firstLine="324"/>
        <w:spacing w:after="0" w:line="252" w:lineRule="auto"/>
        <w:rPr>
          <w:sz w:val="20"/>
          <w:szCs w:val="20"/>
          <w:color w:val="auto"/>
        </w:rPr>
      </w:pPr>
      <w:r>
        <w:rPr>
          <w:rFonts w:ascii="Times New Roman" w:cs="Times New Roman" w:eastAsia="Times New Roman" w:hAnsi="Times New Roman"/>
          <w:sz w:val="18"/>
          <w:szCs w:val="18"/>
          <w:color w:val="auto"/>
        </w:rPr>
        <w:t>The non-GAAP financial measures exclude costs associated with share-based compensation, amortization of acquired intangible assets, expenses related to the acquisitions of Watson Petroleum and Colt and executive non-renewal charge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the acquisitions of Watson Petroleum and Colt and executive non-renewal charge are useful for purposes of evaluating operating performance of our core operating results and comparing them period over 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ind w:left="100" w:right="3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major categories of cash flows for the nine months ended September 30, 2014 and 2013. For additional details, please see the consolidated statements of cash flows.</w:t>
      </w:r>
    </w:p>
    <w:p>
      <w:pPr>
        <w:spacing w:after="0" w:line="250"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9"/>
        </w:trPr>
        <w:tc>
          <w:tcPr>
            <w:tcW w:w="6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r>
      <w:tr>
        <w:trPr>
          <w:trHeight w:val="196"/>
        </w:trPr>
        <w:tc>
          <w:tcPr>
            <w:tcW w:w="63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8"/>
                <w:szCs w:val="18"/>
                <w:color w:val="auto"/>
                <w:w w:val="99"/>
              </w:rPr>
              <w:t>129,065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213,747</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(290,181)</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(91,167)</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8"/>
                <w:szCs w:val="18"/>
                <w:color w:val="auto"/>
                <w:w w:val="99"/>
              </w:rPr>
              <w:t>259,930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38,729</w:t>
            </w:r>
          </w:p>
        </w:tc>
      </w:tr>
    </w:tbl>
    <w:p>
      <w:pPr>
        <w:spacing w:after="0" w:line="196" w:lineRule="exact"/>
        <w:rPr>
          <w:sz w:val="20"/>
          <w:szCs w:val="20"/>
          <w:color w:val="auto"/>
        </w:rPr>
      </w:pPr>
    </w:p>
    <w:p>
      <w:pPr>
        <w:jc w:val="both"/>
        <w:ind w:left="10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For the nine months ended September 30, 2014, net cash provided by operating activities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$129.1 million as compared to $213.7 million for the first nine months of 2013. The $84.6 million decrease in operating cash flows was primarily due to year-over-year changes in assets and liabilities, net of acquisitions.</w:t>
      </w:r>
    </w:p>
    <w:p>
      <w:pPr>
        <w:spacing w:after="0" w:line="174" w:lineRule="exact"/>
        <w:rPr>
          <w:sz w:val="20"/>
          <w:szCs w:val="20"/>
          <w:color w:val="auto"/>
        </w:rPr>
      </w:pPr>
    </w:p>
    <w:p>
      <w:pPr>
        <w:ind w:left="100" w:right="2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For the nine months ended September 30, 2014, net cash used in investing activities was $290.2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as compared to $91.2 million for the first nine months of 2013. The $199.0 million increase in cash used in investing activities was principally due to an increase in the cash used for the acquisition of businesses in the first nine months of 2014 as compared to the first nine months of 2013.</w:t>
      </w:r>
    </w:p>
    <w:p>
      <w:pPr>
        <w:spacing w:after="0" w:line="180" w:lineRule="exact"/>
        <w:rPr>
          <w:sz w:val="20"/>
          <w:szCs w:val="20"/>
          <w:color w:val="auto"/>
        </w:rPr>
      </w:pPr>
    </w:p>
    <w:p>
      <w:pPr>
        <w:ind w:left="100" w:right="1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For the nine months ended September 30, 2014, net cash provided by financing activities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$259.9 million as compared to $38.7 million for the first nine months of 2013. The $221.2 million increase in cash provided by financing activities was principally due to increased net borrowings under our Credit Facility in the first nine months of 2014 as compared to the first nine months of 2013.</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Liquidity Measures</w:t>
      </w:r>
    </w:p>
    <w:p>
      <w:pPr>
        <w:spacing w:after="0" w:line="225" w:lineRule="exact"/>
        <w:rPr>
          <w:sz w:val="20"/>
          <w:szCs w:val="20"/>
          <w:color w:val="auto"/>
        </w:rPr>
      </w:pPr>
    </w:p>
    <w:p>
      <w:pPr>
        <w:ind w:left="100" w:right="11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As of September 30, 2014 and December 31, 2013, we had cash and cash equivalents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$388.5 million and $292.1 million, respectively, of which $80.7 million and $39.7 million, respectively, was available for use by our U.S. subsidiaries without incurring additional costs. Our primary uses of cash and cash equivalents are to fund accounts receivable, purchase inventory and make strategic investments, primarily acquisitions. We are usually extended unsecured trade credit from our suppliers for our fuel purchases; however, certain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85" w:lineRule="exact"/>
        <w:rPr>
          <w:sz w:val="20"/>
          <w:szCs w:val="20"/>
          <w:color w:val="auto"/>
        </w:rPr>
      </w:pPr>
    </w:p>
    <w:p>
      <w:pPr>
        <w:ind w:left="100" w:right="11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Facility and Term Loans. </w:t>
      </w:r>
      <w:r>
        <w:rPr>
          <w:rFonts w:ascii="Times New Roman" w:cs="Times New Roman" w:eastAsia="Times New Roman" w:hAnsi="Times New Roman"/>
          <w:sz w:val="18"/>
          <w:szCs w:val="18"/>
          <w:color w:val="auto"/>
        </w:rPr>
        <w:t>We have a Credit Facility which permits borrowings of up to $1.1 billion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sublimit of $400.0 million for the issuance of letters of credit and bankers’ acceptances. Under the Credit Facility, we have the right to request increases in available borrowings up to an additional $150.0 million, subject to the satisfaction of certain conditions. The Credit Facility matures in October 2018. We had outstanding borrowings under our Credit Facility totaling $495.0 million and $200.0 million as of September 30, 2014 and December 31, 2013, respectively. Our issued letters of credit under the Credit Facility totaled $12.0 million and $7.4 million as of September 30, 2014 and December 31, 2013, respectively. We also had $242.5 million in Term Loans outstanding as of September 30, 2014 and December 31, 2013.</w:t>
      </w:r>
    </w:p>
    <w:p>
      <w:pPr>
        <w:spacing w:after="0" w:line="187" w:lineRule="exact"/>
        <w:rPr>
          <w:sz w:val="20"/>
          <w:szCs w:val="20"/>
          <w:color w:val="auto"/>
        </w:rPr>
      </w:pPr>
    </w:p>
    <w:p>
      <w:pPr>
        <w:ind w:left="100" w:right="99" w:firstLine="324"/>
        <w:spacing w:after="0" w:line="255" w:lineRule="auto"/>
        <w:rPr>
          <w:sz w:val="20"/>
          <w:szCs w:val="20"/>
          <w:color w:val="auto"/>
        </w:rPr>
      </w:pPr>
      <w:r>
        <w:rPr>
          <w:rFonts w:ascii="Times New Roman" w:cs="Times New Roman" w:eastAsia="Times New Roman" w:hAnsi="Times New Roman"/>
          <w:sz w:val="18"/>
          <w:szCs w:val="18"/>
          <w:color w:val="auto"/>
        </w:rPr>
        <w:t>Our liquidity consisting of cash and cash equivalents and availability under the Credit Facility fluctuates based on a number of factors, including the timing of receipts from our customers and payments to our suppliers as well as commodity prices. Our Credit Facility and our Term Loans contain certain financial covenants with which we are required to comply. Our failure to comply with the financial covenants contained in our Credit Facility and our Term Loans could result in an event of default. An event of default, if not cured or waived, would permit acceleration of any outstanding indebtedness under the Credit Facility and our Term Loans, trigger cross-defaults under other agreements to which we are a party and impair our ability to borrow and issue letters of credit, which would have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485140</wp:posOffset>
            </wp:positionV>
            <wp:extent cx="564261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ind w:left="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 w:right="439"/>
        <w:spacing w:after="0" w:line="282" w:lineRule="auto"/>
        <w:rPr>
          <w:sz w:val="20"/>
          <w:szCs w:val="20"/>
          <w:color w:val="auto"/>
        </w:rPr>
      </w:pPr>
      <w:r>
        <w:rPr>
          <w:rFonts w:ascii="Times New Roman" w:cs="Times New Roman" w:eastAsia="Times New Roman" w:hAnsi="Times New Roman"/>
          <w:sz w:val="18"/>
          <w:szCs w:val="18"/>
          <w:color w:val="auto"/>
        </w:rPr>
        <w:t>material adverse effect on our business, financial condition, results of operations and cash flows. As of September 30, 2014, we were in compliance with all financial covenants contained in our Credit Facility and our Term Loans.</w:t>
      </w:r>
    </w:p>
    <w:p>
      <w:pPr>
        <w:spacing w:after="0" w:line="160" w:lineRule="exact"/>
        <w:rPr>
          <w:sz w:val="20"/>
          <w:szCs w:val="20"/>
          <w:color w:val="auto"/>
        </w:rPr>
      </w:pPr>
    </w:p>
    <w:p>
      <w:pPr>
        <w:ind w:left="100" w:right="1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Other Credit Lines</w:t>
      </w:r>
      <w:r>
        <w:rPr>
          <w:rFonts w:ascii="Times New Roman" w:cs="Times New Roman" w:eastAsia="Times New Roman" w:hAnsi="Times New Roman"/>
          <w:sz w:val="18"/>
          <w:szCs w:val="18"/>
          <w:color w:val="auto"/>
        </w:rPr>
        <w:t>. Additionally, we have other uncommitted credit lines primarily for the issuance of letters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bank guarantees and bankers’ acceptances. These credit lines are renewable on an annual basis and are subject to fees at market rates. As of September 30, 2014 and December 31, 2013, our outstanding letters of credit and bank guarantees under these credit lines totaled $214.1 million and $150.6 million, respectively. We also have Receivables Purchase Agreements (“RPAs”) that allow for the sale of up to an aggregate of $375.0 million of our accounts receivable. As of September 30, 2014, we had sold accounts receivable of $185.1 million under the RPAs.</w:t>
      </w:r>
    </w:p>
    <w:p>
      <w:pPr>
        <w:spacing w:after="0" w:line="183" w:lineRule="exact"/>
        <w:rPr>
          <w:sz w:val="20"/>
          <w:szCs w:val="20"/>
          <w:color w:val="auto"/>
        </w:rPr>
      </w:pPr>
    </w:p>
    <w:p>
      <w:pPr>
        <w:jc w:val="both"/>
        <w:ind w:left="100" w:right="3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Short-Term Debt</w:t>
      </w:r>
      <w:r>
        <w:rPr>
          <w:rFonts w:ascii="Times New Roman" w:cs="Times New Roman" w:eastAsia="Times New Roman" w:hAnsi="Times New Roman"/>
          <w:sz w:val="18"/>
          <w:szCs w:val="18"/>
          <w:color w:val="auto"/>
        </w:rPr>
        <w:t>. As of September 30, 2014, our short-term debt of $16.4 million primarily represents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(within the next twelve months) of certain promissory notes related to acquisitions, capital lease obligations and Term Loan borrowings.</w:t>
      </w:r>
    </w:p>
    <w:p>
      <w:pPr>
        <w:spacing w:after="0" w:line="176" w:lineRule="exact"/>
        <w:rPr>
          <w:sz w:val="20"/>
          <w:szCs w:val="20"/>
          <w:color w:val="auto"/>
        </w:rPr>
      </w:pPr>
    </w:p>
    <w:p>
      <w:pPr>
        <w:ind w:left="100" w:right="119" w:firstLine="324"/>
        <w:spacing w:after="0" w:line="254" w:lineRule="auto"/>
        <w:rPr>
          <w:sz w:val="20"/>
          <w:szCs w:val="20"/>
          <w:color w:val="auto"/>
        </w:rPr>
      </w:pPr>
      <w:r>
        <w:rPr>
          <w:rFonts w:ascii="Times New Roman" w:cs="Times New Roman" w:eastAsia="Times New Roman" w:hAnsi="Times New Roman"/>
          <w:sz w:val="18"/>
          <w:szCs w:val="18"/>
          <w:color w:val="auto"/>
        </w:rPr>
        <w:t>We believe that available funds from existing cash and cash equivalents and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from operating activities), the state of worldwide credit markets, and our levels of outstanding debt. Depending on the severity and direct impact of these factors on us, financing may be limited or unavailable on terms favorable to us.</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229" w:lineRule="exact"/>
        <w:rPr>
          <w:sz w:val="20"/>
          <w:szCs w:val="20"/>
          <w:color w:val="auto"/>
        </w:rPr>
      </w:pPr>
    </w:p>
    <w:p>
      <w:pPr>
        <w:ind w:left="100" w:right="199" w:firstLine="324"/>
        <w:spacing w:after="0" w:line="266" w:lineRule="auto"/>
        <w:rPr>
          <w:sz w:val="20"/>
          <w:szCs w:val="20"/>
          <w:color w:val="auto"/>
        </w:rPr>
      </w:pPr>
      <w:r>
        <w:rPr>
          <w:rFonts w:ascii="Times New Roman" w:cs="Times New Roman" w:eastAsia="Times New Roman" w:hAnsi="Times New Roman"/>
          <w:sz w:val="18"/>
          <w:szCs w:val="18"/>
          <w:color w:val="auto"/>
        </w:rPr>
        <w:t>Except for changes in the contractual obligations and off-balance sheet arrangements described below, there were no other material changes from December 31, 2013 to September 30, 2014. For a discussion of these matters, refer to “Contractual Obligations and Off-Balance Sheet Arrangements” in Item 7 of our 2013 10-K Report.</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ind w:left="100" w:right="1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 Obligations. </w:t>
      </w:r>
      <w:r>
        <w:rPr>
          <w:rFonts w:ascii="Times New Roman" w:cs="Times New Roman" w:eastAsia="Times New Roman" w:hAnsi="Times New Roman"/>
          <w:sz w:val="18"/>
          <w:szCs w:val="18"/>
          <w:color w:val="auto"/>
        </w:rPr>
        <w:t>As of September 30, 2014, our net derivative obligations were $23.4 million, principally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one year.</w:t>
      </w:r>
    </w:p>
    <w:p>
      <w:pPr>
        <w:spacing w:after="0" w:line="158" w:lineRule="exact"/>
        <w:rPr>
          <w:sz w:val="20"/>
          <w:szCs w:val="20"/>
          <w:color w:val="auto"/>
        </w:rPr>
      </w:pPr>
    </w:p>
    <w:p>
      <w:pPr>
        <w:ind w:left="100" w:right="3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Commitment Obligations. </w:t>
      </w:r>
      <w:r>
        <w:rPr>
          <w:rFonts w:ascii="Times New Roman" w:cs="Times New Roman" w:eastAsia="Times New Roman" w:hAnsi="Times New Roman"/>
          <w:sz w:val="18"/>
          <w:szCs w:val="18"/>
          <w:color w:val="auto"/>
        </w:rPr>
        <w:t>As of September 30, 2014, fixed purchase commitments under our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amounted to $30.5 million.</w:t>
      </w:r>
    </w:p>
    <w:p>
      <w:pPr>
        <w:spacing w:after="0" w:line="1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ind w:left="100" w:right="219"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Letters of Credit and Bank Guarantees. </w:t>
      </w:r>
      <w:r>
        <w:rPr>
          <w:rFonts w:ascii="Times New Roman" w:cs="Times New Roman" w:eastAsia="Times New Roman" w:hAnsi="Times New Roman"/>
          <w:sz w:val="18"/>
          <w:szCs w:val="18"/>
          <w:color w:val="auto"/>
        </w:rPr>
        <w:t>In the normal course of business, we are required to provide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suppliers. A majority of these letters of credit expire within one year from their issuance, and expired letters of credit are renewed as needed. As of September 30, 2014, we had issued letters of credit and bank guarantees totaling $226.1 million under our Credit Facility and other uncommitted credit lines. For additional information on our Credit Facility and other credit lines, see the discussion in “Liquidity and Capital Resources” above.</w:t>
      </w:r>
    </w:p>
    <w:p>
      <w:pPr>
        <w:spacing w:after="0" w:line="1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100" w:right="279"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recent accounting pronouncements is included in Note 1 - Significant Accounting Policies in the “Notes to the Consolidated Financial Statements” in this 10-Q Report.</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485140</wp:posOffset>
            </wp:positionV>
            <wp:extent cx="646557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describes our derivative classifications:</w:t>
      </w:r>
    </w:p>
    <w:p>
      <w:pPr>
        <w:spacing w:after="0" w:line="22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Includes certain of our foreign currency forward contracts we enter into in order to mitigate the risk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rate fluctuations.</w:t>
      </w:r>
    </w:p>
    <w:p>
      <w:pPr>
        <w:spacing w:after="0" w:line="158"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Fair Value Hedges</w:t>
      </w:r>
      <w:r>
        <w:rPr>
          <w:rFonts w:ascii="Times New Roman" w:cs="Times New Roman" w:eastAsia="Times New Roman" w:hAnsi="Times New Roman"/>
          <w:sz w:val="18"/>
          <w:szCs w:val="18"/>
          <w:color w:val="auto"/>
        </w:rPr>
        <w:t>. Includes derivatives we enter into in order to hedge price risk associated with our inventory and certain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relating to fixed price purchase and sale contracts.</w:t>
      </w:r>
    </w:p>
    <w:p>
      <w:pPr>
        <w:spacing w:after="0" w:line="158"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Non-designated Derivatives</w:t>
      </w:r>
      <w:r>
        <w:rPr>
          <w:rFonts w:ascii="Times New Roman" w:cs="Times New Roman" w:eastAsia="Times New Roman" w:hAnsi="Times New Roman"/>
          <w:sz w:val="18"/>
          <w:szCs w:val="18"/>
          <w:color w:val="auto"/>
        </w:rPr>
        <w:t>. Includes derivatives we primarily enter into in order to mitigate the risk of market price fluctuations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aviation, marine and land fuel in the form of swaps or futures as well as certain fixed price purchase and sale contracts and proprietary trading. In addition, non-designated derivatives are also entered into to hedge the risk of currency rate fluctuations.</w:t>
      </w:r>
    </w:p>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485140</wp:posOffset>
            </wp:positionV>
            <wp:extent cx="646557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860"/>
          </w:cols>
          <w:pgMar w:left="900" w:top="121" w:right="1139" w:bottom="1440" w:gutter="0" w:footer="0" w:header="0"/>
        </w:sectPr>
      </w:pPr>
    </w:p>
    <w:bookmarkStart w:id="36" w:name="page37"/>
    <w:bookmarkEnd w:id="3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2014, our derivative instruments, at their respective fair value positions were as follows (in thousands, except weighted average fixed price and weighted average mark-to-market amount):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60" w:type="dxa"/>
            <w:vAlign w:val="bottom"/>
          </w:tcPr>
          <w:p>
            <w:pPr>
              <w:spacing w:after="0"/>
              <w:rPr>
                <w:sz w:val="18"/>
                <w:szCs w:val="18"/>
                <w:color w:val="auto"/>
              </w:rPr>
            </w:pPr>
          </w:p>
        </w:tc>
        <w:tc>
          <w:tcPr>
            <w:tcW w:w="7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Mark-to-</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5"/>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Settlement</w:t>
            </w:r>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Market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3"/>
              </w:rPr>
              <w:t>Fair Value</w:t>
            </w:r>
          </w:p>
        </w:tc>
      </w:tr>
      <w:tr>
        <w:trPr>
          <w:trHeight w:val="155"/>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Hedge Strategy</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Period</w:t>
            </w:r>
          </w:p>
        </w:tc>
        <w:tc>
          <w:tcPr>
            <w:tcW w:w="3800" w:type="dxa"/>
            <w:vAlign w:val="bottom"/>
            <w:gridSpan w:val="2"/>
          </w:tcPr>
          <w:p>
            <w:pPr>
              <w:ind w:left="1220"/>
              <w:spacing w:after="0"/>
              <w:rPr>
                <w:sz w:val="20"/>
                <w:szCs w:val="20"/>
                <w:color w:val="auto"/>
              </w:rPr>
            </w:pPr>
            <w:r>
              <w:rPr>
                <w:rFonts w:ascii="Times New Roman" w:cs="Times New Roman" w:eastAsia="Times New Roman" w:hAnsi="Times New Roman"/>
                <w:sz w:val="13"/>
                <w:szCs w:val="13"/>
                <w:b w:val="1"/>
                <w:bCs w:val="1"/>
                <w:color w:val="auto"/>
              </w:rPr>
              <w:t>Derivative Instrument</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Unit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4"/>
              </w:rPr>
              <w:t>Fixed Price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210"/>
        </w:trPr>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Hedge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 for inventory hedging (long)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BBL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(2.850)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Commodity contracts for inventory hedging (short)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14,130</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 for inventory hedging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0"/>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13,382</w:t>
            </w:r>
          </w:p>
        </w:tc>
      </w:tr>
      <w:tr>
        <w:trPr>
          <w:trHeight w:val="216"/>
        </w:trPr>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Non-Designated</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Commodity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14,323</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BBL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(4.211)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(60,319)</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73,275</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Commodity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17,690</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(31,900)</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41,604</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Commodity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Commodity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(0.214)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16"/>
        </w:trPr>
        <w:tc>
          <w:tcPr>
            <w:tcW w:w="1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16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Commodity contracts (long)</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21,848</w:t>
            </w:r>
          </w:p>
        </w:tc>
      </w:tr>
      <w:tr>
        <w:trPr>
          <w:trHeight w:val="210"/>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8,664</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AUD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7,690</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CAD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1,847,698</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CLP</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2,385,660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CLP</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19,179,268</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COP</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22,970,683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COP</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35,110</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DKK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39,442</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EUR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84,016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GBP</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135,006</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GBP</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8,169</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110,129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466,074</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JPY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735,479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JPY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1,381,969</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MXN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1,240,477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MXN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23,081</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NOK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65,802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NOK</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5,676</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PLN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11,651</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SGD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SGD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77,303</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ZAR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117,356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ZAR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CHF</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221,819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KRW</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(long)</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GBP</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GBP</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r>
      <w:tr>
        <w:trPr>
          <w:trHeight w:val="216"/>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w:t>
            </w: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GBP</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6"/>
        </w:trPr>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6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contracts (short)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GBP</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10"/>
        </w:trPr>
        <w:tc>
          <w:tcPr>
            <w:tcW w:w="1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9,491</w:t>
            </w:r>
          </w:p>
        </w:tc>
      </w:tr>
      <w:tr>
        <w:trPr>
          <w:trHeight w:val="183"/>
        </w:trPr>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31,339</w:t>
            </w:r>
          </w:p>
        </w:tc>
      </w:tr>
      <w:tr>
        <w:trPr>
          <w:trHeight w:val="27"/>
        </w:trPr>
        <w:tc>
          <w:tcPr>
            <w:tcW w:w="1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103" w:lineRule="exact"/>
        <w:rPr>
          <w:sz w:val="20"/>
          <w:szCs w:val="20"/>
          <w:color w:val="auto"/>
        </w:rPr>
      </w:pPr>
    </w:p>
    <w:p>
      <w:pPr>
        <w:ind w:right="180" w:firstLine="39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exposures to interest rate or foreign currency risk since December 31, 2013. Please refer to our 2013 10-K Report for a complete discussion of our exposure to these risks.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485140</wp:posOffset>
            </wp:positionV>
            <wp:extent cx="646557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7" w:name="page38"/>
    <w:bookmarkEnd w:id="3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6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w:t>
      </w:r>
    </w:p>
    <w:p>
      <w:pPr>
        <w:ind w:right="120"/>
        <w:spacing w:after="0" w:line="261" w:lineRule="auto"/>
        <w:rPr>
          <w:sz w:val="20"/>
          <w:szCs w:val="20"/>
          <w:color w:val="auto"/>
        </w:rPr>
      </w:pPr>
      <w:r>
        <w:rPr>
          <w:rFonts w:ascii="Times New Roman" w:cs="Times New Roman" w:eastAsia="Times New Roman" w:hAnsi="Times New Roman"/>
          <w:sz w:val="18"/>
          <w:szCs w:val="18"/>
          <w:color w:val="auto"/>
        </w:rPr>
        <w:t>15(e). Based upon this evaluation, the CEO and CFO concluded that our disclosure controls and procedures were effective at a reasonable assurance level as of September 30,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 during the quarter ended September 30, 2014.</w:t>
      </w:r>
    </w:p>
    <w:p>
      <w:pPr>
        <w:spacing w:after="0" w:line="162"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485140</wp:posOffset>
            </wp:positionV>
            <wp:extent cx="646557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38" w:name="page39"/>
    <w:bookmarkEnd w:id="3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Lac-Mégantic, Quebec</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on behalf of DPTS Marketing LLC (“DPM”), a crude oil marketing joint venture in which we own a 50% membership interest, purchased crude oil from various producers in the Bakken region of North Dakota. Dakota Petroleum Transport Solutions, LLC (“DPTS”), a crude oil transloading joint venture in which we also own a 50% membership interest, arranged for the transloading of the crude oil for DPM into tank cars at the joint venture’s facility in New Town, North Dakota. We leased the tank cars used in the transloading from a number of third party lessors and subleased these tank cars to DPM. We, on behalf of DPM, contracted with Canadian Pacific Railway (“CPR”) for the transportation of the tank cars and the crude oil from New Town, North Dakota to a customer in New Brunswick, Canada. CPR subcontracted a portion of that route to Montreal, Maine and Atlantic Railway (“MMA”). On July 6, 2013, the freight train operated by MMA with tank cars carrying approximately 50,000 barrels of the crude oil derailed in Lac-Mégantic, Quebec. The derailment resulted in significant loss of life, damage to the environment from spilled crude oil and extensive property damage.</w:t>
      </w:r>
    </w:p>
    <w:p>
      <w:pPr>
        <w:spacing w:after="0" w:line="18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2013, we, certain of our subsidiaries, DPM and DPTS, along with a number of third parties, including MMA and certain of its affiliates, as well as several manufacturers and lessors of tank cars, were named as defendants in twenty complaints filed in the Circuit Court of Cook County, Illinois. The complaints generally allege wrongful death and negligence in the failure to provide for the proper and safe transportation of crude oil and seek economic and compensatory damages, as well as costs. The actions were removed to the United States District Court for the Northern District of Illinois (the “IL District Court”) and subsequently reassigned to a single judge in the IL District Court (other than one action that was remanded to state court prior to reassignment and another that was voluntarily dismissed by the plaintiffs).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plaintiffs subsequently filed a motion to have these actions remanded to state court. We filed a motion in the United States District Court for the District of Maine (the “ME District Court”), where MMA’s bankruptcy is pending, to transfer all of these actions to that court. On March 21, 2014, the ME District Court granted the transfer motion. On April 4, 2014, the plaintiffs filed a motion for reconsideration of the order granting the transfer motion and a motion requesting the ME District Court abstain from exercising jurisdiction over the</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cases. The motion for reconsideration was denied and the motion for abstention remains pending. On May 1, 2014, the plaintiffs filed a notice stating their intention to appeal the order granting the transfer motion to the First Circuit Court of Appeals. On June 17, 2014, the ME District Court entered a consent order staying proceedings in the transferred cases pending the appeal. We believe these claims against us, certain of our subsidiaries, DPM and DPTS are without merit and intend to vigorously defend against such claims and pursue any and all defenses available.</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2013, we, certain of our subsidiaries, DPM and DPTS, along with a number of other third parties, including CPR, MMA and certain of its affiliates, several manufacturers and lessors of tank cars, as well as the intended purchaser and certain suppliers of the crude oil, were named as defendants in a motion filed in Quebec Superior Court to authorize the bringing of a class-action lawsuit seeking economic, compensatory and punitive damages, as well as costs. The motion generally alleges wrongful death and negligence in the failure to provide for the proper and safe transportation of crude oil. We believe these claims against us, certain of our subsidiaries, DPM and DPTS are without merit and intend to vigorously defend against such claims and pursue any and all defenses available.</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to these proceedings, we have received demands for defense and/or indemnification from certain tank car lessors pursuant to our lease agreements with such parties. In connection with these demands, two of our tank car lessors have filed actions against us seeking a declaratory judgment on their indemnification claims and reimbursement for the value of certain leased tank cars that were lost or destroyed in the derailment. Specifically, on July 28, 2014, The CIT Group/Equipment Financing, Inc. and CIT Group Inc. filed a complaint against us in the United States District Court for the District of Minnesota alleging breach of contract and seeking declaratory relief and economic damages, as well as costs. On September 19, 2014, we filed a motion to dismiss certain counts of the complaint, which has not yet been ruled on by the court. Furthermore, on September 5, 2014, General Electric Railcar Services Corporation filed a complaint against us in the United States District Court for the Southern District of Florida alleging breach of contract and seeking declaratory relief and economic damages, as well as costs. We believe these claims against us are without merit and intend to vigorously defend against such claims and pursue any and all defenses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485140</wp:posOffset>
            </wp:positionV>
            <wp:extent cx="646557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39" w:name="page40"/>
    <w:bookmarkEnd w:id="3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2013, the Quebec Minister for Sustainable Development, Environment, Wildlife and Parks (the “Minister”) issued an order requiring MMA and us to recover the spilled crude oil caused by the incident and to otherwise fully remediate the impact of the incident on the environment. The Minister subsequently issued a modified order, to which CPR was added as a party. The requirements of the modified order with respect to us are not materially different from the initial order (the initial order and modified order are hereinafter collectively referred to as the “Order”). We have filed a contestation of the Order before the Tribunal administratif du Québec, an administrative body responsible for hearing such contestations, that challenges the legality and validity of the Order on various grounds. In July and September of 2014, we voluntarily entered into agreements with the government of Quebec to perform sediment characterization work in Lake Mégantic and the Chaudière River and certain remediation work in the Chaudière River. The associated cost of these activities is not significant and will be covered by insurance. These agreements were made without admission of liability and under full reservation of rights. We continue to challenge both the legality and validity of the Order.</w:t>
      </w:r>
    </w:p>
    <w:p>
      <w:pPr>
        <w:spacing w:after="0" w:line="18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January 30, 2014, the Trustee for MMA’s U.S. bankruptcy estate (the “Trustee”) filed an adversary proceeding against us, and certain of our subsidiaries, in the United States Bankruptcy Court for the District of Maine alleging negligence in the failure to provide the proper and safe transportation of crude oil, and seeking economic damages, as well as costs and expenses associated with MMA’s lawsuits arising from the incident. The Trustee, together with the monitor in MMA’s Canadian bankruptcy, are exploring with various parties, including us, a potential global settlement of all third party claims arising out of the incident. On May 29, 2014, we and our named subsidiaries filed an answer to the Trustee’s complaint. We believe these claims against us and certain of our subsidiaries are without merit and intend to vigorously defend against such claims and pursue any and all defenses available.</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Lac-Mégantic derailment, the Transportation Safety Board of Canada conducted an investigation into the cause of the derailment and the events surrounding it and released the results in a Railway Investigation Report issued on August 19, 2014. In addition, the Quebec police conducted a criminal investigation, which resulted in three MMA employees being charged with numerous counts of criminal negligence causing death.</w:t>
      </w:r>
    </w:p>
    <w:p>
      <w:pPr>
        <w:spacing w:after="0" w:line="18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Additional claims, lawsuits, proceedings, investigations and orders may be filed, commenced or issued with respect to the incident, which may involve civil claims for damages or governmental investigative, regulatory or enforcement actions against us.</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repurchases of common stock made by us during the quarterly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2014 (in thousands, except average price per share):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74"/>
        </w:trPr>
        <w:tc>
          <w:tcPr>
            <w:tcW w:w="16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15"/>
                <w:szCs w:val="15"/>
                <w:color w:val="auto"/>
              </w:rPr>
            </w:pPr>
          </w:p>
        </w:tc>
        <w:tc>
          <w:tcPr>
            <w:tcW w:w="11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1600" w:type="dxa"/>
            <w:vAlign w:val="bottom"/>
            <w:gridSpan w:val="2"/>
            <w:vMerge w:val="continue"/>
          </w:tcPr>
          <w:p>
            <w:pPr>
              <w:spacing w:after="0"/>
              <w:rPr>
                <w:sz w:val="15"/>
                <w:szCs w:val="15"/>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Purchased </w:t>
            </w:r>
            <w:r>
              <w:rPr>
                <w:rFonts w:ascii="Times New Roman" w:cs="Times New Roman" w:eastAsia="Times New Roman" w:hAnsi="Times New Roman"/>
                <w:sz w:val="14"/>
                <w:szCs w:val="14"/>
                <w:b w:val="1"/>
                <w:bCs w:val="1"/>
                <w:color w:val="auto"/>
                <w:w w:val="98"/>
                <w:vertAlign w:val="superscript"/>
              </w:rPr>
              <w:t>(1)</w:t>
            </w:r>
          </w:p>
        </w:tc>
        <w:tc>
          <w:tcPr>
            <w:tcW w:w="300" w:type="dxa"/>
            <w:vAlign w:val="bottom"/>
          </w:tcPr>
          <w:p>
            <w:pPr>
              <w:spacing w:after="0"/>
              <w:rPr>
                <w:sz w:val="15"/>
                <w:szCs w:val="15"/>
                <w:color w:val="auto"/>
              </w:rPr>
            </w:pPr>
          </w:p>
        </w:tc>
        <w:tc>
          <w:tcPr>
            <w:tcW w:w="11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 xml:space="preserve">Programs </w:t>
            </w:r>
            <w:r>
              <w:rPr>
                <w:rFonts w:ascii="Times New Roman" w:cs="Times New Roman" w:eastAsia="Times New Roman" w:hAnsi="Times New Roman"/>
                <w:sz w:val="14"/>
                <w:szCs w:val="14"/>
                <w:b w:val="1"/>
                <w:bCs w:val="1"/>
                <w:color w:val="auto"/>
                <w:w w:val="95"/>
                <w:vertAlign w:val="superscript"/>
              </w:rPr>
              <w:t>(2)</w:t>
            </w:r>
          </w:p>
        </w:tc>
        <w:tc>
          <w:tcPr>
            <w:tcW w:w="0" w:type="dxa"/>
            <w:vAlign w:val="bottom"/>
          </w:tcPr>
          <w:p>
            <w:pPr>
              <w:spacing w:after="0"/>
              <w:rPr>
                <w:sz w:val="1"/>
                <w:szCs w:val="1"/>
                <w:color w:val="auto"/>
              </w:rPr>
            </w:pPr>
          </w:p>
        </w:tc>
      </w:tr>
      <w:tr>
        <w:trPr>
          <w:trHeight w:val="210"/>
        </w:trPr>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7/1/14-7/31/14</w:t>
            </w:r>
          </w:p>
        </w:tc>
        <w:tc>
          <w:tcPr>
            <w:tcW w:w="2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8/1/14-8/31/14</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9/1/14-9/30/14</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jc w:val="right"/>
              <w:ind w:right="20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7"/>
        </w:trPr>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20" w:type="dxa"/>
            <w:vAlign w:val="bottom"/>
          </w:tcPr>
          <w:p>
            <w:pPr>
              <w:spacing w:after="0"/>
              <w:rPr>
                <w:sz w:val="18"/>
                <w:szCs w:val="18"/>
                <w:color w:val="auto"/>
              </w:rPr>
            </w:pPr>
          </w:p>
        </w:tc>
        <w:tc>
          <w:tcPr>
            <w:tcW w:w="18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193040</wp:posOffset>
            </wp:positionV>
            <wp:extent cx="164592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45920" cy="5143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20" w:right="280" w:hanging="215"/>
        <w:spacing w:after="0" w:line="266" w:lineRule="auto"/>
        <w:rPr>
          <w:sz w:val="20"/>
          <w:szCs w:val="20"/>
          <w:color w:val="auto"/>
        </w:rPr>
      </w:pPr>
      <w:r>
        <w:rPr>
          <w:rFonts w:ascii="Times New Roman" w:cs="Times New Roman" w:eastAsia="Times New Roman" w:hAnsi="Times New Roman"/>
          <w:sz w:val="18"/>
          <w:szCs w:val="18"/>
          <w:color w:val="auto"/>
        </w:rPr>
        <w:t>(1)These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76" w:lineRule="exact"/>
        <w:rPr>
          <w:sz w:val="20"/>
          <w:szCs w:val="20"/>
          <w:color w:val="auto"/>
        </w:rPr>
      </w:pPr>
    </w:p>
    <w:p>
      <w:pPr>
        <w:ind w:left="220" w:right="140" w:hanging="215"/>
        <w:spacing w:after="0" w:line="256" w:lineRule="auto"/>
        <w:rPr>
          <w:sz w:val="20"/>
          <w:szCs w:val="20"/>
          <w:color w:val="auto"/>
        </w:rPr>
      </w:pPr>
      <w:r>
        <w:rPr>
          <w:rFonts w:ascii="Times New Roman" w:cs="Times New Roman" w:eastAsia="Times New Roman" w:hAnsi="Times New Roman"/>
          <w:sz w:val="18"/>
          <w:szCs w:val="18"/>
          <w:color w:val="auto"/>
        </w:rPr>
        <w:t>(2)In May 2014, our Board of Directors renewed its existing common stock repurchase program by replacing the remainder of the existing program and authorizing the purchase of up to $65.0 million in common stock (the “Repurchase Program”). The Repurchase Program does not require a minimum number of shares of common stock to be purchased, has no expiration date and may be suspended or discontinued at any time. As of September 30, 2014, $55.0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485140</wp:posOffset>
            </wp:positionV>
            <wp:extent cx="646557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0" w:name="page41"/>
    <w:bookmarkEnd w:id="4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exhibits set forth in the following index of exhibits are filed as part of this 10-Q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6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20" w:type="dxa"/>
            <w:vAlign w:val="bottom"/>
          </w:tcPr>
          <w:p>
            <w:pPr>
              <w:spacing w:after="0"/>
              <w:rPr>
                <w:sz w:val="19"/>
                <w:szCs w:val="19"/>
                <w:color w:val="auto"/>
              </w:rPr>
            </w:pPr>
          </w:p>
        </w:tc>
        <w:tc>
          <w:tcPr>
            <w:tcW w:w="10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31 .1</w:t>
            </w:r>
          </w:p>
        </w:tc>
        <w:tc>
          <w:tcPr>
            <w:tcW w:w="200" w:type="dxa"/>
            <w:vAlign w:val="bottom"/>
          </w:tcPr>
          <w:p>
            <w:pPr>
              <w:spacing w:after="0"/>
              <w:rPr>
                <w:sz w:val="19"/>
                <w:szCs w:val="19"/>
                <w:color w:val="auto"/>
              </w:rPr>
            </w:pPr>
          </w:p>
        </w:tc>
        <w:tc>
          <w:tcPr>
            <w:tcW w:w="8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Rule 13a-14(a) or Rule 15d — 14(a).</w:t>
            </w:r>
          </w:p>
        </w:tc>
      </w:tr>
      <w:tr>
        <w:trPr>
          <w:trHeight w:val="414"/>
        </w:trPr>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31 .2</w:t>
            </w:r>
          </w:p>
        </w:tc>
        <w:tc>
          <w:tcPr>
            <w:tcW w:w="200" w:type="dxa"/>
            <w:vAlign w:val="bottom"/>
          </w:tcPr>
          <w:p>
            <w:pPr>
              <w:spacing w:after="0"/>
              <w:rPr>
                <w:sz w:val="24"/>
                <w:szCs w:val="24"/>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Rule 13a-14(a) or Rule 15d — 14(a).</w:t>
            </w:r>
          </w:p>
        </w:tc>
      </w:tr>
      <w:tr>
        <w:trPr>
          <w:trHeight w:val="414"/>
        </w:trPr>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32 .1</w:t>
            </w:r>
          </w:p>
        </w:tc>
        <w:tc>
          <w:tcPr>
            <w:tcW w:w="200" w:type="dxa"/>
            <w:vAlign w:val="bottom"/>
          </w:tcPr>
          <w:p>
            <w:pPr>
              <w:spacing w:after="0"/>
              <w:rPr>
                <w:sz w:val="24"/>
                <w:szCs w:val="24"/>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under Section 906 of the Sarbanes-Oxley Act of</w:t>
            </w: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r>
    </w:tbl>
    <w:p>
      <w:pPr>
        <w:spacing w:after="0" w:line="198" w:lineRule="exact"/>
        <w:rPr>
          <w:sz w:val="20"/>
          <w:szCs w:val="20"/>
          <w:color w:val="auto"/>
        </w:rPr>
      </w:pPr>
    </w:p>
    <w:p>
      <w:pPr>
        <w:ind w:left="1260" w:right="300" w:hanging="1038"/>
        <w:spacing w:after="0" w:line="281" w:lineRule="auto"/>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World Fuel Services Corporation’s Quarterly Report on Form 10-Q for the quarter ended September 30, 2014,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485140</wp:posOffset>
            </wp:positionV>
            <wp:extent cx="646557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1" w:name="page42"/>
    <w:bookmarkEnd w:id="4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91"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 October 30, 2014</w:t>
      </w:r>
      <w:r>
        <w:rPr>
          <w:sz w:val="20"/>
          <w:szCs w:val="20"/>
          <w:color w:val="auto"/>
        </w:rPr>
        <w:tab/>
      </w:r>
      <w:r>
        <w:rPr>
          <w:rFonts w:ascii="Times New Roman" w:cs="Times New Roman" w:eastAsia="Times New Roman" w:hAnsi="Times New Roman"/>
          <w:sz w:val="17"/>
          <w:szCs w:val="17"/>
          <w:color w:val="auto"/>
        </w:rPr>
        <w:t>World Fuel Services Corporation</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073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Ira M. Birns</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073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Executive Vice-President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485140</wp:posOffset>
            </wp:positionV>
            <wp:extent cx="646557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780"/>
          </w:cols>
          <w:pgMar w:left="900" w:top="121" w:right="12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 — 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Kasbar, certify that:</w:t>
      </w:r>
    </w:p>
    <w:p>
      <w:pPr>
        <w:spacing w:after="0" w:line="225" w:lineRule="exact"/>
        <w:rPr>
          <w:sz w:val="20"/>
          <w:szCs w:val="20"/>
          <w:color w:val="auto"/>
        </w:rPr>
      </w:pPr>
    </w:p>
    <w:p>
      <w:pPr>
        <w:ind w:left="460" w:right="1060" w:hanging="134"/>
        <w:spacing w:after="0" w:line="282" w:lineRule="auto"/>
        <w:rPr>
          <w:sz w:val="20"/>
          <w:szCs w:val="20"/>
          <w:color w:val="auto"/>
        </w:rPr>
      </w:pPr>
      <w:r>
        <w:rPr>
          <w:rFonts w:ascii="Times New Roman" w:cs="Times New Roman" w:eastAsia="Times New Roman" w:hAnsi="Times New Roman"/>
          <w:sz w:val="18"/>
          <w:szCs w:val="18"/>
          <w:color w:val="auto"/>
        </w:rPr>
        <w:t>1.I have reviewed this Quarterly Report on Form 10-Q of World Fuel Services Corporation for the quarterly period ended September 30, 2014;</w:t>
      </w:r>
    </w:p>
    <w:p>
      <w:pPr>
        <w:spacing w:after="0" w:line="162" w:lineRule="exact"/>
        <w:rPr>
          <w:sz w:val="20"/>
          <w:szCs w:val="20"/>
          <w:color w:val="auto"/>
        </w:rPr>
      </w:pPr>
    </w:p>
    <w:p>
      <w:pPr>
        <w:ind w:left="460" w:right="8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460" w:right="40" w:hanging="134"/>
        <w:spacing w:after="0" w:line="26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sz w:val="20"/>
          <w:szCs w:val="20"/>
          <w:color w:val="auto"/>
        </w:rPr>
      </w:pPr>
    </w:p>
    <w:p>
      <w:pPr>
        <w:ind w:left="460" w:righ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76" w:lineRule="exact"/>
        <w:rPr>
          <w:sz w:val="20"/>
          <w:szCs w:val="20"/>
          <w:color w:val="auto"/>
        </w:rPr>
      </w:pPr>
    </w:p>
    <w:p>
      <w:pPr>
        <w:ind w:left="1100" w:right="6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left="1100" w:right="480" w:hanging="134"/>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1100" w:right="20" w:hanging="134"/>
        <w:spacing w:after="0" w:line="26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sz w:val="20"/>
          <w:szCs w:val="20"/>
          <w:color w:val="auto"/>
        </w:rPr>
      </w:pPr>
    </w:p>
    <w:p>
      <w:pPr>
        <w:ind w:left="1100" w:right="4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60" w:right="280" w:hanging="134"/>
        <w:spacing w:after="0" w:line="26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ind w:left="1100" w:right="280" w:hanging="134"/>
        <w:spacing w:after="0" w:line="26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sz w:val="20"/>
          <w:szCs w:val="20"/>
          <w:color w:val="auto"/>
        </w:rPr>
      </w:pPr>
    </w:p>
    <w:p>
      <w:pPr>
        <w:ind w:left="1100" w:right="66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2014</w:t>
      </w:r>
    </w:p>
    <w:p>
      <w:pPr>
        <w:spacing w:after="0" w:line="27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073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267335</wp:posOffset>
            </wp:positionV>
            <wp:extent cx="646557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 — 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Ira M. Birns, certify that:</w:t>
      </w:r>
    </w:p>
    <w:p>
      <w:pPr>
        <w:spacing w:after="0" w:line="225" w:lineRule="exact"/>
        <w:rPr>
          <w:sz w:val="20"/>
          <w:szCs w:val="20"/>
          <w:color w:val="auto"/>
        </w:rPr>
      </w:pPr>
    </w:p>
    <w:p>
      <w:pPr>
        <w:ind w:left="460" w:right="1060" w:hanging="134"/>
        <w:spacing w:after="0" w:line="282" w:lineRule="auto"/>
        <w:rPr>
          <w:sz w:val="20"/>
          <w:szCs w:val="20"/>
          <w:color w:val="auto"/>
        </w:rPr>
      </w:pPr>
      <w:r>
        <w:rPr>
          <w:rFonts w:ascii="Times New Roman" w:cs="Times New Roman" w:eastAsia="Times New Roman" w:hAnsi="Times New Roman"/>
          <w:sz w:val="18"/>
          <w:szCs w:val="18"/>
          <w:color w:val="auto"/>
        </w:rPr>
        <w:t>1.I have reviewed this Quarterly Report on Form 10-Q of World Fuel Services Corporation for the quarterly period ended September 30, 2014;</w:t>
      </w:r>
    </w:p>
    <w:p>
      <w:pPr>
        <w:spacing w:after="0" w:line="162" w:lineRule="exact"/>
        <w:rPr>
          <w:sz w:val="20"/>
          <w:szCs w:val="20"/>
          <w:color w:val="auto"/>
        </w:rPr>
      </w:pPr>
    </w:p>
    <w:p>
      <w:pPr>
        <w:ind w:left="460" w:right="8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460" w:right="40" w:hanging="134"/>
        <w:spacing w:after="0" w:line="26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sz w:val="20"/>
          <w:szCs w:val="20"/>
          <w:color w:val="auto"/>
        </w:rPr>
      </w:pPr>
    </w:p>
    <w:p>
      <w:pPr>
        <w:ind w:left="460" w:righ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76" w:lineRule="exact"/>
        <w:rPr>
          <w:sz w:val="20"/>
          <w:szCs w:val="20"/>
          <w:color w:val="auto"/>
        </w:rPr>
      </w:pPr>
    </w:p>
    <w:p>
      <w:pPr>
        <w:ind w:left="1100" w:right="6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left="1100" w:right="480" w:hanging="134"/>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1100" w:right="20" w:hanging="134"/>
        <w:spacing w:after="0" w:line="26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sz w:val="20"/>
          <w:szCs w:val="20"/>
          <w:color w:val="auto"/>
        </w:rPr>
      </w:pPr>
    </w:p>
    <w:p>
      <w:pPr>
        <w:ind w:left="1100" w:right="4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460" w:right="280" w:hanging="134"/>
        <w:spacing w:after="0" w:line="26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ind w:left="1100" w:right="280" w:hanging="134"/>
        <w:spacing w:after="0" w:line="26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sz w:val="20"/>
          <w:szCs w:val="20"/>
          <w:color w:val="auto"/>
        </w:rPr>
      </w:pPr>
    </w:p>
    <w:p>
      <w:pPr>
        <w:ind w:left="1100" w:right="66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2014</w:t>
      </w:r>
    </w:p>
    <w:p>
      <w:pPr>
        <w:spacing w:after="0" w:line="27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Ira M. Birns</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073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Executive Vice-President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267335</wp:posOffset>
            </wp:positionV>
            <wp:extent cx="646557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under Section 906 of the Sarbanes-Oxley Act of 2002 (18 U.S.C. § 1350)</w:t>
      </w:r>
    </w:p>
    <w:p>
      <w:pPr>
        <w:spacing w:after="0" w:line="175"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We, Michael J. Kasbar, the Chairman and Chief Executive Officer of World Fuel Services Corporation (the “Company”), and Ira M. Birns, the Executive Vice-President and Chief Financial Officer of the Company, certify for the purposes of Section 1350 of Chapter 63 of Title 18 of the United States Code that, to the best of our knowledge,</w:t>
      </w:r>
    </w:p>
    <w:p>
      <w:pPr>
        <w:spacing w:after="0" w:line="176" w:lineRule="exact"/>
        <w:rPr>
          <w:sz w:val="20"/>
          <w:szCs w:val="20"/>
          <w:color w:val="auto"/>
        </w:rPr>
      </w:pPr>
    </w:p>
    <w:p>
      <w:pPr>
        <w:ind w:left="760" w:right="100" w:hanging="271"/>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2014 (the “Report”) fully complies with the requirements of Section 13(a) or 15(d), as applicable, of the Securities Exchange Act of 1934; and</w:t>
      </w:r>
    </w:p>
    <w:p>
      <w:pPr>
        <w:spacing w:after="0" w:line="176" w:lineRule="exact"/>
        <w:rPr>
          <w:rFonts w:ascii="Times New Roman" w:cs="Times New Roman" w:eastAsia="Times New Roman" w:hAnsi="Times New Roman"/>
          <w:sz w:val="18"/>
          <w:szCs w:val="18"/>
          <w:color w:val="auto"/>
        </w:rPr>
      </w:pPr>
    </w:p>
    <w:p>
      <w:pPr>
        <w:ind w:left="820" w:right="160" w:hanging="331"/>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2014</w:t>
      </w:r>
    </w:p>
    <w:p>
      <w:pPr>
        <w:spacing w:after="0" w:line="2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-130810</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Ira M. Birns</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-130810</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Executive Vice-President and Chief Financial Officer</w:t>
      </w:r>
    </w:p>
    <w:p>
      <w:pPr>
        <w:spacing w:after="0" w:line="200" w:lineRule="exact"/>
        <w:rPr>
          <w:sz w:val="20"/>
          <w:szCs w:val="20"/>
          <w:color w:val="auto"/>
        </w:rPr>
      </w:pPr>
    </w:p>
    <w:p>
      <w:pPr>
        <w:spacing w:after="0" w:line="22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252730</wp:posOffset>
            </wp:positionV>
            <wp:extent cx="584835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sectPr>
      <w:pgSz w:w="11900" w:h="16838" w:orient="portrait"/>
      <w:cols w:equalWidth="0" w:num="1">
        <w:col w:w="9140"/>
      </w:cols>
      <w:pgMar w:left="1380" w:top="117"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emdash "/>
      <w:numFmt w:val="bullet"/>
      <w:start w:val="1"/>
    </w:lvl>
  </w:abstractNum>
  <w:abstractNum w:abstractNumId="4">
    <w:nsid w:val="1190CDE7"/>
    <w:multiLevelType w:val="hybridMultilevel"/>
    <w:lvl w:ilvl="0">
      <w:lvlJc w:val="left"/>
      <w:lvlText w:val="\emdash "/>
      <w:numFmt w:val="bullet"/>
      <w:start w:val="1"/>
    </w:lvl>
  </w:abstractNum>
  <w:abstractNum w:abstractNumId="5">
    <w:nsid w:val="66EF438D"/>
    <w:multiLevelType w:val="hybridMultilevel"/>
    <w:lvl w:ilvl="0">
      <w:lvlJc w:val="left"/>
      <w:lvlText w:val="(%1)"/>
      <w:numFmt w:val="decimal"/>
      <w:start w:val="242"/>
    </w:lvl>
  </w:abstractNum>
  <w:abstractNum w:abstractNumId="6">
    <w:nsid w:val="140E0F76"/>
    <w:multiLevelType w:val="hybridMultilevel"/>
    <w:lvl w:ilvl="0">
      <w:lvlJc w:val="left"/>
      <w:lvlText w:val="\emdash "/>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3"/>
    </w:lvl>
  </w:abstractNum>
  <w:abstractNum w:abstractNumId="9">
    <w:nsid w:val="DED7263"/>
    <w:multiLevelType w:val="hybridMultilevel"/>
    <w:lvl w:ilvl="0">
      <w:lvlJc w:val="left"/>
      <w:lvlText w:val="%1."/>
      <w:numFmt w:val="decimal"/>
      <w:start w:val="7"/>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Roman"/>
      <w:start w:val="2"/>
    </w:lvl>
  </w:abstractNum>
  <w:abstractNum w:abstractNumId="16">
    <w:nsid w:val="519B500D"/>
    <w:multiLevelType w:val="hybridMultilevel"/>
    <w:lvl w:ilvl="0">
      <w:lvlJc w:val="left"/>
      <w:lvlText w:val="%1"/>
      <w:numFmt w:val="decimal"/>
      <w:start w:val="10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2019-12-05T22:27:01Z</dcterms:created>
  <dcterms:modified xsi:type="dcterms:W3CDTF">2019-12-05T22:27:01Z</dcterms:modified>
</cp:coreProperties>
</file>