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0"/>
          <w:szCs w:val="20"/>
          <w:color w:val="auto"/>
        </w:rPr>
        <w:t>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0"/>
          <w:szCs w:val="20"/>
          <w:color w:val="auto"/>
        </w:rPr>
        <w:t>_________________________</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24, 2018</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WORLD FUEL SERVICES CORPORATION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jc w:val="center"/>
        <w:ind w:left="220"/>
        <w:spacing w:after="0"/>
        <w:rPr>
          <w:sz w:val="20"/>
          <w:szCs w:val="20"/>
          <w:color w:val="auto"/>
        </w:rPr>
      </w:pPr>
      <w:r>
        <w:rPr>
          <w:rFonts w:ascii="Arial" w:cs="Arial" w:eastAsia="Arial" w:hAnsi="Arial"/>
          <w:sz w:val="20"/>
          <w:szCs w:val="20"/>
          <w:b w:val="1"/>
          <w:bCs w:val="1"/>
          <w:color w:val="auto"/>
        </w:rPr>
        <w:t>Florida</w:t>
      </w:r>
    </w:p>
    <w:p>
      <w:pPr>
        <w:spacing w:after="0" w:line="22" w:lineRule="exact"/>
        <w:rPr>
          <w:sz w:val="24"/>
          <w:szCs w:val="24"/>
          <w:color w:val="auto"/>
        </w:rPr>
      </w:pPr>
    </w:p>
    <w:p>
      <w:pPr>
        <w:jc w:val="cente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1-9533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380"/>
        <w:spacing w:after="0"/>
        <w:rPr>
          <w:sz w:val="20"/>
          <w:szCs w:val="20"/>
          <w:color w:val="auto"/>
        </w:rPr>
      </w:pPr>
      <w:r>
        <w:rPr>
          <w:rFonts w:ascii="Arial" w:cs="Arial" w:eastAsia="Arial" w:hAnsi="Arial"/>
          <w:sz w:val="20"/>
          <w:szCs w:val="20"/>
          <w:b w:val="1"/>
          <w:bCs w:val="1"/>
          <w:color w:val="auto"/>
        </w:rPr>
        <w:t>59-2459427</w:t>
      </w:r>
    </w:p>
    <w:p>
      <w:pPr>
        <w:spacing w:after="0" w:line="22"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540" w:space="720"/>
            <w:col w:w="2200" w:space="720"/>
            <w:col w:w="3240"/>
          </w:cols>
          <w:pgMar w:left="240" w:top="225" w:right="239" w:bottom="1440" w:gutter="0" w:footer="0" w:header="0"/>
          <w:type w:val="continuous"/>
        </w:sectPr>
      </w:pPr>
    </w:p>
    <w:p>
      <w:pPr>
        <w:spacing w:after="0" w:line="84"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9800 N.W. 41</w:t>
      </w:r>
      <w:r>
        <w:rPr>
          <w:rFonts w:ascii="Arial" w:cs="Arial" w:eastAsia="Arial" w:hAnsi="Arial"/>
          <w:sz w:val="12"/>
          <w:szCs w:val="12"/>
          <w:b w:val="1"/>
          <w:bCs w:val="1"/>
          <w:color w:val="auto"/>
        </w:rPr>
        <w:t>st</w:t>
      </w:r>
      <w:r>
        <w:rPr>
          <w:rFonts w:ascii="Arial" w:cs="Arial" w:eastAsia="Arial" w:hAnsi="Arial"/>
          <w:sz w:val="20"/>
          <w:szCs w:val="20"/>
          <w:b w:val="1"/>
          <w:bCs w:val="1"/>
          <w:color w:val="auto"/>
        </w:rPr>
        <w:t xml:space="preserve"> Street</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Miami, FL</w:t>
      </w:r>
    </w:p>
    <w:p>
      <w:pPr>
        <w:jc w:val="center"/>
        <w:ind w:right="4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1380"/>
        <w:spacing w:after="0"/>
        <w:rPr>
          <w:sz w:val="20"/>
          <w:szCs w:val="20"/>
          <w:color w:val="auto"/>
        </w:rPr>
      </w:pPr>
      <w:r>
        <w:rPr>
          <w:rFonts w:ascii="Arial" w:cs="Arial" w:eastAsia="Arial" w:hAnsi="Arial"/>
          <w:sz w:val="20"/>
          <w:szCs w:val="20"/>
          <w:b w:val="1"/>
          <w:bCs w:val="1"/>
          <w:color w:val="auto"/>
        </w:rPr>
        <w:t>33178</w:t>
      </w:r>
    </w:p>
    <w:p>
      <w:pPr>
        <w:spacing w:after="0" w:line="22" w:lineRule="exact"/>
        <w:rPr>
          <w:sz w:val="24"/>
          <w:szCs w:val="24"/>
          <w:color w:val="auto"/>
        </w:rPr>
      </w:pPr>
    </w:p>
    <w:p>
      <w:pPr>
        <w:jc w:val="center"/>
        <w:ind w:right="138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460" w:space="720"/>
            <w:col w:w="2240"/>
          </w:cols>
          <w:pgMar w:left="240" w:top="225" w:right="239" w:bottom="1440" w:gutter="0" w:footer="0" w:header="0"/>
          <w:type w:val="continuous"/>
        </w:sectPr>
      </w:pPr>
    </w:p>
    <w:p>
      <w:pPr>
        <w:spacing w:after="0" w:line="57" w:lineRule="exact"/>
        <w:rPr>
          <w:sz w:val="24"/>
          <w:szCs w:val="24"/>
          <w:color w:val="auto"/>
        </w:rPr>
      </w:pPr>
    </w:p>
    <w:p>
      <w:pPr>
        <w:ind w:left="318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(305) 428-8000</w:t>
      </w:r>
    </w:p>
    <w:p>
      <w:pPr>
        <w:spacing w:after="0" w:line="235"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3" w:lineRule="exact"/>
        <w:rPr>
          <w:sz w:val="24"/>
          <w:szCs w:val="24"/>
          <w:color w:val="auto"/>
        </w:rPr>
      </w:pPr>
    </w:p>
    <w:p>
      <w:pPr>
        <w:ind w:right="16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0" w:lineRule="exact"/>
        <w:rPr>
          <w:sz w:val="24"/>
          <w:szCs w:val="24"/>
          <w:color w:val="auto"/>
        </w:rPr>
      </w:pPr>
    </w:p>
    <w:p>
      <w:pPr>
        <w:spacing w:after="0"/>
        <w:rPr>
          <w:sz w:val="20"/>
          <w:szCs w:val="20"/>
          <w:color w:val="auto"/>
        </w:rPr>
      </w:pPr>
      <w:r>
        <w:rPr>
          <w:rFonts w:ascii="Arial" w:cs="Arial" w:eastAsia="Arial" w:hAnsi="Arial"/>
          <w:sz w:val="20"/>
          <w:szCs w:val="20"/>
          <w:color w:val="auto"/>
        </w:rPr>
        <w:t>Emerging growth company [ ]</w:t>
      </w:r>
    </w:p>
    <w:p>
      <w:pPr>
        <w:spacing w:after="0" w:line="229" w:lineRule="exact"/>
        <w:rPr>
          <w:sz w:val="24"/>
          <w:szCs w:val="24"/>
          <w:color w:val="auto"/>
        </w:rPr>
      </w:pPr>
    </w:p>
    <w:p>
      <w:pPr>
        <w:ind w:right="360"/>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3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On May 24, 2018, World Fuel Services Corporation (the “Company”) held its annual meeting of shareholders. The matters voted upon and the results of the vote were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Proposal 1: Election of Directors</w:t>
      </w:r>
    </w:p>
    <w:p>
      <w:pPr>
        <w:spacing w:after="0" w:line="23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shareholders elected all of the Company’s nominees for director for one-year terms expiring on the date of the annual meeting in 2019 or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20" w:type="dxa"/>
            <w:vAlign w:val="bottom"/>
          </w:tcPr>
          <w:p>
            <w:pPr>
              <w:ind w:left="40"/>
              <w:spacing w:after="0"/>
              <w:rPr>
                <w:sz w:val="20"/>
                <w:szCs w:val="20"/>
                <w:color w:val="auto"/>
              </w:rPr>
            </w:pPr>
            <w:r>
              <w:rPr>
                <w:rFonts w:ascii="Arial" w:cs="Arial" w:eastAsia="Arial" w:hAnsi="Arial"/>
                <w:sz w:val="20"/>
                <w:szCs w:val="20"/>
                <w:b w:val="1"/>
                <w:bCs w:val="1"/>
                <w:color w:val="auto"/>
              </w:rPr>
              <w:t>Nominee</w:t>
            </w:r>
          </w:p>
        </w:tc>
        <w:tc>
          <w:tcPr>
            <w:tcW w:w="2700" w:type="dxa"/>
            <w:vAlign w:val="bottom"/>
          </w:tcPr>
          <w:p>
            <w:pPr>
              <w:jc w:val="center"/>
              <w:spacing w:after="0"/>
              <w:rPr>
                <w:sz w:val="20"/>
                <w:szCs w:val="20"/>
                <w:color w:val="auto"/>
              </w:rPr>
            </w:pPr>
            <w:r>
              <w:rPr>
                <w:rFonts w:ascii="Arial" w:cs="Arial" w:eastAsia="Arial" w:hAnsi="Arial"/>
                <w:sz w:val="20"/>
                <w:szCs w:val="20"/>
                <w:b w:val="1"/>
                <w:bCs w:val="1"/>
                <w:color w:val="auto"/>
                <w:w w:val="86"/>
              </w:rPr>
              <w:t>Votes For</w:t>
            </w:r>
          </w:p>
        </w:tc>
        <w:tc>
          <w:tcPr>
            <w:tcW w:w="2900" w:type="dxa"/>
            <w:vAlign w:val="bottom"/>
          </w:tcPr>
          <w:p>
            <w:pPr>
              <w:ind w:left="880"/>
              <w:spacing w:after="0"/>
              <w:rPr>
                <w:sz w:val="20"/>
                <w:szCs w:val="20"/>
                <w:color w:val="auto"/>
              </w:rPr>
            </w:pPr>
            <w:r>
              <w:rPr>
                <w:rFonts w:ascii="Arial" w:cs="Arial" w:eastAsia="Arial" w:hAnsi="Arial"/>
                <w:sz w:val="20"/>
                <w:szCs w:val="20"/>
                <w:b w:val="1"/>
                <w:bCs w:val="1"/>
                <w:color w:val="auto"/>
              </w:rPr>
              <w:t>Votes Withheld</w:t>
            </w:r>
          </w:p>
        </w:tc>
        <w:tc>
          <w:tcPr>
            <w:tcW w:w="2900" w:type="dxa"/>
            <w:vAlign w:val="bottom"/>
          </w:tcPr>
          <w:p>
            <w:pPr>
              <w:jc w:val="center"/>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Michael J. Kasbar</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51,783,775</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4,871,252</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Ken Bakshi</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47,334,299</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9,320,728</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Jorge L. Benitez</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55,631,845</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1,023,182</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Stephen J. Gold</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56,017,079</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8"/>
              </w:rPr>
              <w:t>637,948</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Richard A. Kassar</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39,076,437</w:t>
            </w:r>
          </w:p>
        </w:tc>
        <w:tc>
          <w:tcPr>
            <w:tcW w:w="2900" w:type="dxa"/>
            <w:vAlign w:val="bottom"/>
          </w:tcPr>
          <w:p>
            <w:pPr>
              <w:jc w:val="center"/>
              <w:ind w:left="61"/>
              <w:spacing w:after="0"/>
              <w:rPr>
                <w:sz w:val="20"/>
                <w:szCs w:val="20"/>
                <w:color w:val="auto"/>
              </w:rPr>
            </w:pPr>
            <w:r>
              <w:rPr>
                <w:rFonts w:ascii="Arial" w:cs="Arial" w:eastAsia="Arial" w:hAnsi="Arial"/>
                <w:sz w:val="20"/>
                <w:szCs w:val="20"/>
                <w:color w:val="auto"/>
                <w:w w:val="89"/>
              </w:rPr>
              <w:t>17,578,590</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John L. Manley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52,932,013</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3,723,014</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 Thomas Presby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51,818,969</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4,836,058</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Stephen K. Roddenberry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51,258,254</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5,396,773</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Paul H. Stebbins</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55,351,681</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1,303,346</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5,505,743</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Proposal 2: Non-Binding, Advisory Vote on Executive Compensation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shareholders approved, by a non-binding, advisory vote, the compensation of the Company’s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20"/>
                <w:szCs w:val="20"/>
                <w:b w:val="1"/>
                <w:bCs w:val="1"/>
                <w:color w:val="auto"/>
                <w:w w:val="93"/>
              </w:rPr>
              <w:t>Broker</w:t>
            </w:r>
          </w:p>
        </w:tc>
      </w:tr>
      <w:tr>
        <w:trPr>
          <w:trHeight w:val="256"/>
        </w:trPr>
        <w:tc>
          <w:tcPr>
            <w:tcW w:w="27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Votes For</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Votes Against</w:t>
            </w:r>
          </w:p>
        </w:tc>
        <w:tc>
          <w:tcPr>
            <w:tcW w:w="28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Abstentions</w:t>
            </w:r>
          </w:p>
        </w:tc>
        <w:tc>
          <w:tcPr>
            <w:tcW w:w="2840" w:type="dxa"/>
            <w:vAlign w:val="bottom"/>
          </w:tcPr>
          <w:p>
            <w:pPr>
              <w:jc w:val="center"/>
              <w:spacing w:after="0"/>
              <w:rPr>
                <w:sz w:val="20"/>
                <w:szCs w:val="20"/>
                <w:color w:val="auto"/>
              </w:rPr>
            </w:pPr>
            <w:r>
              <w:rPr>
                <w:rFonts w:ascii="Arial" w:cs="Arial" w:eastAsia="Arial" w:hAnsi="Arial"/>
                <w:sz w:val="20"/>
                <w:szCs w:val="20"/>
                <w:b w:val="1"/>
                <w:bCs w:val="1"/>
                <w:color w:val="auto"/>
                <w:w w:val="87"/>
              </w:rPr>
              <w:t>Non-Votes</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jc w:val="right"/>
              <w:ind w:right="721"/>
              <w:spacing w:after="0"/>
              <w:rPr>
                <w:sz w:val="20"/>
                <w:szCs w:val="20"/>
                <w:color w:val="auto"/>
              </w:rPr>
            </w:pPr>
            <w:r>
              <w:rPr>
                <w:rFonts w:ascii="Arial" w:cs="Arial" w:eastAsia="Arial" w:hAnsi="Arial"/>
                <w:sz w:val="20"/>
                <w:szCs w:val="20"/>
                <w:color w:val="auto"/>
              </w:rPr>
              <w:t>49,992,712</w:t>
            </w:r>
          </w:p>
        </w:tc>
        <w:tc>
          <w:tcPr>
            <w:tcW w:w="220" w:type="dxa"/>
            <w:vAlign w:val="bottom"/>
          </w:tcPr>
          <w:p>
            <w:pPr>
              <w:spacing w:after="0"/>
              <w:rPr>
                <w:sz w:val="22"/>
                <w:szCs w:val="22"/>
                <w:color w:val="auto"/>
              </w:rPr>
            </w:pPr>
          </w:p>
        </w:tc>
        <w:tc>
          <w:tcPr>
            <w:tcW w:w="2760" w:type="dxa"/>
            <w:vAlign w:val="bottom"/>
          </w:tcPr>
          <w:p>
            <w:pPr>
              <w:jc w:val="right"/>
              <w:ind w:right="881"/>
              <w:spacing w:after="0"/>
              <w:rPr>
                <w:sz w:val="20"/>
                <w:szCs w:val="20"/>
                <w:color w:val="auto"/>
              </w:rPr>
            </w:pPr>
            <w:r>
              <w:rPr>
                <w:rFonts w:ascii="Arial" w:cs="Arial" w:eastAsia="Arial" w:hAnsi="Arial"/>
                <w:sz w:val="20"/>
                <w:szCs w:val="20"/>
                <w:color w:val="auto"/>
              </w:rPr>
              <w:t>6,605,849</w:t>
            </w:r>
          </w:p>
        </w:tc>
        <w:tc>
          <w:tcPr>
            <w:tcW w:w="220" w:type="dxa"/>
            <w:vAlign w:val="bottom"/>
          </w:tcPr>
          <w:p>
            <w:pPr>
              <w:spacing w:after="0"/>
              <w:rPr>
                <w:sz w:val="22"/>
                <w:szCs w:val="22"/>
                <w:color w:val="auto"/>
              </w:rPr>
            </w:pPr>
          </w:p>
        </w:tc>
        <w:tc>
          <w:tcPr>
            <w:tcW w:w="2640" w:type="dxa"/>
            <w:vAlign w:val="bottom"/>
          </w:tcPr>
          <w:p>
            <w:pPr>
              <w:jc w:val="right"/>
              <w:ind w:right="961"/>
              <w:spacing w:after="0"/>
              <w:rPr>
                <w:sz w:val="20"/>
                <w:szCs w:val="20"/>
                <w:color w:val="auto"/>
              </w:rPr>
            </w:pPr>
            <w:r>
              <w:rPr>
                <w:rFonts w:ascii="Arial" w:cs="Arial" w:eastAsia="Arial" w:hAnsi="Arial"/>
                <w:sz w:val="20"/>
                <w:szCs w:val="20"/>
                <w:color w:val="auto"/>
              </w:rPr>
              <w:t>56,466</w:t>
            </w:r>
          </w:p>
        </w:tc>
        <w:tc>
          <w:tcPr>
            <w:tcW w:w="22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20"/>
                <w:szCs w:val="20"/>
                <w:color w:val="auto"/>
                <w:w w:val="89"/>
              </w:rPr>
              <w:t>5,505,743</w:t>
            </w:r>
          </w:p>
        </w:tc>
      </w:tr>
    </w:tbl>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20"/>
          <w:szCs w:val="20"/>
          <w:b w:val="1"/>
          <w:bCs w:val="1"/>
          <w:u w:val="single" w:color="auto"/>
          <w:color w:val="auto"/>
        </w:rPr>
        <w:t>Proposal 3: Ratification of Appointment of Independent Registered Certified Public Accounting Firm</w:t>
      </w:r>
    </w:p>
    <w:p>
      <w:pPr>
        <w:spacing w:after="0" w:line="235"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The shareholders ratified the appointment of PricewaterhouseCoopers LLP as the Company’s independent registered certified public accounting firm for the 2018 fiscal year.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6"/>
              </w:rPr>
              <w:t>Broker</w:t>
            </w:r>
          </w:p>
        </w:tc>
      </w:tr>
      <w:tr>
        <w:trPr>
          <w:trHeight w:val="256"/>
        </w:trPr>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Votes For</w:t>
            </w:r>
          </w:p>
        </w:tc>
        <w:tc>
          <w:tcPr>
            <w:tcW w:w="29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5"/>
              </w:rPr>
              <w:t>Votes Against</w:t>
            </w:r>
          </w:p>
        </w:tc>
        <w:tc>
          <w:tcPr>
            <w:tcW w:w="28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6"/>
              </w:rPr>
              <w:t>Abstentions</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85"/>
              </w:rPr>
              <w:t>Non-Votes</w:t>
            </w:r>
          </w:p>
        </w:tc>
      </w:tr>
      <w:tr>
        <w:trPr>
          <w:trHeight w:val="23"/>
        </w:trPr>
        <w:tc>
          <w:tcPr>
            <w:tcW w:w="2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4"/>
        </w:trPr>
        <w:tc>
          <w:tcPr>
            <w:tcW w:w="2740" w:type="dxa"/>
            <w:vAlign w:val="bottom"/>
          </w:tcPr>
          <w:p>
            <w:pPr>
              <w:jc w:val="right"/>
              <w:ind w:right="821"/>
              <w:spacing w:after="0"/>
              <w:rPr>
                <w:sz w:val="20"/>
                <w:szCs w:val="20"/>
                <w:color w:val="auto"/>
              </w:rPr>
            </w:pPr>
            <w:r>
              <w:rPr>
                <w:rFonts w:ascii="Arial" w:cs="Arial" w:eastAsia="Arial" w:hAnsi="Arial"/>
                <w:sz w:val="20"/>
                <w:szCs w:val="20"/>
                <w:color w:val="auto"/>
              </w:rPr>
              <w:t>61,388,572</w:t>
            </w:r>
          </w:p>
        </w:tc>
        <w:tc>
          <w:tcPr>
            <w:tcW w:w="240" w:type="dxa"/>
            <w:vAlign w:val="bottom"/>
          </w:tcPr>
          <w:p>
            <w:pPr>
              <w:spacing w:after="0"/>
              <w:rPr>
                <w:sz w:val="22"/>
                <w:szCs w:val="22"/>
                <w:color w:val="auto"/>
              </w:rPr>
            </w:pPr>
          </w:p>
        </w:tc>
        <w:tc>
          <w:tcPr>
            <w:tcW w:w="2740" w:type="dxa"/>
            <w:vAlign w:val="bottom"/>
          </w:tcPr>
          <w:p>
            <w:pPr>
              <w:jc w:val="right"/>
              <w:ind w:right="941"/>
              <w:spacing w:after="0"/>
              <w:rPr>
                <w:sz w:val="20"/>
                <w:szCs w:val="20"/>
                <w:color w:val="auto"/>
              </w:rPr>
            </w:pPr>
            <w:r>
              <w:rPr>
                <w:rFonts w:ascii="Arial" w:cs="Arial" w:eastAsia="Arial" w:hAnsi="Arial"/>
                <w:sz w:val="20"/>
                <w:szCs w:val="20"/>
                <w:color w:val="auto"/>
              </w:rPr>
              <w:t>741,512</w:t>
            </w:r>
          </w:p>
        </w:tc>
        <w:tc>
          <w:tcPr>
            <w:tcW w:w="240" w:type="dxa"/>
            <w:vAlign w:val="bottom"/>
          </w:tcPr>
          <w:p>
            <w:pPr>
              <w:spacing w:after="0"/>
              <w:rPr>
                <w:sz w:val="22"/>
                <w:szCs w:val="22"/>
                <w:color w:val="auto"/>
              </w:rPr>
            </w:pPr>
          </w:p>
        </w:tc>
        <w:tc>
          <w:tcPr>
            <w:tcW w:w="2620" w:type="dxa"/>
            <w:vAlign w:val="bottom"/>
          </w:tcPr>
          <w:p>
            <w:pPr>
              <w:jc w:val="right"/>
              <w:ind w:right="941"/>
              <w:spacing w:after="0"/>
              <w:rPr>
                <w:sz w:val="20"/>
                <w:szCs w:val="20"/>
                <w:color w:val="auto"/>
              </w:rPr>
            </w:pPr>
            <w:r>
              <w:rPr>
                <w:rFonts w:ascii="Arial" w:cs="Arial" w:eastAsia="Arial" w:hAnsi="Arial"/>
                <w:sz w:val="20"/>
                <w:szCs w:val="20"/>
                <w:color w:val="auto"/>
              </w:rPr>
              <w:t>30,686</w:t>
            </w:r>
          </w:p>
        </w:tc>
        <w:tc>
          <w:tcPr>
            <w:tcW w:w="2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20"/>
                <w:szCs w:val="20"/>
                <w:color w:val="auto"/>
                <w:w w:val="8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760" w:val="left"/>
        </w:tabs>
        <w:rPr>
          <w:sz w:val="20"/>
          <w:szCs w:val="20"/>
          <w:color w:val="auto"/>
        </w:rPr>
      </w:pPr>
      <w:r>
        <w:rPr>
          <w:rFonts w:ascii="Arial" w:cs="Arial" w:eastAsia="Arial" w:hAnsi="Arial"/>
          <w:sz w:val="20"/>
          <w:szCs w:val="20"/>
          <w:color w:val="auto"/>
        </w:rPr>
        <w:t>Date: May 29, 2018</w:t>
      </w:r>
      <w:r>
        <w:rPr>
          <w:sz w:val="20"/>
          <w:szCs w:val="20"/>
          <w:color w:val="auto"/>
        </w:rPr>
        <w:tab/>
      </w: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856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R. Alexander Lake</w:t>
      </w:r>
    </w:p>
    <w:p>
      <w:pPr>
        <w:ind w:left="3900"/>
        <w:spacing w:after="0"/>
        <w:rPr>
          <w:sz w:val="20"/>
          <w:szCs w:val="20"/>
          <w:color w:val="auto"/>
        </w:rPr>
      </w:pPr>
      <w:r>
        <w:rPr>
          <w:rFonts w:ascii="Arial" w:cs="Arial" w:eastAsia="Arial" w:hAnsi="Arial"/>
          <w:sz w:val="20"/>
          <w:szCs w:val="20"/>
          <w:color w:val="auto"/>
        </w:rPr>
        <w:t>Executive Vice President, Chief Legal Officer and</w:t>
      </w:r>
    </w:p>
    <w:p>
      <w:pPr>
        <w:ind w:left="390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2019-12-05T15:28:36Z</dcterms:created>
  <dcterms:modified xsi:type="dcterms:W3CDTF">2019-12-05T15:28:36Z</dcterms:modified>
</cp:coreProperties>
</file>