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October 30, 2019</w:t>
      </w:r>
    </w:p>
    <w:p>
      <w:pPr>
        <w:spacing w:after="0" w:line="36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WORLD FUEL SERVICES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260" w:type="dxa"/>
            <w:vAlign w:val="bottom"/>
          </w:tcPr>
          <w:p>
            <w:pPr>
              <w:jc w:val="center"/>
              <w:ind w:right="459"/>
              <w:spacing w:after="0"/>
              <w:rPr>
                <w:sz w:val="20"/>
                <w:szCs w:val="20"/>
                <w:color w:val="auto"/>
              </w:rPr>
            </w:pPr>
            <w:r>
              <w:rPr>
                <w:rFonts w:ascii="Arial" w:cs="Arial" w:eastAsia="Arial" w:hAnsi="Arial"/>
                <w:sz w:val="18"/>
                <w:szCs w:val="18"/>
                <w:b w:val="1"/>
                <w:bCs w:val="1"/>
                <w:color w:val="auto"/>
                <w:w w:val="93"/>
              </w:rPr>
              <w:t>Florida</w:t>
            </w:r>
          </w:p>
        </w:tc>
        <w:tc>
          <w:tcPr>
            <w:tcW w:w="3820" w:type="dxa"/>
            <w:vAlign w:val="bottom"/>
          </w:tcPr>
          <w:p>
            <w:pPr>
              <w:jc w:val="right"/>
              <w:ind w:right="1496"/>
              <w:spacing w:after="0"/>
              <w:rPr>
                <w:sz w:val="20"/>
                <w:szCs w:val="20"/>
                <w:color w:val="auto"/>
              </w:rPr>
            </w:pPr>
            <w:r>
              <w:rPr>
                <w:rFonts w:ascii="Arial" w:cs="Arial" w:eastAsia="Arial" w:hAnsi="Arial"/>
                <w:sz w:val="18"/>
                <w:szCs w:val="18"/>
                <w:b w:val="1"/>
                <w:bCs w:val="1"/>
                <w:color w:val="auto"/>
              </w:rPr>
              <w:t>1-9533</w:t>
            </w:r>
          </w:p>
        </w:tc>
        <w:tc>
          <w:tcPr>
            <w:tcW w:w="3200" w:type="dxa"/>
            <w:vAlign w:val="bottom"/>
          </w:tcPr>
          <w:p>
            <w:pPr>
              <w:jc w:val="right"/>
              <w:ind w:right="577"/>
              <w:spacing w:after="0"/>
              <w:rPr>
                <w:sz w:val="20"/>
                <w:szCs w:val="20"/>
                <w:color w:val="auto"/>
              </w:rPr>
            </w:pPr>
            <w:r>
              <w:rPr>
                <w:rFonts w:ascii="Arial" w:cs="Arial" w:eastAsia="Arial" w:hAnsi="Arial"/>
                <w:sz w:val="18"/>
                <w:szCs w:val="18"/>
                <w:b w:val="1"/>
                <w:bCs w:val="1"/>
                <w:color w:val="auto"/>
              </w:rPr>
              <w:t>59-2459427</w:t>
            </w:r>
          </w:p>
        </w:tc>
      </w:tr>
      <w:tr>
        <w:trPr>
          <w:trHeight w:val="434"/>
        </w:trPr>
        <w:tc>
          <w:tcPr>
            <w:tcW w:w="3260" w:type="dxa"/>
            <w:vAlign w:val="bottom"/>
          </w:tcPr>
          <w:p>
            <w:pPr>
              <w:jc w:val="center"/>
              <w:ind w:right="459"/>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3820" w:type="dxa"/>
            <w:vAlign w:val="bottom"/>
          </w:tcPr>
          <w:p>
            <w:pPr>
              <w:jc w:val="center"/>
              <w:ind w:left="56"/>
              <w:spacing w:after="0"/>
              <w:rPr>
                <w:sz w:val="20"/>
                <w:szCs w:val="20"/>
                <w:color w:val="auto"/>
              </w:rPr>
            </w:pPr>
            <w:r>
              <w:rPr>
                <w:rFonts w:ascii="Arial" w:cs="Arial" w:eastAsia="Arial" w:hAnsi="Arial"/>
                <w:sz w:val="14"/>
                <w:szCs w:val="14"/>
                <w:b w:val="1"/>
                <w:bCs w:val="1"/>
                <w:color w:val="auto"/>
                <w:w w:val="94"/>
              </w:rPr>
              <w:t>(Commission File Number)</w:t>
            </w:r>
          </w:p>
        </w:tc>
        <w:tc>
          <w:tcPr>
            <w:tcW w:w="3200" w:type="dxa"/>
            <w:vAlign w:val="bottom"/>
          </w:tcPr>
          <w:p>
            <w:pPr>
              <w:jc w:val="center"/>
              <w:ind w:left="91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3260" w:type="dxa"/>
            <w:vAlign w:val="bottom"/>
          </w:tcPr>
          <w:p>
            <w:pPr>
              <w:ind w:left="860"/>
              <w:spacing w:after="0"/>
              <w:rPr>
                <w:sz w:val="20"/>
                <w:szCs w:val="20"/>
                <w:color w:val="auto"/>
              </w:rPr>
            </w:pPr>
            <w:r>
              <w:rPr>
                <w:rFonts w:ascii="Arial" w:cs="Arial" w:eastAsia="Arial" w:hAnsi="Arial"/>
                <w:sz w:val="18"/>
                <w:szCs w:val="18"/>
                <w:b w:val="1"/>
                <w:bCs w:val="1"/>
                <w:color w:val="auto"/>
                <w:w w:val="95"/>
              </w:rPr>
              <w:t>9800 N.W. 41st Street, Miami,</w:t>
            </w:r>
          </w:p>
        </w:tc>
        <w:tc>
          <w:tcPr>
            <w:tcW w:w="3820" w:type="dxa"/>
            <w:vAlign w:val="bottom"/>
          </w:tcPr>
          <w:p>
            <w:pPr>
              <w:ind w:left="60"/>
              <w:spacing w:after="0"/>
              <w:rPr>
                <w:sz w:val="20"/>
                <w:szCs w:val="20"/>
                <w:color w:val="auto"/>
              </w:rPr>
            </w:pPr>
            <w:r>
              <w:rPr>
                <w:rFonts w:ascii="Arial" w:cs="Arial" w:eastAsia="Arial" w:hAnsi="Arial"/>
                <w:sz w:val="18"/>
                <w:szCs w:val="18"/>
                <w:b w:val="1"/>
                <w:bCs w:val="1"/>
                <w:color w:val="auto"/>
              </w:rPr>
              <w:t>Florida</w:t>
            </w:r>
          </w:p>
        </w:tc>
        <w:tc>
          <w:tcPr>
            <w:tcW w:w="3200" w:type="dxa"/>
            <w:vAlign w:val="bottom"/>
          </w:tcPr>
          <w:p>
            <w:pPr>
              <w:jc w:val="right"/>
              <w:ind w:right="1197"/>
              <w:spacing w:after="0"/>
              <w:rPr>
                <w:sz w:val="20"/>
                <w:szCs w:val="20"/>
                <w:color w:val="auto"/>
              </w:rPr>
            </w:pPr>
            <w:r>
              <w:rPr>
                <w:rFonts w:ascii="Arial" w:cs="Arial" w:eastAsia="Arial" w:hAnsi="Arial"/>
                <w:sz w:val="18"/>
                <w:szCs w:val="18"/>
                <w:b w:val="1"/>
                <w:bCs w:val="1"/>
                <w:color w:val="auto"/>
              </w:rPr>
              <w:t>33178</w:t>
            </w:r>
          </w:p>
        </w:tc>
      </w:tr>
      <w:tr>
        <w:trPr>
          <w:trHeight w:val="312"/>
        </w:trPr>
        <w:tc>
          <w:tcPr>
            <w:tcW w:w="7080" w:type="dxa"/>
            <w:vAlign w:val="bottom"/>
            <w:gridSpan w:val="2"/>
          </w:tcPr>
          <w:p>
            <w:pPr>
              <w:ind w:left="1240"/>
              <w:spacing w:after="0"/>
              <w:rPr>
                <w:sz w:val="20"/>
                <w:szCs w:val="20"/>
                <w:color w:val="auto"/>
              </w:rPr>
            </w:pPr>
            <w:r>
              <w:rPr>
                <w:rFonts w:ascii="Arial" w:cs="Arial" w:eastAsia="Arial" w:hAnsi="Arial"/>
                <w:sz w:val="14"/>
                <w:szCs w:val="14"/>
                <w:b w:val="1"/>
                <w:bCs w:val="1"/>
                <w:color w:val="auto"/>
              </w:rPr>
              <w:t>(Address of principal executive offices)</w:t>
            </w:r>
          </w:p>
        </w:tc>
        <w:tc>
          <w:tcPr>
            <w:tcW w:w="3200" w:type="dxa"/>
            <w:vAlign w:val="bottom"/>
          </w:tcPr>
          <w:p>
            <w:pPr>
              <w:jc w:val="center"/>
              <w:ind w:left="77"/>
              <w:spacing w:after="0"/>
              <w:rPr>
                <w:sz w:val="20"/>
                <w:szCs w:val="20"/>
                <w:color w:val="auto"/>
              </w:rPr>
            </w:pPr>
            <w:r>
              <w:rPr>
                <w:rFonts w:ascii="Arial" w:cs="Arial" w:eastAsia="Arial" w:hAnsi="Arial"/>
                <w:sz w:val="16"/>
                <w:szCs w:val="16"/>
                <w:b w:val="1"/>
                <w:bCs w:val="1"/>
                <w:color w:val="auto"/>
                <w:w w:val="96"/>
              </w:rPr>
              <w:t>(Zip Code)</w:t>
            </w:r>
          </w:p>
        </w:tc>
      </w:tr>
    </w:tbl>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29"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6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8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80"/>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gridSpan w:val="2"/>
          </w:tcPr>
          <w:p>
            <w:pPr>
              <w:jc w:val="center"/>
              <w:ind w:right="860"/>
              <w:spacing w:after="0"/>
              <w:rPr>
                <w:sz w:val="20"/>
                <w:szCs w:val="20"/>
                <w:color w:val="auto"/>
              </w:rPr>
            </w:pPr>
            <w:r>
              <w:rPr>
                <w:rFonts w:ascii="Arial" w:cs="Arial" w:eastAsia="Arial" w:hAnsi="Arial"/>
                <w:sz w:val="18"/>
                <w:szCs w:val="18"/>
                <w:color w:val="auto"/>
              </w:rPr>
              <w:t>INT</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6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30, 2019, World Fuel Services Corporation (the “Company”) issued a press release reporting its financial results for the third quarter ended September 30, 2019.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30, 2019</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October 30, 2019</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October 30, 2019</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Treasurer &amp; Investor Relations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ind w:left="1940"/>
        <w:spacing w:after="0"/>
        <w:rPr>
          <w:sz w:val="20"/>
          <w:szCs w:val="20"/>
          <w:color w:val="auto"/>
        </w:rPr>
      </w:pPr>
      <w:r>
        <w:rPr>
          <w:rFonts w:ascii="Arial" w:cs="Arial" w:eastAsia="Arial" w:hAnsi="Arial"/>
          <w:sz w:val="25"/>
          <w:szCs w:val="25"/>
          <w:b w:val="1"/>
          <w:bCs w:val="1"/>
          <w:color w:val="auto"/>
        </w:rPr>
        <w:t>World Fuel Services Corporation Reports Third Quarter 2019 Results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---Delivers Solid Year-Over-Year Improvement Across All Segments---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MIAMI—October 30, 2019--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Third-Quarter 2019 Highlights</w:t>
      </w:r>
    </w:p>
    <w:p>
      <w:pPr>
        <w:spacing w:after="0" w:line="23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gross profit of $305.7 million, up 15% year-over-year</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of $48.2 million, or $0.73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$50.7 million, or $0.77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$117.6 million, up 13% year-over-year</w:t>
      </w:r>
    </w:p>
    <w:p>
      <w:pPr>
        <w:spacing w:after="0" w:line="213"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“We delivered very strong results in the third quarter, as we continue to drive organic growth while focusing on further improving operating efficiencies,” stated Michael J. Kasbar, chairman and chief executive officer of World Fuel Services Corporation. “Our marine segment delivered their strongest quarter in nearly five years contributing to our strong overall results, a reflection of solid execution on our strategy of continuous cost management and sharpening the portfolio to drive enhanced profitability and returns.”</w:t>
      </w:r>
    </w:p>
    <w:p>
      <w:pPr>
        <w:spacing w:after="0" w:line="19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Our aviation segment generated gross profit of $156.9 million in the third quarter, an increase of 12% year-over-year, principally driven by further growth in our government-related operations, as well as continued strength in our core commercial and business aviation activities. Our marine segment generated gross profit of $53.4 million, an increase of 24% year-over-year, due to improved profitability in our core resale operations, principally in Asia. Our land segment generated gross profit of $95.4 million, an increase of 15% year-over-year, primarily resulting from growth in our government-related operations, commercial and industrial activities, as well as our MultiService payment solutions business.</w:t>
      </w:r>
    </w:p>
    <w:p>
      <w:pPr>
        <w:spacing w:after="0" w:line="210"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“Over the last twelve months, we generated more than $400 million of adjusted EBITDA, representing significant improvement over the past two years,” said Ira M. Birns, executive vice president and chief financial officer. “Earnings growth, combined with our continued focus on working capital management, has contributed to our highest level of return on invested capital since 2014.”</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Financial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Cash flow generated by operating activities was $33.0 million for the third quarter of 2019 compared to cash flow used from operations of</w:t>
      </w:r>
    </w:p>
    <w:p>
      <w:pPr>
        <w:spacing w:after="0" w:line="3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$87.4 million in the third quarter of 2018. The prior year was negatively impacted by approximately $115.6 million resulting from a statement of cash flows accounting standard adopted in 2018.</w:t>
      </w:r>
    </w:p>
    <w:p>
      <w:pPr>
        <w:spacing w:after="0" w:line="31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Our operating expense ratio improved from 68.7% to 68.4% year-over-year, reflecting our continued focus on improving operating leverage and we remain on track to meet our 2019 goal of a 250 basis-point improvement over 2018.</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This press release contains non-GAAP financial measures (collectively, the “Non-GAAP Measures”), including adjusted net income, adjusted diluted earnings per share, and adjusted earnings before interest, taxes, depreciation and amortization (“EBITDA”). The Non-GAAP Measures exclude acquisition-related charges and restructuring costs primarily because we do not believe they are reflective of our core operating results. In addition, beginning with the period ending September 30, 2019, as well as the 2018 comparative, the Non-GAAP Measures also exclude gains or losses on the extinguishment of debt to facilitate an evaluation of our current operating performance and comparisons to our past operating performance.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98"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This release includes forward-looking statements within the meaning of the Private Securities Litigation Reform Act of 1995, including statements regarding our beliefs and expectations with respect to our strategy of continuous cost management and sharpening the portfolio to drive enhanced profitability and returns, as well as our expectations about meeting our goal of a 250 basis-point improvement in our operating expense ratio.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the North Atlantic Treaty Organization in Afghanistan under our supply contract,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6" w:name="page7"/>
    <w:bookmarkEnd w:id="6"/>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218.5</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211.7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523.1</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155.2</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3,969.5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3,974.8</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350.3</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852.7</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5,676.9</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finance leases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2,386.9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2,399.6</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377.0</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2,935.9</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659.9</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3,938.9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3,845.3</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4"/>
              </w:rPr>
              <w:t>Common stock, $0.01 par value; 100.0 shares authorized, 65.2 and 67.0 issued and outstanding as of September 30, 2019 and</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2018, respectively</w:t>
            </w: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1,606.1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1,815.4</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1,831.6</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5,797.5</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2018</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9,322.7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27,460.9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29,761.7</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9,017.0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10,162.8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26,635.6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29,005.4</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756.3</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342.0</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232.9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217.8</w:t>
            </w:r>
          </w:p>
        </w:tc>
      </w:tr>
      <w:tr>
        <w:trPr>
          <w:trHeight w:val="250"/>
        </w:trPr>
        <w:tc>
          <w:tcPr>
            <w:tcW w:w="59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586.2</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559.8</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196.4</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0"/>
        </w:trPr>
        <w:tc>
          <w:tcPr>
            <w:tcW w:w="59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5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99.2</w:t>
            </w:r>
          </w:p>
        </w:tc>
      </w:tr>
      <w:tr>
        <w:trPr>
          <w:trHeight w:val="29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7"/>
              </w:rPr>
              <w:t>Cash flow hedges, net of income tax expense of $2.8 and income tax benefit of $3.5 for the three</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months ended September 30, 2019 and 2018 respectively and net of income tax benefit of $2.4 and</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8"/>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$5.2 for the nine months ended September 30, 2019 and 2018, respectively</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2018</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 (benefit)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Foreign currency losses,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78"/>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 (reduced by beneficial interests received in exchange for accounts</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94"/>
              </w:rPr>
              <w:t>receivables sold of $115.6 and $357.5 for the three and nine months ended September 30, 2018,</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554.0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(415.2)</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357.5</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299.0</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4,452.4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4,663.5</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(1,249.8)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(4,468.4)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(4,841.2)</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w:t>
            </w:r>
          </w:p>
        </w:tc>
      </w:tr>
      <w:tr>
        <w:trPr>
          <w:trHeight w:val="25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(230.3)</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the beginning of the period</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142.1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adoption of ASU 2016-15 resulted in operating cash flow decreases and investing cash flow increases of $115.6 million and $357.5 million for the three and nine months ended September 30, 2018 respectively.</w:t>
      </w:r>
    </w:p>
    <w:p>
      <w:pPr>
        <w:sectPr>
          <w:pgSz w:w="11900" w:h="16838" w:orient="portrait"/>
          <w:cols w:equalWidth="0" w:num="1">
            <w:col w:w="11420"/>
          </w:cols>
          <w:pgMar w:left="240" w:top="918"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2018</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Loss on extinguishment of debt</w:t>
            </w:r>
          </w:p>
        </w:tc>
        <w:tc>
          <w:tcPr>
            <w:tcW w:w="8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Acquisition related charges</w:t>
            </w: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Restructuring-related costs</w:t>
            </w:r>
          </w:p>
        </w:tc>
        <w:tc>
          <w:tcPr>
            <w:tcW w:w="8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1"/>
                <w:szCs w:val="21"/>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109.5</w:t>
            </w:r>
          </w:p>
        </w:tc>
      </w:tr>
      <w:tr>
        <w:trPr>
          <w:trHeight w:val="270"/>
        </w:trPr>
        <w:tc>
          <w:tcPr>
            <w:tcW w:w="5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22"/>
                <w:szCs w:val="22"/>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on extinguishment of debt</w:t>
            </w: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82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Restructuring-related costs</w:t>
            </w: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0.18</w:t>
            </w:r>
          </w:p>
        </w:tc>
      </w:tr>
      <w:tr>
        <w:trPr>
          <w:trHeight w:val="264"/>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(0.01)</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(0.02)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Restructuring-related costs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9"/>
                <w:szCs w:val="19"/>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2018</w:t>
            </w:r>
          </w:p>
        </w:tc>
      </w:tr>
      <w:tr>
        <w:trPr>
          <w:trHeight w:val="244"/>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196.4</w:t>
            </w: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59.0</w:t>
            </w: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-874395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-530860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-187960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ind w:left="660" w:right="18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acquisition related charges and restructuring costs.</w:t>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21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4,743.0</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5,025.3</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13,780.8</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14,218.9</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2,555.8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7,712.4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8,675.3</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2,023.9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2,549.8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5,967.7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6,867.5</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9,322.7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29,761.7</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378.0</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273.8</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r>
      <w:tr>
        <w:trPr>
          <w:trHeight w:val="277"/>
        </w:trPr>
        <w:tc>
          <w:tcPr>
            <w:tcW w:w="64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305.7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825.3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756.3</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188.3</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w:t>
            </w:r>
          </w:p>
        </w:tc>
      </w:tr>
      <w:tr>
        <w:trPr>
          <w:trHeight w:val="256"/>
        </w:trPr>
        <w:tc>
          <w:tcPr>
            <w:tcW w:w="6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120.3</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305.9</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2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(60.4)</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196.4</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2,089.5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6,289.1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6,146.8</w:t>
            </w: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1,344.6</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4,025.9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4,235.3</w:t>
            </w:r>
          </w:p>
        </w:tc>
      </w:tr>
      <w:tr>
        <w:trPr>
          <w:trHeight w:val="270"/>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4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4,178.8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4,653.9</w:t>
            </w: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4,982.5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5,009.1</w:t>
            </w:r>
          </w:p>
        </w:tc>
        <w:tc>
          <w:tcPr>
            <w:tcW w:w="10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14,493.9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15,036.1</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5.5 and 15.8 for the three and nine months ended September 30,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2019-12-28T04:22:35Z</dcterms:created>
  <dcterms:modified xsi:type="dcterms:W3CDTF">2019-12-28T04:22:35Z</dcterms:modified>
</cp:coreProperties>
</file>