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420" w:right="1900" w:hanging="3324"/>
        <w:spacing w:after="0" w:line="501" w:lineRule="auto"/>
        <w:tabs>
          <w:tab w:leader="none" w:pos="3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81"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6"/>
              </w:rPr>
              <w:t>Florida</w:t>
            </w:r>
          </w:p>
        </w:tc>
        <w:tc>
          <w:tcPr>
            <w:tcW w:w="32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(State or other jurisdiction of</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incorporation or organization)</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12"/>
                <w:szCs w:val="12"/>
                <w:b w:val="1"/>
                <w:bCs w:val="1"/>
                <w:color w:val="auto"/>
                <w:w w:val="91"/>
              </w:rPr>
              <w:t>st</w:t>
            </w:r>
            <w:r>
              <w:rPr>
                <w:rFonts w:ascii="Arial" w:cs="Arial" w:eastAsia="Arial" w:hAnsi="Arial"/>
                <w:sz w:val="18"/>
                <w:szCs w:val="18"/>
                <w:b w:val="1"/>
                <w:bCs w:val="1"/>
                <w:color w:val="auto"/>
                <w:w w:val="91"/>
              </w:rPr>
              <w:t xml:space="preserve"> Street</w:t>
            </w:r>
          </w:p>
        </w:tc>
        <w:tc>
          <w:tcPr>
            <w:tcW w:w="3240" w:type="dxa"/>
            <w:vAlign w:val="bottom"/>
          </w:tcPr>
          <w:p>
            <w:pPr>
              <w:spacing w:after="0"/>
              <w:rPr>
                <w:sz w:val="24"/>
                <w:szCs w:val="24"/>
                <w:color w:val="auto"/>
              </w:rPr>
            </w:pPr>
          </w:p>
        </w:tc>
      </w:t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Miami, Florida</w:t>
            </w: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jc w:val="center"/>
              <w:ind w:left="1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75"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00" w:firstLine="243"/>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The registrant had a total of 67,944,090 shares of common stock, par value $0.01 per share, issued and outstanding as of July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2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58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2018 and December 31, 2017</w:t>
              </w:r>
            </w:hyperlink>
          </w:p>
        </w:tc>
        <w:tc>
          <w:tcPr>
            <w:tcW w:w="3940" w:type="dxa"/>
            <w:vAlign w:val="bottom"/>
            <w:gridSpan w:val="5"/>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for the Three and Six Months ended June 30, 2018 and 2017</w:t>
              </w:r>
            </w:hyperlink>
          </w:p>
        </w:tc>
        <w:tc>
          <w:tcPr>
            <w:tcW w:w="200" w:type="dxa"/>
            <w:vAlign w:val="bottom"/>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Shareholders’ Equity for the Six Months ended June 30, 2018 and 2017</w:t>
              </w:r>
            </w:hyperlink>
          </w:p>
        </w:tc>
        <w:tc>
          <w:tcPr>
            <w:tcW w:w="4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180" w:type="dxa"/>
            <w:vAlign w:val="bottom"/>
            <w:tcBorders>
              <w:top w:val="single" w:sz="8" w:color="0000EE"/>
            </w:tcBorders>
            <w:gridSpan w:val="13"/>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Cash Flows for the Six Months ended June 30, 2018 and 2017</w:t>
              </w:r>
            </w:hyperlink>
          </w:p>
        </w:tc>
        <w:tc>
          <w:tcPr>
            <w:tcW w:w="2060" w:type="dxa"/>
            <w:vAlign w:val="bottom"/>
            <w:gridSpan w:val="2"/>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Consolidated Financial Statements</w:t>
              </w:r>
            </w:hyperlink>
          </w:p>
        </w:tc>
        <w:tc>
          <w:tcPr>
            <w:tcW w:w="3080" w:type="dxa"/>
            <w:vAlign w:val="bottom"/>
            <w:tcBorders>
              <w:top w:val="single" w:sz="8" w:color="0000EE"/>
            </w:tcBorders>
            <w:gridSpan w:val="5"/>
          </w:tcPr>
          <w:p>
            <w:pPr>
              <w:spacing w:after="0"/>
              <w:rPr>
                <w:sz w:val="21"/>
                <w:szCs w:val="21"/>
                <w:color w:val="auto"/>
              </w:rPr>
            </w:pPr>
          </w:p>
        </w:tc>
        <w:tc>
          <w:tcPr>
            <w:tcW w:w="2740" w:type="dxa"/>
            <w:vAlign w:val="bottom"/>
            <w:gridSpan w:val="3"/>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400" w:type="dxa"/>
            <w:vAlign w:val="bottom"/>
          </w:tcPr>
          <w:p>
            <w:pPr>
              <w:spacing w:after="0"/>
              <w:rPr>
                <w:sz w:val="24"/>
                <w:szCs w:val="24"/>
                <w:color w:val="auto"/>
              </w:rPr>
            </w:pPr>
          </w:p>
        </w:tc>
        <w:tc>
          <w:tcPr>
            <w:tcW w:w="6460" w:type="dxa"/>
            <w:vAlign w:val="bottom"/>
            <w:tcBorders>
              <w:top w:val="single" w:sz="8" w:color="0000EE"/>
            </w:tcBorders>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2780" w:type="dxa"/>
            <w:vAlign w:val="bottom"/>
            <w:gridSpan w:val="4"/>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4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4880" w:type="dxa"/>
            <w:vAlign w:val="bottom"/>
            <w:gridSpan w:val="6"/>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520"/>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884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7900" w:type="dxa"/>
            <w:vAlign w:val="bottom"/>
            <w:gridSpan w:val="11"/>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4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400" w:type="dxa"/>
            <w:vAlign w:val="bottom"/>
          </w:tcPr>
          <w:p>
            <w:pPr>
              <w:spacing w:after="0"/>
              <w:rPr>
                <w:sz w:val="24"/>
                <w:szCs w:val="24"/>
                <w:color w:val="auto"/>
              </w:rPr>
            </w:pPr>
          </w:p>
        </w:tc>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4920" w:type="dxa"/>
            <w:vAlign w:val="bottom"/>
            <w:gridSpan w:val="7"/>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520"/>
        </w:trPr>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0"/>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91"/>
              </w:rPr>
              <w:t>World Fuel Services Corporation</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87"/>
              </w:rPr>
              <w:t>Consolidated Balance Sheets</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1"/>
              </w:rPr>
              <w:t>(Unaudited - In millions, except per share data)</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8"/>
              </w:rPr>
              <w:t>2,951.9</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2,705.6</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559.2</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505.0</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59.8</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64.4</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Other current assets</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247.8</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241.9</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4,076.8</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3,940.4</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335.0</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329.8</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856.7</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845.5</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488.6</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472.1</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5,757.0</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5,587.8</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33.7</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25.6</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2,536.0</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95.0</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108.3</w:t>
            </w:r>
          </w:p>
        </w:tc>
      </w:tr>
      <w:tr>
        <w:trPr>
          <w:trHeight w:val="270"/>
        </w:trPr>
        <w:tc>
          <w:tcPr>
            <w:tcW w:w="76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344.9</w:t>
            </w:r>
          </w:p>
        </w:tc>
      </w:tr>
      <w:tr>
        <w:trPr>
          <w:trHeight w:val="264"/>
        </w:trPr>
        <w:tc>
          <w:tcPr>
            <w:tcW w:w="7660" w:type="dxa"/>
            <w:vAlign w:val="bottom"/>
            <w:gridSpan w:val="3"/>
          </w:tcPr>
          <w:p>
            <w:pPr>
              <w:ind w:left="280"/>
              <w:spacing w:after="0"/>
              <w:rPr>
                <w:sz w:val="20"/>
                <w:szCs w:val="20"/>
                <w:color w:val="auto"/>
              </w:rPr>
            </w:pPr>
            <w:r>
              <w:rPr>
                <w:rFonts w:ascii="Arial" w:cs="Arial" w:eastAsia="Arial" w:hAnsi="Arial"/>
                <w:sz w:val="14"/>
                <w:szCs w:val="14"/>
                <w:color w:val="auto"/>
              </w:rPr>
              <w:t>Total current liabilities</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8"/>
              </w:rPr>
              <w:t>3,013.5</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2,718.6</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884.6</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187.2</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202.4</w:t>
            </w:r>
          </w:p>
        </w:tc>
      </w:tr>
      <w:tr>
        <w:trPr>
          <w:trHeight w:val="270"/>
        </w:trPr>
        <w:tc>
          <w:tcPr>
            <w:tcW w:w="76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2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r>
      <w:tr>
        <w:trPr>
          <w:trHeight w:val="30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3,981.7</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3,849.8</w:t>
            </w:r>
          </w:p>
        </w:tc>
      </w:tr>
      <w:tr>
        <w:trPr>
          <w:trHeight w:val="25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World Fuel shareholders' equity:</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9"/>
              </w:rPr>
              <w:t>Common stock, $0.01 par value; 100.0 shares authorized, 67.8 and 67.7 issued and outstanding as of June 30, 2018 and</w:t>
            </w: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4"/>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December 31, 2017, respectively</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Capital in excess of par value</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359.3</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354.9</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1,546.3</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1,492.8</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(146.3)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World Fuel shareholders' equity</w:t>
            </w:r>
          </w:p>
        </w:tc>
        <w:tc>
          <w:tcPr>
            <w:tcW w:w="1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1,760.0</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1,721.9</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1,775.3</w:t>
            </w:r>
          </w:p>
        </w:tc>
        <w:tc>
          <w:tcPr>
            <w:tcW w:w="5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1,738.0</w:t>
            </w:r>
          </w:p>
        </w:tc>
      </w:tr>
      <w:tr>
        <w:trPr>
          <w:trHeight w:val="26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 and equity</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5,757.0</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5,587.8</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For the Three Months Ended</w:t>
      </w:r>
    </w:p>
    <w:p>
      <w:pPr>
        <w:spacing w:after="0" w:line="121"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23495</wp:posOffset>
            </wp:positionV>
            <wp:extent cx="1981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03" w:lineRule="exact"/>
        <w:rPr>
          <w:sz w:val="20"/>
          <w:szCs w:val="20"/>
          <w:color w:val="auto"/>
        </w:rPr>
      </w:pPr>
    </w:p>
    <w:p>
      <w:pPr>
        <w:ind w:left="5880"/>
        <w:spacing w:after="0"/>
        <w:tabs>
          <w:tab w:leader="none" w:pos="74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For the Six Months Ended</w:t>
      </w:r>
    </w:p>
    <w:p>
      <w:pPr>
        <w:spacing w:after="0" w:line="109"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23495</wp:posOffset>
            </wp:positionV>
            <wp:extent cx="1852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48" w:lineRule="exact"/>
        <w:rPr>
          <w:sz w:val="20"/>
          <w:szCs w:val="20"/>
          <w:color w:val="auto"/>
        </w:rPr>
      </w:pPr>
    </w:p>
    <w:p>
      <w:pPr>
        <w:sectPr>
          <w:pgSz w:w="11900" w:h="16838" w:orient="portrait"/>
          <w:cols w:equalWidth="0" w:num="2">
            <w:col w:w="8360" w:space="720"/>
            <w:col w:w="23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5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5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10,150.8</w:t>
            </w:r>
          </w:p>
        </w:tc>
        <w:tc>
          <w:tcPr>
            <w:tcW w:w="6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8,086.2</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19,332.2</w:t>
            </w:r>
          </w:p>
        </w:tc>
        <w:tc>
          <w:tcPr>
            <w:tcW w:w="48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16,280.4</w:t>
            </w: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9,904.7</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7,855.2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18,842.6</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15,818.0</w:t>
            </w:r>
          </w:p>
        </w:tc>
      </w:tr>
      <w:tr>
        <w:trPr>
          <w:trHeight w:val="264"/>
        </w:trPr>
        <w:tc>
          <w:tcPr>
            <w:tcW w:w="52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5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246.2</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489.6</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462.4</w:t>
            </w:r>
          </w:p>
        </w:tc>
      </w:tr>
      <w:tr>
        <w:trPr>
          <w:trHeight w:val="264"/>
        </w:trPr>
        <w:tc>
          <w:tcPr>
            <w:tcW w:w="52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110.2</w:t>
            </w: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224.1</w:t>
            </w: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206.8</w:t>
            </w:r>
          </w:p>
        </w:tc>
      </w:tr>
      <w:tr>
        <w:trPr>
          <w:trHeight w:val="264"/>
        </w:trPr>
        <w:tc>
          <w:tcPr>
            <w:tcW w:w="52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74.9</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147.2</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154.0</w:t>
            </w:r>
          </w:p>
        </w:tc>
      </w:tr>
      <w:tr>
        <w:trPr>
          <w:trHeight w:val="264"/>
        </w:trPr>
        <w:tc>
          <w:tcPr>
            <w:tcW w:w="52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185.1</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371.3</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360.9</w:t>
            </w:r>
          </w:p>
        </w:tc>
      </w:tr>
      <w:tr>
        <w:trPr>
          <w:trHeight w:val="264"/>
        </w:trPr>
        <w:tc>
          <w:tcPr>
            <w:tcW w:w="52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61.1</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118.3</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101.6</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200" w:type="dxa"/>
            <w:vAlign w:val="bottom"/>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5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6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70"/>
        </w:trPr>
        <w:tc>
          <w:tcPr>
            <w:tcW w:w="52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expense, net</w:t>
            </w: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6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4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64"/>
        </w:trPr>
        <w:tc>
          <w:tcPr>
            <w:tcW w:w="5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41.6</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80.2</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w:t>
            </w: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29.2</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w:t>
            </w: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5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28.7</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59.9</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5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0.42</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0.89</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0.90</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5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67.7</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67.6</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5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0.42</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0.88</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0.89</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5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68.0</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67.9</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2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29.2</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60.5</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61.3</w:t>
            </w:r>
          </w:p>
        </w:tc>
      </w:tr>
      <w:tr>
        <w:trPr>
          <w:trHeight w:val="276"/>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2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5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6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4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163"/>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Cash flow hedges, net of income tax expense of $3.1 for the three months ended June</w:t>
            </w: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49"/>
        </w:trPr>
        <w:tc>
          <w:tcPr>
            <w:tcW w:w="5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30, 2018 and net of income tax benefit of $1.1 and income tax expense of $6.6 for the</w:t>
            </w:r>
          </w:p>
        </w:tc>
        <w:tc>
          <w:tcPr>
            <w:tcW w:w="5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88"/>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six months ended June 30, 2018 and 2017, respectively</w:t>
            </w: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c>
          <w:tcPr>
            <w:tcW w:w="6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r>
      <w:tr>
        <w:trPr>
          <w:trHeight w:val="264"/>
        </w:trPr>
        <w:tc>
          <w:tcPr>
            <w:tcW w:w="52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5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(21.7)</w:t>
            </w:r>
          </w:p>
        </w:tc>
        <w:tc>
          <w:tcPr>
            <w:tcW w:w="6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(21.1)</w:t>
            </w:r>
          </w:p>
        </w:tc>
        <w:tc>
          <w:tcPr>
            <w:tcW w:w="4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5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w:t>
            </w: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5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40.7</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50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94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1"/>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94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World Fuel</w:t>
            </w:r>
          </w:p>
        </w:tc>
        <w:tc>
          <w:tcPr>
            <w:tcW w:w="180" w:type="dxa"/>
            <w:vAlign w:val="bottom"/>
          </w:tcPr>
          <w:p>
            <w:pPr>
              <w:spacing w:after="0"/>
              <w:rPr>
                <w:sz w:val="12"/>
                <w:szCs w:val="12"/>
                <w:color w:val="auto"/>
              </w:rPr>
            </w:pPr>
          </w:p>
        </w:tc>
        <w:tc>
          <w:tcPr>
            <w:tcW w:w="1020" w:type="dxa"/>
            <w:vAlign w:val="bottom"/>
          </w:tcPr>
          <w:p>
            <w:pPr>
              <w:jc w:val="center"/>
              <w:ind w:right="71"/>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1"/>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680" w:type="dxa"/>
            <w:vAlign w:val="bottom"/>
          </w:tcPr>
          <w:p>
            <w:pPr>
              <w:jc w:val="right"/>
              <w:ind w:right="110"/>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80" w:type="dxa"/>
            <w:vAlign w:val="bottom"/>
          </w:tcPr>
          <w:p>
            <w:pPr>
              <w:spacing w:after="0"/>
              <w:rPr>
                <w:sz w:val="9"/>
                <w:szCs w:val="9"/>
                <w:color w:val="auto"/>
              </w:rPr>
            </w:pPr>
          </w:p>
        </w:tc>
        <w:tc>
          <w:tcPr>
            <w:tcW w:w="94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180" w:type="dxa"/>
            <w:vAlign w:val="bottom"/>
          </w:tcPr>
          <w:p>
            <w:pPr>
              <w:spacing w:after="0"/>
              <w:rPr>
                <w:sz w:val="9"/>
                <w:szCs w:val="9"/>
                <w:color w:val="auto"/>
              </w:rPr>
            </w:pPr>
          </w:p>
        </w:tc>
        <w:tc>
          <w:tcPr>
            <w:tcW w:w="10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6"/>
              </w:rPr>
              <w:t>Interest</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December 31, 2017</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67.7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1,492.8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1,721.9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1,738.0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59.9</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59.9</w:t>
            </w:r>
          </w:p>
        </w:tc>
        <w:tc>
          <w:tcPr>
            <w:tcW w:w="18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w w:val="97"/>
              </w:rPr>
              <w:t>Amortization of share-based payment awards</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1"/>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common stock related to share-</w:t>
            </w: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based payment awards</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4"/>
                <w:szCs w:val="14"/>
                <w:color w:val="auto"/>
                <w:w w:val="98"/>
              </w:rPr>
              <w:t>employees to satisfy the required withholding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(19.8)</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(19.8)</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w w:val="95"/>
              </w:rPr>
              <w:t>Reclassification of certain tax effects from U.S.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Tax Reform</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Balance as of June 30, 2018</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359.3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1,546.3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1,760.0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1,775.3</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50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94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0"/>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94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World Fuel</w:t>
            </w:r>
          </w:p>
        </w:tc>
        <w:tc>
          <w:tcPr>
            <w:tcW w:w="180" w:type="dxa"/>
            <w:vAlign w:val="bottom"/>
          </w:tcPr>
          <w:p>
            <w:pPr>
              <w:spacing w:after="0"/>
              <w:rPr>
                <w:sz w:val="12"/>
                <w:szCs w:val="12"/>
                <w:color w:val="auto"/>
              </w:rPr>
            </w:pPr>
          </w:p>
        </w:tc>
        <w:tc>
          <w:tcPr>
            <w:tcW w:w="102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0"/>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680" w:type="dxa"/>
            <w:vAlign w:val="bottom"/>
          </w:tcPr>
          <w:p>
            <w:pPr>
              <w:jc w:val="right"/>
              <w:ind w:right="110"/>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80" w:type="dxa"/>
            <w:vAlign w:val="bottom"/>
          </w:tcPr>
          <w:p>
            <w:pPr>
              <w:spacing w:after="0"/>
              <w:rPr>
                <w:sz w:val="9"/>
                <w:szCs w:val="9"/>
                <w:color w:val="auto"/>
              </w:rPr>
            </w:pPr>
          </w:p>
        </w:tc>
        <w:tc>
          <w:tcPr>
            <w:tcW w:w="94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180" w:type="dxa"/>
            <w:vAlign w:val="bottom"/>
          </w:tcPr>
          <w:p>
            <w:pPr>
              <w:spacing w:after="0"/>
              <w:rPr>
                <w:sz w:val="9"/>
                <w:szCs w:val="9"/>
                <w:color w:val="auto"/>
              </w:rPr>
            </w:pPr>
          </w:p>
        </w:tc>
        <w:tc>
          <w:tcPr>
            <w:tcW w:w="1020" w:type="dxa"/>
            <w:vAlign w:val="bottom"/>
          </w:tcPr>
          <w:p>
            <w:pPr>
              <w:jc w:val="center"/>
              <w:ind w:right="90"/>
              <w:spacing w:after="0" w:line="110" w:lineRule="exact"/>
              <w:rPr>
                <w:sz w:val="20"/>
                <w:szCs w:val="20"/>
                <w:color w:val="auto"/>
              </w:rPr>
            </w:pPr>
            <w:r>
              <w:rPr>
                <w:rFonts w:ascii="Arial" w:cs="Arial" w:eastAsia="Arial" w:hAnsi="Arial"/>
                <w:sz w:val="12"/>
                <w:szCs w:val="12"/>
                <w:b w:val="1"/>
                <w:bCs w:val="1"/>
                <w:color w:val="auto"/>
                <w:w w:val="96"/>
              </w:rPr>
              <w:t>Interest</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December 31, 2016</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399.9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1,679.3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1,925.0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1,940.0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61.4</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61.4</w:t>
            </w:r>
          </w:p>
        </w:tc>
        <w:tc>
          <w:tcPr>
            <w:tcW w:w="18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(8.2)</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7"/>
              </w:rPr>
              <w:t>Amortization of share-based payment awards</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rPr>
              <w:t>Issuance (cancellation) of common stock</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30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8"/>
              </w:rPr>
              <w:t>employees to satisfy the required withholding</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(31.9)</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(31.9)</w:t>
            </w:r>
          </w:p>
        </w:tc>
        <w:tc>
          <w:tcPr>
            <w:tcW w:w="18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27.0</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27.0</w:t>
            </w: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Balance as of June 30, 2017</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373.3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1,732.4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1,978.6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1,994.3</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Six Months Ended</w:t>
      </w:r>
    </w:p>
    <w:p>
      <w:pPr>
        <w:spacing w:after="0" w:line="10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75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60.5</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38.4</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43.3</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9.2</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benefit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Foreign currency gains, net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63"/>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9"/>
              </w:rPr>
              <w:t>Accounts receivable, net (reduced by beneficial interests received in exchange for accounts receivables sold of $122.5</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49"/>
        </w:trPr>
        <w:tc>
          <w:tcPr>
            <w:tcW w:w="76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96"/>
              </w:rPr>
              <w:t>million and $83.2 million for the three months ended June 30, 2018 and 2017, respectively, and $241.5 million and $157.1</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94"/>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million for the six months ended June 30, 2018 and 2017, respectively.)</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(499.7)</w:t>
            </w:r>
          </w:p>
        </w:tc>
        <w:tc>
          <w:tcPr>
            <w:tcW w:w="5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15.2</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Short-term derivative assets, net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14.2</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41.7</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301.0</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12.8</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(72.7)</w:t>
            </w:r>
          </w:p>
        </w:tc>
      </w:tr>
      <w:tr>
        <w:trPr>
          <w:trHeight w:val="270"/>
        </w:trPr>
        <w:tc>
          <w:tcPr>
            <w:tcW w:w="7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64"/>
        </w:trPr>
        <w:tc>
          <w:tcPr>
            <w:tcW w:w="7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(289.1)</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operating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(228.6)</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241.9</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(88.4)</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investing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199.5</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36.0</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2,875.0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1,991.8</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(3,019.5)</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(2,111.1)</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57"/>
        </w:trPr>
        <w:tc>
          <w:tcPr>
            <w:tcW w:w="7660" w:type="dxa"/>
            <w:vAlign w:val="bottom"/>
          </w:tcPr>
          <w:p>
            <w:pPr>
              <w:ind w:left="180"/>
              <w:spacing w:after="0" w:line="157" w:lineRule="exact"/>
              <w:rPr>
                <w:sz w:val="20"/>
                <w:szCs w:val="20"/>
                <w:color w:val="auto"/>
              </w:rPr>
            </w:pPr>
            <w:r>
              <w:rPr>
                <w:rFonts w:ascii="Arial" w:cs="Arial" w:eastAsia="Arial" w:hAnsi="Arial"/>
                <w:sz w:val="14"/>
                <w:szCs w:val="14"/>
                <w:color w:val="auto"/>
                <w:w w:val="96"/>
              </w:rPr>
              <w:t>Purchases of common stock tendered by employees to satisfy the required withholding taxes related to share-based payment</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88"/>
        </w:trPr>
        <w:tc>
          <w:tcPr>
            <w:tcW w:w="7660" w:type="dxa"/>
            <w:vAlign w:val="bottom"/>
          </w:tcPr>
          <w:p>
            <w:pPr>
              <w:ind w:left="180"/>
              <w:spacing w:after="0"/>
              <w:rPr>
                <w:sz w:val="20"/>
                <w:szCs w:val="20"/>
                <w:color w:val="auto"/>
              </w:rPr>
            </w:pPr>
            <w:r>
              <w:rPr>
                <w:rFonts w:ascii="Arial" w:cs="Arial" w:eastAsia="Arial" w:hAnsi="Arial"/>
                <w:sz w:val="14"/>
                <w:szCs w:val="14"/>
                <w:color w:val="auto"/>
              </w:rPr>
              <w:t>awards</w:t>
            </w:r>
          </w:p>
        </w:tc>
        <w:tc>
          <w:tcPr>
            <w:tcW w:w="11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(154.7)</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 cash and cash equivalents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(184.8)</w:t>
            </w: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372.3</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698.6</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187.6</w:t>
            </w:r>
          </w:p>
        </w:tc>
        <w:tc>
          <w:tcPr>
            <w:tcW w:w="5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$4.1 million as of June 30,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Beneficial interests obtained in exchange for accounts receivable sold were $241.5 million and $157.1 million as of June 30, 2018 and 2017, respectively.</w:t>
      </w:r>
    </w:p>
    <w:p>
      <w:pPr>
        <w:spacing w:after="0" w:line="2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125" w:right="5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11"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("10-Q Report") as “World Fuel,” “we,” “our” and “us.”</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marine and land transportation industries.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prepared the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2017 Annual Report on Form 10-K (“2017 10-K Report”). Certain amounts in the consolidated financial statements and associated notes may not add due to rounding. All percentages have been calculated using unrounded amounts.</w:t>
      </w:r>
    </w:p>
    <w:p>
      <w:pPr>
        <w:spacing w:after="0" w:line="193"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There have been no significant changes, other than those related to the adopted new accounting standards below, in the Company's accounting policies from those disclosed in our 2017 10</w:t>
      </w:r>
      <w:r>
        <w:rPr>
          <w:rFonts w:ascii="MS PGothic" w:cs="MS PGothic" w:eastAsia="MS PGothic" w:hAnsi="MS PGothic"/>
          <w:sz w:val="17"/>
          <w:szCs w:val="17"/>
          <w:color w:val="auto"/>
        </w:rPr>
        <w:t>‑</w:t>
      </w:r>
      <w:r>
        <w:rPr>
          <w:rFonts w:ascii="Arial" w:cs="Arial" w:eastAsia="Arial" w:hAnsi="Arial"/>
          <w:sz w:val="17"/>
          <w:szCs w:val="17"/>
          <w:color w:val="auto"/>
        </w:rPr>
        <w:t>K Report. The significant accounting policies we use for quarterly financial reporting are disclosed in Note 1 of the “Notes to the Consolidated Financial Statements” included in our 2017 10</w:t>
      </w:r>
      <w:r>
        <w:rPr>
          <w:rFonts w:ascii="MS PGothic" w:cs="MS PGothic" w:eastAsia="MS PGothic" w:hAnsi="MS PGothic"/>
          <w:sz w:val="17"/>
          <w:szCs w:val="17"/>
          <w:color w:val="auto"/>
        </w:rPr>
        <w:t>‑</w:t>
      </w:r>
      <w:r>
        <w:rPr>
          <w:rFonts w:ascii="Arial" w:cs="Arial" w:eastAsia="Arial" w:hAnsi="Arial"/>
          <w:sz w:val="17"/>
          <w:szCs w:val="17"/>
          <w:color w:val="auto"/>
        </w:rPr>
        <w:t>K Report, and in the adopted accounting standards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Revenue Recognition (Topic 606): Revenue from Contracts with Customers. </w:t>
      </w:r>
      <w:r>
        <w:rPr>
          <w:rFonts w:ascii="Arial" w:cs="Arial" w:eastAsia="Arial" w:hAnsi="Arial"/>
          <w:sz w:val="16"/>
          <w:szCs w:val="16"/>
          <w:color w:val="auto"/>
        </w:rPr>
        <w:t>In May 2014, ASU 2014-09 was issued. Under this ASU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amendments, we recognize the amount of revenue when delivery is made and our customer obtains control, and we are entitled to compensation for performance completed. The updated standard replaced most existing revenue recognition guidance in U.S. GAAP. We adopted this standard as of January 1, 2018 using the modified retrospective adoption approach, and elected to apply it only to those contracts that were not considered completed contracts as of this adoption date. This approach required us to recognize the cumulative effect of initially applying the new standard as an adjustment to the opening balance of retained earnings. This cumulative adjustment did not have a material impact on our financial statements.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Statement - Reporting Comprehensive Income (Topic 220). </w:t>
      </w:r>
      <w:r>
        <w:rPr>
          <w:rFonts w:ascii="Arial" w:cs="Arial" w:eastAsia="Arial" w:hAnsi="Arial"/>
          <w:sz w:val="18"/>
          <w:szCs w:val="18"/>
          <w:color w:val="auto"/>
        </w:rPr>
        <w:t>In February 2018 ASU 2018-02, Reclassification of Certain Tax Effects from</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was issued. ASU 2018-02 provides the option to reclassify stranded tax effects within AOCI to retained earnings in each period in which the effect of the change in the U.S. federal corporate tax rate in the Tax Cuts and Jobs Act is recorded. ASU 2018-02 is effective for fiscal years beginning after December 15, 2018, and interim periods within those years. Early adoption is permitted. This updated standard allows for adoption in the period of adoption or retrospectively to each period in which the effect of the change in the U.S. federal corporate income tax rate in the Tax Cuts and Jobs Act is recognized. We adopted this updated standard in the first quarter of 2018, and subsequently reclassified the tax rate disparity to retained earnings.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(Topic 740). </w:t>
      </w:r>
      <w:r>
        <w:rPr>
          <w:rFonts w:ascii="Arial" w:cs="Arial" w:eastAsia="Arial" w:hAnsi="Arial"/>
          <w:sz w:val="18"/>
          <w:szCs w:val="18"/>
          <w:color w:val="auto"/>
        </w:rPr>
        <w:t>In March 2018 ASU 2018-05, Amendments to SEC Paragraphs Pursuant to SEC Staff Accounting Bulletin No. 118,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2018-05 amends certain SEC material in Topic 740 for the income tax accounting implications of the recently issued Tax Cuts and Jobs Act (Act). We have adopted these amendments and where the accounting under Topic 740 is incomplete for certain specific income tax effects of the Act, we reported provisional amounts.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 The update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with the objective of adding guidance to assist entities with evaluating whether transactions should be accounted for as acquisitions (or disposals) of businesses after adoption. This standard was effective at the beginning of our 2018 fiscal year and did not have a material impact on our consolidated financial statements and disclosures.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Derivatives and Hedging (Topic 815): Targeted Improvements to Accounting for Hedging Activities. </w:t>
      </w:r>
      <w:r>
        <w:rPr>
          <w:rFonts w:ascii="Arial" w:cs="Arial" w:eastAsia="Arial" w:hAnsi="Arial"/>
          <w:sz w:val="17"/>
          <w:szCs w:val="17"/>
          <w:color w:val="auto"/>
        </w:rPr>
        <w:t>In August 2017, ASU 2017-12 was issued. The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targeted at simplifying hedge accounting requirements, creating more transparency around how economic results are presented and disclosed on the consolidated financial statements and accompanying footnote disclosures. We early adopted this updated standard, which did not have a material impact on our consolidated financial statements. We have provided updated disclosures in </w:t>
      </w:r>
      <w:r>
        <w:rPr>
          <w:rFonts w:ascii="Arial" w:cs="Arial" w:eastAsia="Arial" w:hAnsi="Arial"/>
          <w:sz w:val="17"/>
          <w:szCs w:val="17"/>
          <w:i w:val="1"/>
          <w:iCs w:val="1"/>
          <w:color w:val="auto"/>
        </w:rPr>
        <w:t>Note 3. Derivatives.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Cash Flows: Statement of Cash Flows (Topic 230): Classification of Certain Cash Receipts and Cash Payments. </w:t>
      </w:r>
      <w:r>
        <w:rPr>
          <w:rFonts w:ascii="Arial" w:cs="Arial" w:eastAsia="Arial" w:hAnsi="Arial"/>
          <w:sz w:val="16"/>
          <w:szCs w:val="16"/>
          <w:color w:val="auto"/>
        </w:rPr>
        <w:t>In August 2016 ASU 2016-15 was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The ASU provides guidance on classification of eight specific cash flows items. This standard is effective at the beginning of our 2018 fiscal year and we have provided an updated line item attributable to retained beneficial interests associated with our receivables purchase agreements on our consolidated statements of cash flows. The adoption resulted in a $157.1 million retrospective reclassification of the beneficial interest received in exchange for accounts receivable sales for the six months ended June 30, 2017 from cash flows from operating activities to cash flows from investing activities.</w:t>
      </w:r>
    </w:p>
    <w:p>
      <w:pPr>
        <w:spacing w:after="0" w:line="1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Taxes (Topic 740): Intra-Entity Transfers of Assets Other than Inventory. </w:t>
      </w:r>
      <w:r>
        <w:rPr>
          <w:rFonts w:ascii="Arial" w:cs="Arial" w:eastAsia="Arial" w:hAnsi="Arial"/>
          <w:sz w:val="16"/>
          <w:szCs w:val="16"/>
          <w:color w:val="auto"/>
        </w:rPr>
        <w:t>In October 2016, ASU 2016-16 was issued. The update prohibits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current and deferred income taxes for an intra-entity asset transfer until the asset has been sold to an outside party. This standard is effective at the beginning of our 2018 fiscal year. The adoption of this ASU did not have a material impact on our consolidated financial statements and disclosures.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Flows: Statement of Cash Flows (Topic 230): Restricted Cash. </w:t>
      </w:r>
      <w:r>
        <w:rPr>
          <w:rFonts w:ascii="Arial" w:cs="Arial" w:eastAsia="Arial" w:hAnsi="Arial"/>
          <w:sz w:val="18"/>
          <w:szCs w:val="18"/>
          <w:color w:val="auto"/>
        </w:rPr>
        <w:t>In November 2016, ASU 2016-18 was issued. The update requires that a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explain the change during the period in the total of cash, cash equivalents, and amounts generally described as restricted cash or restricted cash equivalents. This standard is effective at the beginning of our 2018 fiscal year. The adoption of this ASU did not have a material impact on our consolidated financial statements and disclosures.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In February 2016, ASU 2016-02, Leases, was issued. The new standard requires lessors to account for leases using an approach that</w:t>
      </w:r>
      <w:r>
        <w:rPr>
          <w:rFonts w:ascii="Arial" w:cs="Arial" w:eastAsia="Arial" w:hAnsi="Arial"/>
          <w:sz w:val="16"/>
          <w:szCs w:val="16"/>
          <w:i w:val="1"/>
          <w:iCs w:val="1"/>
          <w:color w:val="auto"/>
        </w:rPr>
        <w:t xml:space="preserve"> </w:t>
      </w:r>
      <w:r>
        <w:rPr>
          <w:rFonts w:ascii="Arial" w:cs="Arial" w:eastAsia="Arial" w:hAnsi="Arial"/>
          <w:sz w:val="16"/>
          <w:szCs w:val="16"/>
          <w:color w:val="auto"/>
        </w:rPr>
        <w:t>is substantially equivalent to existing guidance for direct financing and operating leases. Upon adoption, this standard will require all lessees to recognize a right of use asset and a liability to make lease payments (lease liability) on the balance sheet, except for leases with durations of twelve months or less. Lessees (for capital and operating leases) must apply a modified retrospective transition approach for leases existing at or after the beginning of the earliest comparative period presented in the consolidated financial statements. The modified retrospective approach would not require any transition accounting for leases that expired before the earliest comparative period presented. This standard is effective at the beginning of our 2019 fiscal year. In preparation for adoption of the standard, we developed a cross-functional team and engaged a third-party service provider to assist us throughout our evaluation. We continue to evaluate the overall impact the adoption of this new guidance will have on our consolidated financial statements and related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2018 Acquisition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2018, we completed one acquisition in the land segment. The financial position, results of operations and cash flows of the 2018 acquisition has been included in our consolidated financial statements since its acquisition date and did not have a material impact on our consolidated revenue and net income for the six months ended June 30, 2018.</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United Kingdom ("U.K."), Germany, Italy, France, Australia and New Zealand. During 2016, we completed the acquisitions of the aviation fueling operations in Canada, the U.K. and France. During the first quarter of 2017, we completed the acquisition of substantially all of the remaining airport locations in Italy, Germany, Australia and New Zealand.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acquisitions, we completed two acquisitions during the first quarter of 2017 which were not significant individually or in the aggregate.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aggregate consideration paid for acquisitions during the six months ended June 30, 2017 and the amounts of the assets acquired and liabilities assumed, recognized at the acquisition date.</w:t>
      </w: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9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acquisition of businesses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87.6</w:t>
            </w:r>
          </w:p>
        </w:tc>
      </w:tr>
      <w:tr>
        <w:trPr>
          <w:trHeight w:val="264"/>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Non-monetary consideration</w:t>
            </w:r>
          </w:p>
        </w:tc>
        <w:tc>
          <w:tcPr>
            <w:tcW w:w="7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Purchase price</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91.9</w:t>
            </w: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5"/>
        </w:trPr>
        <w:tc>
          <w:tcPr>
            <w:tcW w:w="9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w:t>
            </w:r>
          </w:p>
        </w:tc>
        <w:tc>
          <w:tcPr>
            <w:tcW w:w="7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7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11.2</w:t>
            </w:r>
          </w:p>
        </w:tc>
      </w:tr>
      <w:tr>
        <w:trPr>
          <w:trHeight w:val="27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identifiable intangible assets</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79.4</w:t>
            </w: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color w:val="auto"/>
              </w:rPr>
              <w:t>Other current and long-term assets</w:t>
            </w:r>
          </w:p>
        </w:tc>
        <w:tc>
          <w:tcPr>
            <w:tcW w:w="7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8.0</w:t>
            </w:r>
          </w:p>
        </w:tc>
      </w:tr>
      <w:tr>
        <w:trPr>
          <w:trHeight w:val="330"/>
        </w:trPr>
        <w:tc>
          <w:tcPr>
            <w:tcW w:w="9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Liabilities assumed:</w:t>
            </w: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 and deferred tax liabilities</w:t>
            </w:r>
          </w:p>
        </w:tc>
        <w:tc>
          <w:tcPr>
            <w:tcW w:w="7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r>
      <w:tr>
        <w:trPr>
          <w:trHeight w:val="243"/>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Purchase price</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91.9</w:t>
            </w: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goodwill assigned, of which $22.4 million is anticipated to be deductible for tax purposes, is attributable primarily to the expected synergies and other benefits that we believe will result from combining the operations acquired with the operations of our aviation segment. The identifiable intangible assets consists of $40.1 million of customer relationships with weighted average lives of 6.9 years.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financial position, results of operations and cash flows of the 2017 acquisitions have been included in our consolidated financial statements since their respective acquisition dates and did not have a significant impact on our revenue and net income for the three and six months ended June 30, 2017. Pro forma information for the 2017 acquisitions has not been provided as the impact is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land and marine fuel, to offer our customers fuel pricing alternatives to meet their needs and to mitigate the risk of fluctuations in foreign currency exchange rates. If the derivative instrument is not designated in a hedge relationship, changes in the estimated fair market value are recognized as a component of revenue, cost of revenue, or other income (expense) in the consolidated statements of income and comprehensive income.</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The gains or losses on derivative instruments designated as cash flow hedges of forecasted transactions are initially reported as a component of accumulated other comprehensive income and subsequently reclassified into earnings once the future transactions affect earnings.</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flows for our hedging instruments are classified in the same category as the underlying hedged items. If for any reason hedge accounting is discontinued, then any cash flows subsequent to the date of discontinuance will be classified in a manner consistent with the nature of the instrument.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Flow Hedges. </w:t>
      </w:r>
      <w:r>
        <w:rPr>
          <w:rFonts w:ascii="Arial" w:cs="Arial" w:eastAsia="Arial" w:hAnsi="Arial"/>
          <w:sz w:val="16"/>
          <w:szCs w:val="16"/>
          <w:color w:val="auto"/>
        </w:rPr>
        <w:t>Includes certain derivative contracts we execute to mitigate the risk of price or foreign currency volatility in forecasted transactions.</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swaps or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certain forward fixed price purchase and sale contracts, and for portfolio optimization. In addition, non-designated derivatives are held to hedge the risk of currency rate fluctuations.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ind w:left="360"/>
              <w:spacing w:after="0"/>
              <w:rPr>
                <w:sz w:val="20"/>
                <w:szCs w:val="20"/>
                <w:color w:val="auto"/>
              </w:rPr>
            </w:pPr>
            <w:r>
              <w:rPr>
                <w:rFonts w:ascii="Arial" w:cs="Arial" w:eastAsia="Arial" w:hAnsi="Arial"/>
                <w:sz w:val="14"/>
                <w:szCs w:val="14"/>
                <w:b w:val="1"/>
                <w:bCs w:val="1"/>
                <w:color w:val="auto"/>
              </w:rPr>
              <w:t>Gross Derivative Assets</w:t>
            </w:r>
          </w:p>
        </w:tc>
        <w:tc>
          <w:tcPr>
            <w:tcW w:w="220" w:type="dxa"/>
            <w:vAlign w:val="bottom"/>
          </w:tcPr>
          <w:p>
            <w:pPr>
              <w:spacing w:after="0"/>
              <w:rPr>
                <w:sz w:val="16"/>
                <w:szCs w:val="16"/>
                <w:color w:val="auto"/>
              </w:rPr>
            </w:pPr>
          </w:p>
        </w:tc>
        <w:tc>
          <w:tcPr>
            <w:tcW w:w="23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Gross Derivative Liabilities</w:t>
            </w:r>
          </w:p>
        </w:tc>
      </w:tr>
      <w:tr>
        <w:trPr>
          <w:trHeight w:val="203"/>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spacing w:after="0"/>
              <w:rPr>
                <w:sz w:val="17"/>
                <w:szCs w:val="17"/>
                <w:color w:val="auto"/>
              </w:rPr>
            </w:pP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52"/>
        </w:trPr>
        <w:tc>
          <w:tcPr>
            <w:tcW w:w="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1"/>
                <w:szCs w:val="21"/>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1"/>
                <w:szCs w:val="21"/>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r>
      <w:tr>
        <w:trPr>
          <w:trHeight w:val="276"/>
        </w:trPr>
        <w:tc>
          <w:tcPr>
            <w:tcW w:w="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190"/>
        </w:trPr>
        <w:tc>
          <w:tcPr>
            <w:tcW w:w="4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4"/>
                <w:szCs w:val="14"/>
                <w:b w:val="1"/>
                <w:bCs w:val="1"/>
                <w:color w:val="auto"/>
              </w:rPr>
              <w:t>Derivative Instruments</w:t>
            </w:r>
          </w:p>
        </w:tc>
        <w:tc>
          <w:tcPr>
            <w:tcW w:w="4160" w:type="dxa"/>
            <w:vAlign w:val="bottom"/>
            <w:gridSpan w:val="4"/>
          </w:tcPr>
          <w:p>
            <w:pPr>
              <w:ind w:left="200"/>
              <w:spacing w:after="0"/>
              <w:rPr>
                <w:sz w:val="20"/>
                <w:szCs w:val="20"/>
                <w:color w:val="auto"/>
              </w:rPr>
            </w:pPr>
            <w:r>
              <w:rPr>
                <w:rFonts w:ascii="Arial" w:cs="Arial" w:eastAsia="Arial" w:hAnsi="Arial"/>
                <w:sz w:val="14"/>
                <w:szCs w:val="14"/>
                <w:b w:val="1"/>
                <w:bCs w:val="1"/>
                <w:color w:val="auto"/>
              </w:rPr>
              <w:t>Consolidated Balance Sheets location</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56"/>
        </w:trPr>
        <w:tc>
          <w:tcPr>
            <w:tcW w:w="40" w:type="dxa"/>
            <w:vAlign w:val="bottom"/>
            <w:shd w:val="clear" w:color="auto" w:fill="CCEEFF"/>
          </w:tcPr>
          <w:p>
            <w:pPr>
              <w:spacing w:after="0"/>
              <w:rPr>
                <w:sz w:val="13"/>
                <w:szCs w:val="13"/>
                <w:color w:val="auto"/>
              </w:rPr>
            </w:pPr>
          </w:p>
        </w:tc>
        <w:tc>
          <w:tcPr>
            <w:tcW w:w="6000" w:type="dxa"/>
            <w:vAlign w:val="bottom"/>
            <w:gridSpan w:val="5"/>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8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40" w:type="dxa"/>
            <w:vAlign w:val="bottom"/>
            <w:shd w:val="clear" w:color="auto" w:fill="CCEEFF"/>
          </w:tcPr>
          <w:p>
            <w:pPr>
              <w:spacing w:after="0"/>
              <w:rPr>
                <w:sz w:val="16"/>
                <w:szCs w:val="16"/>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r>
      <w:tr>
        <w:trPr>
          <w:trHeight w:val="80"/>
        </w:trPr>
        <w:tc>
          <w:tcPr>
            <w:tcW w:w="40" w:type="dxa"/>
            <w:vAlign w:val="bottom"/>
            <w:shd w:val="clear" w:color="auto" w:fill="CCEEFF"/>
          </w:tcPr>
          <w:p>
            <w:pPr>
              <w:spacing w:after="0"/>
              <w:rPr>
                <w:sz w:val="6"/>
                <w:szCs w:val="6"/>
                <w:color w:val="auto"/>
              </w:rPr>
            </w:pPr>
          </w:p>
        </w:tc>
        <w:tc>
          <w:tcPr>
            <w:tcW w:w="284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284"/>
        </w:trPr>
        <w:tc>
          <w:tcPr>
            <w:tcW w:w="4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40" w:type="dxa"/>
            <w:vAlign w:val="bottom"/>
            <w:shd w:val="clear" w:color="auto" w:fill="CCEEFF"/>
          </w:tcPr>
          <w:p>
            <w:pPr>
              <w:spacing w:after="0"/>
              <w:rPr>
                <w:sz w:val="14"/>
                <w:szCs w:val="14"/>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8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373.4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292.8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123.3</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w:t>
            </w:r>
          </w:p>
        </w:tc>
        <w:tc>
          <w:tcPr>
            <w:tcW w:w="3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114.5</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138.2</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491.2</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300.9</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494.8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280.2</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184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80"/>
        </w:trPr>
        <w:tc>
          <w:tcPr>
            <w:tcW w:w="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gridSpan w:val="4"/>
          </w:tcPr>
          <w:p>
            <w:pPr>
              <w:ind w:left="20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80"/>
        </w:trPr>
        <w:tc>
          <w:tcPr>
            <w:tcW w:w="40" w:type="dxa"/>
            <w:vAlign w:val="bottom"/>
            <w:tcBorders>
              <w:bottom w:val="single" w:sz="8" w:color="CCEEFF"/>
            </w:tcBorders>
          </w:tcPr>
          <w:p>
            <w:pPr>
              <w:spacing w:after="0"/>
              <w:rPr>
                <w:sz w:val="6"/>
                <w:szCs w:val="6"/>
                <w:color w:val="auto"/>
              </w:rPr>
            </w:pPr>
          </w:p>
        </w:tc>
        <w:tc>
          <w:tcPr>
            <w:tcW w:w="184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8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80"/>
        </w:trPr>
        <w:tc>
          <w:tcPr>
            <w:tcW w:w="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28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503.0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309.4</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288.9</w:t>
            </w:r>
          </w:p>
        </w:tc>
      </w:tr>
      <w:tr>
        <w:trPr>
          <w:trHeight w:val="80"/>
        </w:trPr>
        <w:tc>
          <w:tcPr>
            <w:tcW w:w="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84"/>
        </w:trPr>
        <w:tc>
          <w:tcPr>
            <w:tcW w:w="4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8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4"/>
                <w:szCs w:val="14"/>
                <w:b w:val="1"/>
                <w:bCs w:val="1"/>
                <w:color w:val="auto"/>
              </w:rPr>
              <w:t>Total derivatives</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533.9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549.2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332.5</w:t>
            </w:r>
          </w:p>
        </w:tc>
      </w:tr>
      <w:tr>
        <w:trPr>
          <w:trHeight w:val="80"/>
        </w:trPr>
        <w:tc>
          <w:tcPr>
            <w:tcW w:w="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6.</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June 30, 2018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00" w:type="dxa"/>
            <w:vAlign w:val="bottom"/>
          </w:tcPr>
          <w:p>
            <w:pPr>
              <w:jc w:val="right"/>
              <w:ind w:right="1368"/>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8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333333"/>
              </w:rPr>
              <w:t>Derivative Instruments</w:t>
            </w:r>
          </w:p>
        </w:tc>
        <w:tc>
          <w:tcPr>
            <w:tcW w:w="126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vMerge w:val="continue"/>
          </w:tcPr>
          <w:p>
            <w:pPr>
              <w:spacing w:after="0"/>
              <w:rPr>
                <w:sz w:val="16"/>
                <w:szCs w:val="16"/>
                <w:color w:val="auto"/>
              </w:rPr>
            </w:pPr>
          </w:p>
        </w:tc>
        <w:tc>
          <w:tcPr>
            <w:tcW w:w="1260" w:type="dxa"/>
            <w:vAlign w:val="bottom"/>
          </w:tcPr>
          <w:p>
            <w:pPr>
              <w:jc w:val="center"/>
              <w:ind w:left="508"/>
              <w:spacing w:after="0"/>
              <w:rPr>
                <w:sz w:val="20"/>
                <w:szCs w:val="20"/>
                <w:color w:val="auto"/>
              </w:rPr>
            </w:pPr>
            <w:r>
              <w:rPr>
                <w:rFonts w:ascii="Arial" w:cs="Arial" w:eastAsia="Arial" w:hAnsi="Arial"/>
                <w:sz w:val="14"/>
                <w:szCs w:val="14"/>
                <w:b w:val="1"/>
                <w:bCs w:val="1"/>
                <w:color w:val="333333"/>
                <w:w w:val="91"/>
              </w:rPr>
              <w:t>Units</w:t>
            </w:r>
          </w:p>
        </w:tc>
        <w:tc>
          <w:tcPr>
            <w:tcW w:w="2500" w:type="dxa"/>
            <w:vAlign w:val="bottom"/>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12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Buy / Long</w:t>
            </w:r>
          </w:p>
        </w:tc>
        <w:tc>
          <w:tcPr>
            <w:tcW w:w="1260" w:type="dxa"/>
            <w:vAlign w:val="bottom"/>
          </w:tcPr>
          <w:p>
            <w:pPr>
              <w:jc w:val="center"/>
              <w:ind w:left="508"/>
              <w:spacing w:after="0"/>
              <w:rPr>
                <w:sz w:val="20"/>
                <w:szCs w:val="20"/>
                <w:color w:val="auto"/>
              </w:rPr>
            </w:pPr>
            <w:r>
              <w:rPr>
                <w:rFonts w:ascii="Arial" w:cs="Arial" w:eastAsia="Arial" w:hAnsi="Arial"/>
                <w:sz w:val="14"/>
                <w:szCs w:val="14"/>
                <w:color w:val="auto"/>
              </w:rPr>
              <w:t>BBL</w:t>
            </w:r>
          </w:p>
        </w:tc>
        <w:tc>
          <w:tcPr>
            <w:tcW w:w="2500" w:type="dxa"/>
            <w:vAlign w:val="bottom"/>
          </w:tcPr>
          <w:p>
            <w:pPr>
              <w:jc w:val="right"/>
              <w:ind w:right="28"/>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 / Short</w:t>
            </w:r>
          </w:p>
        </w:tc>
        <w:tc>
          <w:tcPr>
            <w:tcW w:w="126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BBL</w:t>
            </w: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Foreign currency exchange contracts</w:t>
            </w:r>
          </w:p>
        </w:tc>
        <w:tc>
          <w:tcPr>
            <w:tcW w:w="126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Sell U.S. dollar, buy other currencies</w:t>
            </w:r>
          </w:p>
        </w:tc>
        <w:tc>
          <w:tcPr>
            <w:tcW w:w="1260" w:type="dxa"/>
            <w:vAlign w:val="bottom"/>
          </w:tcPr>
          <w:p>
            <w:pPr>
              <w:jc w:val="center"/>
              <w:ind w:left="508"/>
              <w:spacing w:after="0"/>
              <w:rPr>
                <w:sz w:val="20"/>
                <w:szCs w:val="20"/>
                <w:color w:val="auto"/>
              </w:rPr>
            </w:pPr>
            <w:r>
              <w:rPr>
                <w:rFonts w:ascii="Arial" w:cs="Arial" w:eastAsia="Arial" w:hAnsi="Arial"/>
                <w:sz w:val="14"/>
                <w:szCs w:val="14"/>
                <w:color w:val="auto"/>
                <w:w w:val="94"/>
              </w:rPr>
              <w:t>USD</w:t>
            </w:r>
          </w:p>
        </w:tc>
        <w:tc>
          <w:tcPr>
            <w:tcW w:w="2500" w:type="dxa"/>
            <w:vAlign w:val="bottom"/>
          </w:tcPr>
          <w:p>
            <w:pPr>
              <w:jc w:val="right"/>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 sell other currencies</w:t>
            </w:r>
          </w:p>
        </w:tc>
        <w:tc>
          <w:tcPr>
            <w:tcW w:w="126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w w:val="94"/>
              </w:rPr>
              <w:t>USD</w:t>
            </w:r>
          </w:p>
        </w:tc>
        <w:tc>
          <w:tcPr>
            <w:tcW w:w="2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401.2</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5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2018, and December 31, 2017, the following amounts were recorded on the consolidated balance sheets related to cumulative basis adjustments for fair value hedges (in million):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Line item in the Consolidated Balance Sheets in which the</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gridSpan w:val="3"/>
            <w:vMerge w:val="restart"/>
          </w:tcPr>
          <w:p>
            <w:pPr>
              <w:jc w:val="center"/>
              <w:ind w:right="168"/>
              <w:spacing w:after="0"/>
              <w:rPr>
                <w:sz w:val="20"/>
                <w:szCs w:val="20"/>
                <w:color w:val="auto"/>
              </w:rPr>
            </w:pPr>
            <w:r>
              <w:rPr>
                <w:rFonts w:ascii="Arial" w:cs="Arial" w:eastAsia="Arial" w:hAnsi="Arial"/>
                <w:sz w:val="14"/>
                <w:szCs w:val="14"/>
                <w:b w:val="1"/>
                <w:bCs w:val="1"/>
                <w:color w:val="auto"/>
                <w:w w:val="93"/>
              </w:rPr>
              <w:t>Carrying Amount of Hedged Asset/(Liabilities)</w:t>
            </w:r>
          </w:p>
        </w:tc>
        <w:tc>
          <w:tcPr>
            <w:tcW w:w="240" w:type="dxa"/>
            <w:vAlign w:val="bottom"/>
          </w:tcPr>
          <w:p>
            <w:pPr>
              <w:spacing w:after="0"/>
              <w:rPr>
                <w:sz w:val="12"/>
                <w:szCs w:val="12"/>
                <w:color w:val="auto"/>
              </w:rPr>
            </w:pPr>
          </w:p>
        </w:tc>
        <w:tc>
          <w:tcPr>
            <w:tcW w:w="358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Included in the Carrying Amount of the Hedged</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hedged item is included</w:t>
            </w: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3"/>
              </w:rPr>
              <w:t>Asset/(Liabilities)</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1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2018</w:t>
            </w:r>
          </w:p>
        </w:tc>
        <w:tc>
          <w:tcPr>
            <w:tcW w:w="460" w:type="dxa"/>
            <w:vAlign w:val="bottom"/>
          </w:tcPr>
          <w:p>
            <w:pPr>
              <w:spacing w:after="0"/>
              <w:rPr>
                <w:sz w:val="16"/>
                <w:szCs w:val="16"/>
                <w:color w:val="auto"/>
              </w:rPr>
            </w:pPr>
          </w:p>
        </w:tc>
        <w:tc>
          <w:tcPr>
            <w:tcW w:w="160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December 31, 2017</w:t>
            </w:r>
          </w:p>
        </w:tc>
        <w:tc>
          <w:tcPr>
            <w:tcW w:w="240" w:type="dxa"/>
            <w:vAlign w:val="bottom"/>
          </w:tcPr>
          <w:p>
            <w:pPr>
              <w:spacing w:after="0"/>
              <w:rPr>
                <w:sz w:val="16"/>
                <w:szCs w:val="16"/>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2018</w:t>
            </w:r>
          </w:p>
        </w:tc>
        <w:tc>
          <w:tcPr>
            <w:tcW w:w="44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80"/>
        </w:trPr>
        <w:tc>
          <w:tcPr>
            <w:tcW w:w="37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 Income and Comprehensive Income (in millions):</w:t>
      </w:r>
    </w:p>
    <w:p>
      <w:pPr>
        <w:spacing w:after="0" w:line="108" w:lineRule="exact"/>
        <w:rPr>
          <w:sz w:val="20"/>
          <w:szCs w:val="20"/>
          <w:color w:val="auto"/>
        </w:rPr>
      </w:pPr>
    </w:p>
    <w:p>
      <w:pPr>
        <w:jc w:val="center"/>
        <w:ind w:left="7000"/>
        <w:spacing w:after="0"/>
        <w:rPr>
          <w:sz w:val="20"/>
          <w:szCs w:val="20"/>
          <w:color w:val="auto"/>
        </w:rPr>
      </w:pPr>
      <w:r>
        <w:rPr>
          <w:rFonts w:ascii="Arial" w:cs="Arial" w:eastAsia="Arial" w:hAnsi="Arial"/>
          <w:sz w:val="13"/>
          <w:szCs w:val="13"/>
          <w:b w:val="1"/>
          <w:bCs w:val="1"/>
          <w:color w:val="auto"/>
        </w:rPr>
        <w:t>Location and Amount of Gain and (Loss) Recognized in Income on Fair</w:t>
      </w:r>
    </w:p>
    <w:p>
      <w:pPr>
        <w:spacing w:after="0" w:line="15"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13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For the Three Months Ended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June 30, 2017</w:t>
            </w:r>
          </w:p>
        </w:tc>
      </w:tr>
      <w:tr>
        <w:trPr>
          <w:trHeight w:val="156"/>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right="148"/>
              <w:spacing w:after="0" w:line="157" w:lineRule="exact"/>
              <w:rPr>
                <w:sz w:val="20"/>
                <w:szCs w:val="20"/>
                <w:color w:val="auto"/>
              </w:rPr>
            </w:pPr>
            <w:r>
              <w:rPr>
                <w:rFonts w:ascii="Arial" w:cs="Arial" w:eastAsia="Arial" w:hAnsi="Arial"/>
                <w:sz w:val="14"/>
                <w:szCs w:val="14"/>
                <w:color w:val="auto"/>
                <w:w w:val="94"/>
              </w:rPr>
              <w:t>Cost of</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7" w:lineRule="exact"/>
              <w:rPr>
                <w:sz w:val="20"/>
                <w:szCs w:val="20"/>
                <w:color w:val="auto"/>
              </w:rPr>
            </w:pPr>
            <w:r>
              <w:rPr>
                <w:rFonts w:ascii="Arial" w:cs="Arial" w:eastAsia="Arial" w:hAnsi="Arial"/>
                <w:sz w:val="14"/>
                <w:szCs w:val="14"/>
                <w:color w:val="auto"/>
                <w:w w:val="90"/>
              </w:rPr>
              <w:t>Cost of</w:t>
            </w:r>
          </w:p>
        </w:tc>
      </w:tr>
      <w:tr>
        <w:trPr>
          <w:trHeight w:val="194"/>
        </w:trPr>
        <w:tc>
          <w:tcPr>
            <w:tcW w:w="6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10,150.8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9,904.7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8,086.2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7,855.2</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Accumulated 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10,171.2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9,915.2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8,070.2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7,847.5</w:t>
            </w:r>
          </w:p>
        </w:tc>
      </w:tr>
      <w:tr>
        <w:trPr>
          <w:trHeight w:val="80"/>
        </w:trPr>
        <w:tc>
          <w:tcPr>
            <w:tcW w:w="698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gridSpan w:val="8"/>
          </w:tcPr>
          <w:p>
            <w:pPr>
              <w:spacing w:after="0"/>
              <w:rPr>
                <w:sz w:val="6"/>
                <w:szCs w:val="6"/>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46"/>
        </w:trPr>
        <w:tc>
          <w:tcPr>
            <w:tcW w:w="6980" w:type="dxa"/>
            <w:vAlign w:val="bottom"/>
          </w:tcPr>
          <w:p>
            <w:pPr>
              <w:spacing w:after="0"/>
              <w:rPr>
                <w:sz w:val="12"/>
                <w:szCs w:val="12"/>
                <w:color w:val="auto"/>
              </w:rPr>
            </w:pPr>
          </w:p>
        </w:tc>
        <w:tc>
          <w:tcPr>
            <w:tcW w:w="4420" w:type="dxa"/>
            <w:vAlign w:val="bottom"/>
            <w:gridSpan w:val="8"/>
          </w:tcPr>
          <w:p>
            <w:pPr>
              <w:ind w:left="20"/>
              <w:spacing w:after="0" w:line="147" w:lineRule="exact"/>
              <w:rPr>
                <w:sz w:val="20"/>
                <w:szCs w:val="20"/>
                <w:color w:val="auto"/>
              </w:rPr>
            </w:pPr>
            <w:r>
              <w:rPr>
                <w:rFonts w:ascii="Arial" w:cs="Arial" w:eastAsia="Arial" w:hAnsi="Arial"/>
                <w:sz w:val="14"/>
                <w:szCs w:val="14"/>
                <w:b w:val="1"/>
                <w:bCs w:val="1"/>
                <w:color w:val="auto"/>
                <w:w w:val="92"/>
              </w:rPr>
              <w:t>Location and Amount of Gain and (Loss) Recognized in Income on Fair</w:t>
            </w: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Value and Cash Flow Hedging Relationships</w:t>
            </w:r>
          </w:p>
        </w:tc>
        <w:tc>
          <w:tcPr>
            <w:tcW w:w="800" w:type="dxa"/>
            <w:vAlign w:val="bottom"/>
            <w:tcBorders>
              <w:bottom w:val="single" w:sz="8" w:color="auto"/>
            </w:tcBorders>
          </w:tcPr>
          <w:p>
            <w:pPr>
              <w:spacing w:after="0"/>
              <w:rPr>
                <w:sz w:val="16"/>
                <w:szCs w:val="16"/>
                <w:color w:val="auto"/>
              </w:rPr>
            </w:pPr>
          </w:p>
        </w:tc>
      </w:tr>
      <w:tr>
        <w:trPr>
          <w:trHeight w:val="244"/>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7"/>
              </w:rPr>
              <w:t>For the Six Months Ended</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6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June 30, 2017</w:t>
            </w:r>
          </w:p>
        </w:tc>
      </w:tr>
      <w:tr>
        <w:trPr>
          <w:trHeight w:val="156"/>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right="148"/>
              <w:spacing w:after="0" w:line="157" w:lineRule="exact"/>
              <w:rPr>
                <w:sz w:val="20"/>
                <w:szCs w:val="20"/>
                <w:color w:val="auto"/>
              </w:rPr>
            </w:pPr>
            <w:r>
              <w:rPr>
                <w:rFonts w:ascii="Arial" w:cs="Arial" w:eastAsia="Arial" w:hAnsi="Arial"/>
                <w:sz w:val="14"/>
                <w:szCs w:val="14"/>
                <w:color w:val="auto"/>
                <w:w w:val="94"/>
              </w:rPr>
              <w:t>Cost of</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7" w:lineRule="exact"/>
              <w:rPr>
                <w:sz w:val="20"/>
                <w:szCs w:val="20"/>
                <w:color w:val="auto"/>
              </w:rPr>
            </w:pPr>
            <w:r>
              <w:rPr>
                <w:rFonts w:ascii="Arial" w:cs="Arial" w:eastAsia="Arial" w:hAnsi="Arial"/>
                <w:sz w:val="14"/>
                <w:szCs w:val="14"/>
                <w:color w:val="auto"/>
                <w:w w:val="90"/>
              </w:rPr>
              <w:t>Cost of</w:t>
            </w:r>
          </w:p>
        </w:tc>
      </w:tr>
      <w:tr>
        <w:trPr>
          <w:trHeight w:val="194"/>
        </w:trPr>
        <w:tc>
          <w:tcPr>
            <w:tcW w:w="6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19,332.2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18,842.6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16,280.4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15,818.0</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6.7</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Accumulated 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19,356.1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18,871.2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16,274.7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15,818.9</w:t>
            </w:r>
          </w:p>
        </w:tc>
      </w:tr>
      <w:tr>
        <w:trPr>
          <w:trHeight w:val="80"/>
        </w:trPr>
        <w:tc>
          <w:tcPr>
            <w:tcW w:w="6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2018 and 2017, there were no gains or losses recognized in earnings related to our fair value or cash flow hedges that were excluded from the assessment of hedge effectiveness.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25" w:right="239" w:bottom="1068"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 Recognized in</w:t>
            </w: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57"/>
        </w:trPr>
        <w:tc>
          <w:tcPr>
            <w:tcW w:w="31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8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1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vMerge w:val="restart"/>
          </w:tcPr>
          <w:p>
            <w:pPr>
              <w:jc w:val="center"/>
              <w:ind w:right="748"/>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01"/>
        </w:trPr>
        <w:tc>
          <w:tcPr>
            <w:tcW w:w="3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Derivative Instruments</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74"/>
        </w:trPr>
        <w:tc>
          <w:tcPr>
            <w:tcW w:w="316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04"/>
        </w:trPr>
        <w:tc>
          <w:tcPr>
            <w:tcW w:w="3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8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6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0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17"/>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5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3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-8255</wp:posOffset>
            </wp:positionV>
            <wp:extent cx="716089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120"/>
            <w:col w:w="5720"/>
          </w:cols>
          <w:pgMar w:left="240" w:top="125" w:right="239" w:bottom="1068"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2"/>
                <w:szCs w:val="22"/>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Revenue</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15.9</w:t>
            </w: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19.5</w:t>
            </w: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118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5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2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0"/>
        </w:trPr>
        <w:tc>
          <w:tcPr>
            <w:tcW w:w="2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(Loss) Gain</w:t>
            </w:r>
          </w:p>
        </w:tc>
        <w:tc>
          <w:tcPr>
            <w:tcW w:w="118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5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(Loss) Gain</w:t>
            </w:r>
          </w:p>
        </w:tc>
        <w:tc>
          <w:tcPr>
            <w:tcW w:w="12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4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80"/>
        </w:trPr>
        <w:tc>
          <w:tcPr>
            <w:tcW w:w="24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68"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420" w:type="dxa"/>
            <w:vAlign w:val="bottom"/>
            <w:gridSpan w:val="2"/>
          </w:tcPr>
          <w:p>
            <w:pPr>
              <w:ind w:left="4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80"/>
        </w:trPr>
        <w:tc>
          <w:tcPr>
            <w:tcW w:w="316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Amount of Gain (Loss) Recognized in</w:t>
            </w:r>
          </w:p>
        </w:tc>
        <w:tc>
          <w:tcPr>
            <w:tcW w:w="8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560" w:type="dxa"/>
            <w:vAlign w:val="bottom"/>
            <w:vMerge w:val="restart"/>
          </w:tcPr>
          <w:p>
            <w:pPr>
              <w:jc w:val="right"/>
              <w:ind w:right="8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4"/>
              </w:rPr>
              <w:t>Derivative Instruments</w:t>
            </w: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rPr>
              <w:t>2018</w:t>
            </w: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3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03"/>
        </w:trPr>
        <w:tc>
          <w:tcPr>
            <w:tcW w:w="3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232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26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0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0"/>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5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3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80" w:space="120"/>
            <w:col w:w="5720"/>
          </w:cols>
          <w:pgMar w:left="240" w:top="125" w:right="239" w:bottom="1068"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106.4</w:t>
            </w:r>
          </w:p>
        </w:tc>
        <w:tc>
          <w:tcPr>
            <w:tcW w:w="120" w:type="dxa"/>
            <w:vAlign w:val="bottom"/>
            <w:shd w:val="clear" w:color="auto" w:fill="CCEEFF"/>
          </w:tcPr>
          <w:p>
            <w:pPr>
              <w:spacing w:after="0"/>
              <w:rPr>
                <w:sz w:val="17"/>
                <w:szCs w:val="17"/>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r>
      <w:tr>
        <w:trPr>
          <w:trHeight w:val="68"/>
        </w:trPr>
        <w:tc>
          <w:tcPr>
            <w:tcW w:w="24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r>
        <w:trPr>
          <w:trHeight w:val="191"/>
        </w:trPr>
        <w:tc>
          <w:tcPr>
            <w:tcW w:w="240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29.7</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6"/>
                <w:szCs w:val="16"/>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28.4</w:t>
            </w: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80"/>
        </w:trPr>
        <w:tc>
          <w:tcPr>
            <w:tcW w:w="2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191"/>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24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r>
      <w:tr>
        <w:trPr>
          <w:trHeight w:val="184"/>
        </w:trPr>
        <w:tc>
          <w:tcPr>
            <w:tcW w:w="2400" w:type="dxa"/>
            <w:vAlign w:val="bottom"/>
          </w:tcPr>
          <w:p>
            <w:pPr>
              <w:ind w:left="40"/>
              <w:spacing w:after="0"/>
              <w:rPr>
                <w:sz w:val="20"/>
                <w:szCs w:val="20"/>
                <w:color w:val="auto"/>
              </w:rPr>
            </w:pPr>
            <w:r>
              <w:rPr>
                <w:rFonts w:ascii="Arial" w:cs="Arial" w:eastAsia="Arial" w:hAnsi="Arial"/>
                <w:sz w:val="14"/>
                <w:szCs w:val="14"/>
                <w:color w:val="auto"/>
              </w:rPr>
              <w:t>Total Gain</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Total Gain</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80"/>
        </w:trPr>
        <w:tc>
          <w:tcPr>
            <w:tcW w:w="2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effect and financial statement location of our derivative instruments not designated as hedging instruments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(in millions):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480" w:type="dxa"/>
            <w:vAlign w:val="bottom"/>
          </w:tcPr>
          <w:p>
            <w:pPr>
              <w:ind w:left="1900"/>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Other (expense),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(Loss) Gain</w:t>
            </w: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shd w:val="clear" w:color="auto" w:fill="CCEEFF"/>
          </w:tcPr>
          <w:p>
            <w:pPr>
              <w:spacing w:after="0"/>
              <w:rPr>
                <w:sz w:val="6"/>
                <w:szCs w:val="6"/>
                <w:color w:val="auto"/>
              </w:rPr>
            </w:pPr>
          </w:p>
        </w:tc>
        <w:tc>
          <w:tcPr>
            <w:tcW w:w="34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3"/>
            <w:vMerge w:val="restart"/>
          </w:tcPr>
          <w:p>
            <w:pPr>
              <w:jc w:val="center"/>
              <w:ind w:right="248"/>
              <w:spacing w:after="0"/>
              <w:rPr>
                <w:sz w:val="20"/>
                <w:szCs w:val="20"/>
                <w:color w:val="auto"/>
              </w:rPr>
            </w:pPr>
            <w:r>
              <w:rPr>
                <w:rFonts w:ascii="Arial" w:cs="Arial" w:eastAsia="Arial" w:hAnsi="Arial"/>
                <w:sz w:val="14"/>
                <w:szCs w:val="14"/>
                <w:b w:val="1"/>
                <w:bCs w:val="1"/>
                <w:color w:val="auto"/>
                <w:w w:val="94"/>
              </w:rPr>
              <w:t>For the Six Months Ended</w:t>
            </w: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480" w:type="dxa"/>
            <w:vAlign w:val="bottom"/>
          </w:tcPr>
          <w:p>
            <w:pPr>
              <w:ind w:left="2340"/>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Cost of revenue</w:t>
            </w:r>
          </w:p>
        </w:tc>
        <w:tc>
          <w:tcPr>
            <w:tcW w:w="34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80"/>
        </w:trPr>
        <w:tc>
          <w:tcPr>
            <w:tcW w:w="4860" w:type="dxa"/>
            <w:vAlign w:val="bottom"/>
            <w:tcBorders>
              <w:bottom w:val="single" w:sz="8" w:color="CCEEFF"/>
            </w:tcBorders>
          </w:tcPr>
          <w:p>
            <w:pPr>
              <w:spacing w:after="0"/>
              <w:rPr>
                <w:sz w:val="6"/>
                <w:szCs w:val="6"/>
                <w:color w:val="auto"/>
              </w:rPr>
            </w:pPr>
          </w:p>
        </w:tc>
        <w:tc>
          <w:tcPr>
            <w:tcW w:w="34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Other (expense), net</w:t>
            </w:r>
          </w:p>
        </w:tc>
        <w:tc>
          <w:tcPr>
            <w:tcW w:w="34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80"/>
        </w:trPr>
        <w:tc>
          <w:tcPr>
            <w:tcW w:w="4860" w:type="dxa"/>
            <w:vAlign w:val="bottom"/>
            <w:tcBorders>
              <w:bottom w:val="single" w:sz="8" w:color="CCEEFF"/>
            </w:tcBorders>
          </w:tcPr>
          <w:p>
            <w:pPr>
              <w:spacing w:after="0"/>
              <w:rPr>
                <w:sz w:val="6"/>
                <w:szCs w:val="6"/>
                <w:color w:val="auto"/>
              </w:rPr>
            </w:pPr>
          </w:p>
        </w:tc>
        <w:tc>
          <w:tcPr>
            <w:tcW w:w="34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shd w:val="clear" w:color="auto" w:fill="CCEEFF"/>
          </w:tcPr>
          <w:p>
            <w:pPr>
              <w:spacing w:after="0"/>
              <w:rPr>
                <w:sz w:val="6"/>
                <w:szCs w:val="6"/>
                <w:color w:val="auto"/>
              </w:rPr>
            </w:pPr>
          </w:p>
        </w:tc>
        <w:tc>
          <w:tcPr>
            <w:tcW w:w="34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color w:val="auto"/>
              </w:rPr>
              <w:t>Total Gain</w:t>
            </w:r>
          </w:p>
        </w:tc>
        <w:tc>
          <w:tcPr>
            <w:tcW w:w="34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68"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068"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periodically provide collateral. Certain derivative contracts contain credit-risk-related contingent clauses which are triggered by credit events. These credit events may include the 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333333"/>
                <w:w w:val="94"/>
              </w:rPr>
              <w:t>Potential Collateral Requirements for</w:t>
            </w:r>
          </w:p>
        </w:tc>
        <w:tc>
          <w:tcPr>
            <w:tcW w:w="48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2"/>
          </w:tcPr>
          <w:p>
            <w:pPr>
              <w:jc w:val="center"/>
              <w:ind w:left="268"/>
              <w:spacing w:after="0" w:line="149" w:lineRule="exact"/>
              <w:rPr>
                <w:sz w:val="20"/>
                <w:szCs w:val="20"/>
                <w:color w:val="auto"/>
              </w:rPr>
            </w:pPr>
            <w:r>
              <w:rPr>
                <w:rFonts w:ascii="Arial" w:cs="Arial" w:eastAsia="Arial" w:hAnsi="Arial"/>
                <w:sz w:val="14"/>
                <w:szCs w:val="14"/>
                <w:b w:val="1"/>
                <w:bCs w:val="1"/>
                <w:color w:val="333333"/>
                <w:w w:val="95"/>
              </w:rPr>
              <w:t>Derivative Liabilities with</w:t>
            </w:r>
          </w:p>
        </w:tc>
        <w:tc>
          <w:tcPr>
            <w:tcW w:w="480" w:type="dxa"/>
            <w:vAlign w:val="bottom"/>
          </w:tcPr>
          <w:p>
            <w:pPr>
              <w:spacing w:after="0"/>
              <w:rPr>
                <w:sz w:val="12"/>
                <w:szCs w:val="12"/>
                <w:color w:val="auto"/>
              </w:rPr>
            </w:pP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333333"/>
                <w:w w:val="93"/>
              </w:rPr>
              <w:t>Credit-Risk-Contingent Features</w:t>
            </w:r>
          </w:p>
        </w:tc>
        <w:tc>
          <w:tcPr>
            <w:tcW w:w="480" w:type="dxa"/>
            <w:vAlign w:val="bottom"/>
            <w:tcBorders>
              <w:bottom w:val="single" w:sz="8" w:color="auto"/>
            </w:tcBorders>
          </w:tcPr>
          <w:p>
            <w:pPr>
              <w:spacing w:after="0"/>
              <w:rPr>
                <w:sz w:val="16"/>
                <w:szCs w:val="16"/>
                <w:color w:val="auto"/>
              </w:rPr>
            </w:pPr>
          </w:p>
        </w:tc>
      </w:t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208"/>
              <w:spacing w:after="0"/>
              <w:rPr>
                <w:sz w:val="20"/>
                <w:szCs w:val="20"/>
                <w:color w:val="auto"/>
              </w:rPr>
            </w:pPr>
            <w:r>
              <w:rPr>
                <w:rFonts w:ascii="Arial" w:cs="Arial" w:eastAsia="Arial" w:hAnsi="Arial"/>
                <w:sz w:val="14"/>
                <w:szCs w:val="14"/>
                <w:b w:val="1"/>
                <w:bCs w:val="1"/>
                <w:color w:val="333333"/>
                <w:w w:val="96"/>
              </w:rPr>
              <w:t>As of June 30, 2018</w:t>
            </w:r>
          </w:p>
        </w:tc>
        <w:tc>
          <w:tcPr>
            <w:tcW w:w="1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333333"/>
              </w:rPr>
              <w:t>As of December 31, 2017</w:t>
            </w:r>
          </w:p>
        </w:tc>
      </w:tr>
      <w:tr>
        <w:trPr>
          <w:trHeight w:val="80"/>
        </w:trPr>
        <w:tc>
          <w:tcPr>
            <w:tcW w:w="79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r>
      <w:tr>
        <w:trPr>
          <w:trHeight w:val="184"/>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derivatives liability positions with credit contingent features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13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80"/>
        </w:trPr>
        <w:tc>
          <w:tcPr>
            <w:tcW w:w="7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Maximum potential collateral requirements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3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80"/>
        </w:trPr>
        <w:tc>
          <w:tcPr>
            <w:tcW w:w="79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At June 30, 2018 and December 31, 2017, there was no collateral held by our counterparties on these derivative contracts with credit-risk-contingent features.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Goodwill arises because the purchase price paid for our acquisitions reflects numerous factors, including the strategic fit and expected synergies these acquisitions bring to our existing operations. Goodwill is recorded at fair value and is reviewed at least annually for impairment.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3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326.9</w:t>
            </w:r>
          </w:p>
        </w:tc>
        <w:tc>
          <w:tcPr>
            <w:tcW w:w="11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518.5</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845.5</w:t>
            </w: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Additions</w:t>
            </w:r>
          </w:p>
        </w:tc>
        <w:tc>
          <w:tcPr>
            <w:tcW w:w="3120" w:type="dxa"/>
            <w:vAlign w:val="bottom"/>
          </w:tcPr>
          <w:p>
            <w:pPr>
              <w:spacing w:after="0"/>
              <w:rPr>
                <w:sz w:val="22"/>
                <w:szCs w:val="22"/>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4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13.4</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3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June 30, 2018</w:t>
            </w:r>
          </w:p>
        </w:tc>
        <w:tc>
          <w:tcPr>
            <w:tcW w:w="3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322.4</w:t>
            </w:r>
          </w:p>
        </w:tc>
        <w:tc>
          <w:tcPr>
            <w:tcW w:w="11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534.2</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856.7</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6880" w:hanging="332"/>
        <w:spacing w:after="0" w:line="494" w:lineRule="auto"/>
        <w:tabs>
          <w:tab w:leader="none" w:pos="19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Interest Income, Expense and Other Finance Costs </w:t>
      </w:r>
      <w:r>
        <w:rPr>
          <w:rFonts w:ascii="Arial" w:cs="Arial" w:eastAsia="Arial" w:hAnsi="Arial"/>
          <w:sz w:val="17"/>
          <w:szCs w:val="17"/>
          <w:color w:val="auto"/>
        </w:rPr>
        <w:t>Our debt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6"/>
                <w:szCs w:val="16"/>
                <w:color w:val="auto"/>
              </w:rPr>
            </w:pPr>
          </w:p>
        </w:tc>
      </w:tr>
      <w:tr>
        <w:trPr>
          <w:trHeight w:val="80"/>
        </w:trPr>
        <w:tc>
          <w:tcPr>
            <w:tcW w:w="76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52"/>
        </w:trPr>
        <w:tc>
          <w:tcPr>
            <w:tcW w:w="766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225.0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Capital leases</w:t>
            </w:r>
          </w:p>
        </w:tc>
        <w:tc>
          <w:tcPr>
            <w:tcW w:w="13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8.8</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debt</w:t>
            </w: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765.3</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910.2</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maturities of long-term debt and capital leases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731.6</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884.6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9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r>
      <w:tr>
        <w:trPr>
          <w:trHeight w:val="264"/>
        </w:trPr>
        <w:tc>
          <w:tcPr>
            <w:tcW w:w="5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0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4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than market rates. Based on the fair value hierarchy, our debt of $765.3 million and $910.2 million as of June 30, 2018 and December 31, 2017, respectively, and our notes receivable of $26.8 million and $44.9 million as of June 30, 2018 and December 31, 2017, respectively, are categorized in Level 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2"/>
              </w:rPr>
              <w:t>Fair Value measurements as of June 30, 2018</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Total Fair Value</w:t>
            </w: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371.6</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141.2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515.0</w:t>
            </w: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371.6</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540.0</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364.2</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540.4</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6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364.2</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549.2</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gridSpan w:val="6"/>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8"/>
        </w:trPr>
        <w:tc>
          <w:tcPr>
            <w:tcW w:w="4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1140" w:type="dxa"/>
            <w:vAlign w:val="bottom"/>
            <w:tcBorders>
              <w:bottom w:val="single" w:sz="8" w:color="auto"/>
            </w:tcBorders>
          </w:tcPr>
          <w:p>
            <w:pPr>
              <w:spacing w:after="0"/>
              <w:rPr>
                <w:sz w:val="24"/>
                <w:szCs w:val="24"/>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 Inputs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Total Fair Value</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30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317.7</w:t>
            </w:r>
          </w:p>
        </w:tc>
      </w:tr>
      <w:tr>
        <w:trPr>
          <w:trHeight w:val="284"/>
        </w:trPr>
        <w:tc>
          <w:tcPr>
            <w:tcW w:w="42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323.9</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periods presented. The fair values of our commodity contracts measured using Level 3 inputs were not material at June 30, 2018 and December 31, 2017,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w w:val="99"/>
              </w:rPr>
              <w:t>Fair Value as of June 30, 2018</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Pr>
          <w:p>
            <w:pPr>
              <w:spacing w:after="0"/>
              <w:rPr>
                <w:sz w:val="23"/>
                <w:szCs w:val="23"/>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Pr>
          <w:p>
            <w:pPr>
              <w:spacing w:after="0"/>
              <w:rPr>
                <w:sz w:val="23"/>
                <w:szCs w:val="23"/>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Pr>
          <w:p>
            <w:pPr>
              <w:spacing w:after="0"/>
              <w:rPr>
                <w:sz w:val="23"/>
                <w:szCs w:val="23"/>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80"/>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515.0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431.9</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83.2</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533.9</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439.2</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94.7</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540.4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431.9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108.5</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549.2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439.2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110.0</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1"/>
              </w:rPr>
              <w:t>Fair Value as of December 31, 2017</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303.6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2018 and December 31, 2017, we did not present any amounts gross on our consolidated balance sheet where we had the right of offset.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June 30, 2018, three counterparties each represented over 10% of our credit exposure to OTC derivative counterparties for a total credit risk of $17.3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60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4"/>
              </w:rPr>
              <w:t>For the Three Months Ended</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4"/>
              </w:rPr>
              <w:t>For the Six Months Ended</w:t>
            </w:r>
          </w:p>
        </w:tc>
      </w:tr>
      <w:tr>
        <w:trPr>
          <w:trHeight w:val="276"/>
        </w:trPr>
        <w:tc>
          <w:tcPr>
            <w:tcW w:w="5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388"/>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688"/>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5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64"/>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12.4</w:t>
            </w:r>
          </w:p>
        </w:tc>
        <w:tc>
          <w:tcPr>
            <w:tcW w:w="104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4.6</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19.7</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0"/>
        </w:trPr>
        <w:tc>
          <w:tcPr>
            <w:tcW w:w="5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58"/>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29.7%</w:t>
            </w:r>
          </w:p>
        </w:tc>
        <w:tc>
          <w:tcPr>
            <w:tcW w:w="10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24.6%</w:t>
            </w: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provision for income taxes for the three months ended June 30, 2018 was $12.4 million. Our provision for income taxes was adjusted for an income tax benefit of $3.9 million, net, for discrete items primarily related to an adjustment for stock based compensation in accordance with ASU 2016-09, an adjustment pursuant to the accounting of the Act, and changes in the valuation allowance in various jurisdictions. Without the $3.9 million in discrete items, the effective income tax rate would have been 39.2% for the three months ended June 30, 2018.</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provision for income taxes for the three months ended June 30, 2017 was $4.6 million and was adjusted for an income tax expense of $2.7 million, net, for discrete items related to changes in estimates in uncertain tax positions. Without the $2.7 million in discrete items, the three months ended June 30, 2017 effective income tax rate would have been 5.4%.</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for the six months ended June 30, 2018 was $19.7 million and was adjusted for an income tax benefit of $8.8 million, net, for discrete items primarily related to an adjustment pursuant to the accounting of the Act, changes in estimates in uncertain tax positions, an adjustment for stock based compensation in accordance with ASU 2016-09, and changes in the valuation allowance in various jurisdictions. Without the $8.8 million benefit in discrete items, the effective income tax rate would have been 35.6%.</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provision for income taxes for the six months ended June 30, 2017 was $9.6 million and was adjusted for an income tax expense of $3.9 million, net, for discrete items primarily related to changes in estimates in uncertain tax positions , and an adjustment for stock based compensation in accordance with ASU 2016-09. Without the $3.9 million expense in discrete items, the effective income tax rate would have been 8.1%.</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provision for income taxes for each of the three and six months ended June 30, 2018 and 2017 was calculated based on the estimated annual effective income tax rate for 2018 and 2017 fiscal years. The actual effective income tax rate for the 2018 fiscal year may be materially different as a result of differences between estimated versus actual results and the geographic tax jurisdictions in which the results are earned.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various income tax returns under examination both in the U.S. and in foreign jurisdictions. The most significant of these are in Korea for the 2011 to 2014 tax years, in Denmark for the 2013 to 2015 tax years and the U.S. for the 2013 to 2016 tax years. In 2017, the South Korea branch of one of our subsidiaries received income tax assessment notices for the years 2011 to 2014 totaling $10.6 million (KRW 11.3 billion). We believe that these assessments are without merit and are currently appealing the actions. During the quarter ended March 31, 2018, one of our Denmark subsidiaries received an audit inquiry from the Denmark tax authorities relating to transfer pricing and related issues for the tax years 2013 to 2015. In addition, in 2017, we received a notice of examination from the U.S. Internal Revenue Service for the 2013 to 2016 tax years. We are currently responding to the requests from the U.S. and Denmark tax authorities.</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results of operations or cash flows in the quarter and year in which an adjustment is recorded or the tax is due or paid. As audits and examinations are still in process or we have not yet reached the final stages of the appeals process, the timing of the ultimate resolution and any payments that may be required for the above matters cannot be determined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from Contracts with Customers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contracts with customers in various ways including via master supply or blanket sales agreement when combined with some form of nomination and acceptance such as a purchase order or delivery ticket, stand-alone agreements, or through spot transactions where fuel is delivered for immediate settlement. Our contracts primarily require us to deliver fuel and fuel-related products, while other arrangements require us to complete agreed-upon services. Our contracts may contain fixed or variable pricing or some combination of those.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delivery is made to our customers and they obtain control, the sales price is determinable, and collectability is reasonably assured. Fulfillment costs, including those associated with certain transportation costs are included in the transaction price, while taxes assessed by a government authority and certain fees charged by third parties are excluded.</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 from services, including energy procurement advisory services, international trip planning support, and transaction and payment management processing, are recognized over the contract period when services have been performed and we have the right to invoice for those services. We generally charge a nominal fixed monthly fee coupled with a per transaction fee for the services we provide our customers. For our service contracts, we have applied the practical expedient to recognize revenue in the amount to which we have a right to invoice if we have a right to consideration from a customer in an amount that corresponds directly with the value to the customer of our performance completed to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record fuel sales and services, with the exception of revenue from merchant services, on a gross basis as we generally take inventory risk, have latitude in establishing the sales price, have discretion in the supplier selection, maintain credit risk and are the primary obligor in the sales arrangement. Whether the services have been performed and the customer has obtained control are factors we take into consideration in deciding when to recognize revenue. These factors are readily determinable and consistently applied throughout our business. Therefore, we generally have not needed to make material estimates or assumptions with respect to revenue recognition.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revenues from contracts with customers (in millions) disaggregated by major geographic areas we conduct business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period amounts have not been adjusted under the modified retrospective method.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6"/>
                <w:szCs w:val="16"/>
                <w:color w:val="auto"/>
              </w:rPr>
            </w:pPr>
          </w:p>
        </w:tc>
        <w:tc>
          <w:tcPr>
            <w:tcW w:w="21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6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363.6</w:t>
            </w:r>
          </w:p>
        </w:tc>
        <w:tc>
          <w:tcPr>
            <w:tcW w:w="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755.6</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507.1</w:t>
            </w: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804.1</w:t>
            </w:r>
          </w:p>
        </w:tc>
        <w:tc>
          <w:tcPr>
            <w:tcW w:w="4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1,603.6</w:t>
            </w: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1,738.7</w:t>
            </w:r>
          </w:p>
        </w:tc>
      </w:tr>
      <w:tr>
        <w:trPr>
          <w:trHeight w:val="270"/>
        </w:trPr>
        <w:tc>
          <w:tcPr>
            <w:tcW w:w="6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64"/>
        </w:trPr>
        <w:tc>
          <w:tcPr>
            <w:tcW w:w="6540" w:type="dxa"/>
            <w:vAlign w:val="bottom"/>
          </w:tcPr>
          <w:p>
            <w:pPr>
              <w:ind w:left="180"/>
              <w:spacing w:after="0"/>
              <w:rPr>
                <w:sz w:val="20"/>
                <w:szCs w:val="20"/>
                <w:color w:val="auto"/>
              </w:rPr>
            </w:pPr>
            <w:r>
              <w:rPr>
                <w:rFonts w:ascii="Arial" w:cs="Arial" w:eastAsia="Arial" w:hAnsi="Arial"/>
                <w:sz w:val="14"/>
                <w:szCs w:val="14"/>
                <w:color w:val="auto"/>
              </w:rPr>
              <w:t>Asia Pacific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1,168.5</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1,094.1</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2,361.1</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2,246.4</w:t>
            </w:r>
          </w:p>
        </w:tc>
      </w:tr>
      <w:tr>
        <w:trPr>
          <w:trHeight w:val="290"/>
        </w:trPr>
        <w:tc>
          <w:tcPr>
            <w:tcW w:w="65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58"/>
        </w:trPr>
        <w:tc>
          <w:tcPr>
            <w:tcW w:w="65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962.8</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616.6</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1,632.8</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1,069.9</w:t>
            </w: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832.2</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1,469.6</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1,340.7</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Land</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635.7</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1,315.5</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1,132.4</w:t>
            </w:r>
          </w:p>
        </w:tc>
      </w:tr>
      <w:tr>
        <w:trPr>
          <w:trHeight w:val="270"/>
        </w:trPr>
        <w:tc>
          <w:tcPr>
            <w:tcW w:w="6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EMEA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2,430.6</w:t>
            </w:r>
          </w:p>
        </w:tc>
        <w:tc>
          <w:tcPr>
            <w:tcW w:w="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4,417.9</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3,542.9</w:t>
            </w:r>
          </w:p>
        </w:tc>
      </w:tr>
      <w:tr>
        <w:trPr>
          <w:trHeight w:val="284"/>
        </w:trPr>
        <w:tc>
          <w:tcPr>
            <w:tcW w:w="6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64"/>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477.2</w:t>
            </w:r>
          </w:p>
        </w:tc>
        <w:tc>
          <w:tcPr>
            <w:tcW w:w="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967.4</w:t>
            </w:r>
          </w:p>
        </w:tc>
        <w:tc>
          <w:tcPr>
            <w:tcW w:w="4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632.5</w:t>
            </w: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128.1</w:t>
            </w:r>
          </w:p>
        </w:tc>
        <w:tc>
          <w:tcPr>
            <w:tcW w:w="4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283.3</w:t>
            </w:r>
          </w:p>
        </w:tc>
        <w:tc>
          <w:tcPr>
            <w:tcW w:w="4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288.5</w:t>
            </w:r>
          </w:p>
        </w:tc>
      </w:tr>
      <w:tr>
        <w:trPr>
          <w:trHeight w:val="270"/>
        </w:trPr>
        <w:tc>
          <w:tcPr>
            <w:tcW w:w="6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156.3</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340.6</w:t>
            </w: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329.0</w:t>
            </w:r>
          </w:p>
        </w:tc>
      </w:tr>
      <w:tr>
        <w:trPr>
          <w:trHeight w:val="264"/>
        </w:trPr>
        <w:tc>
          <w:tcPr>
            <w:tcW w:w="6540" w:type="dxa"/>
            <w:vAlign w:val="bottom"/>
          </w:tcPr>
          <w:p>
            <w:pPr>
              <w:ind w:left="180"/>
              <w:spacing w:after="0"/>
              <w:rPr>
                <w:sz w:val="20"/>
                <w:szCs w:val="20"/>
                <w:color w:val="auto"/>
              </w:rPr>
            </w:pPr>
            <w:r>
              <w:rPr>
                <w:rFonts w:ascii="Arial" w:cs="Arial" w:eastAsia="Arial" w:hAnsi="Arial"/>
                <w:sz w:val="14"/>
                <w:szCs w:val="14"/>
                <w:color w:val="auto"/>
              </w:rPr>
              <w:t>LATAM</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761.6</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592.1</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1,591.3</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1,250.0</w:t>
            </w:r>
          </w:p>
        </w:tc>
      </w:tr>
      <w:tr>
        <w:trPr>
          <w:trHeight w:val="276"/>
        </w:trPr>
        <w:tc>
          <w:tcPr>
            <w:tcW w:w="65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58"/>
        </w:trPr>
        <w:tc>
          <w:tcPr>
            <w:tcW w:w="65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3,157.6</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2,295.6</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5,920.6</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4,551.5</w:t>
            </w: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358.0</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637.9</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476.8</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Land</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2,142.6</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1,866.3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4,100.9</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3,861.8</w:t>
            </w:r>
          </w:p>
        </w:tc>
      </w:tr>
      <w:tr>
        <w:trPr>
          <w:trHeight w:val="264"/>
        </w:trPr>
        <w:tc>
          <w:tcPr>
            <w:tcW w:w="6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North America</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5,658.2</w:t>
            </w:r>
          </w:p>
        </w:tc>
        <w:tc>
          <w:tcPr>
            <w:tcW w:w="4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4,408.3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10,659.4</w:t>
            </w:r>
          </w:p>
        </w:tc>
        <w:tc>
          <w:tcPr>
            <w:tcW w:w="4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8,890.1</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revenues (excluded from ASC 606)</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131.9</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302.5</w:t>
            </w: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351.0</w:t>
            </w:r>
          </w:p>
        </w:tc>
      </w:tr>
      <w:tr>
        <w:trPr>
          <w:trHeight w:val="264"/>
        </w:trPr>
        <w:tc>
          <w:tcPr>
            <w:tcW w:w="65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10,150.8</w:t>
            </w:r>
          </w:p>
        </w:tc>
        <w:tc>
          <w:tcPr>
            <w:tcW w:w="4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19,332.2</w:t>
            </w:r>
          </w:p>
        </w:tc>
        <w:tc>
          <w:tcPr>
            <w:tcW w:w="4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16,280.4</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contract assets and liabilities balances and the changes in these balances were not material for the three and six months ended June 30, 2018.</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Within our Land and Aviation segments, contracts with customers, include multi-year fuel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The variable consideration is allocated entirely to the respective performance obligation. We applied the optional exemptions from disclosing the information about our remaining performance obligations from these contracts.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we applied the optional exemptions from disclosing the information about our remaining performance obligations for contracts from our service contracts in the amount to which we have the right to invoice or for contracts with customers that have an original expected duration of one year or less.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practical expedients applied affecting our measurement and recognition of revenue as well as our disclosures relate to our treatment of shipping and handling and taxes. If we perform shipping and handling activities after our customer obtains control of goods or services, then we will account for these shipping and handling costs as activities to fulfill the promise to transfer the good. We record revenue net of taxes assessed by a governmental authority that are both imposed on and concurrent with a specific revenue-producing transaction and collected by us from a customer (for example, sales, use, value added, and certain excise taxes). Additionally, we will not adjust the promised amount of consideration for the effects of a significant financing component if we expect, at contract inception, that the period between when we transfer a promised good or service to a customer and when the customer pays for that good or service is one year or less.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aviation segment, we offer fuel and fuel-related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addition, we supply products and services to U.S. and foreign government, intergovernmental and military customers, such as the North Atlantic Treaty Organization (NATO) and the U.S. Defense Logistics Agency.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ectPr>
          <w:pgSz w:w="11900" w:h="16838" w:orient="portrait"/>
          <w:cols w:equalWidth="0" w:num="1">
            <w:col w:w="11420"/>
          </w:cols>
          <w:pgMar w:left="240" w:top="125" w:right="239" w:bottom="144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3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For the Three Months Ended</w:t>
            </w:r>
          </w:p>
        </w:tc>
      </w:tr>
      <w:tr>
        <w:trPr>
          <w:trHeight w:val="270"/>
        </w:trPr>
        <w:tc>
          <w:tcPr>
            <w:tcW w:w="36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4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23"/>
                <w:szCs w:val="23"/>
                <w:color w:val="auto"/>
              </w:rPr>
            </w:pPr>
          </w:p>
        </w:tc>
      </w:tr>
      <w:tr>
        <w:trPr>
          <w:trHeight w:val="53"/>
        </w:trPr>
        <w:tc>
          <w:tcPr>
            <w:tcW w:w="364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5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27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8"/>
        </w:trPr>
        <w:tc>
          <w:tcPr>
            <w:tcW w:w="364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2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4,900.7</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3,508.4</w:t>
            </w:r>
          </w:p>
        </w:tc>
      </w:tr>
      <w:tr>
        <w:trPr>
          <w:trHeight w:val="270"/>
        </w:trPr>
        <w:tc>
          <w:tcPr>
            <w:tcW w:w="364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7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2,960.2</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2,564.0</w:t>
            </w:r>
          </w:p>
        </w:tc>
      </w:tr>
      <w:tr>
        <w:trPr>
          <w:trHeight w:val="276"/>
        </w:trPr>
        <w:tc>
          <w:tcPr>
            <w:tcW w:w="3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2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2,289.9</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2,013.8</w:t>
            </w:r>
          </w:p>
        </w:tc>
      </w:tr>
      <w:tr>
        <w:trPr>
          <w:trHeight w:val="264"/>
        </w:trPr>
        <w:tc>
          <w:tcPr>
            <w:tcW w:w="36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10,150.8</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8,086.2</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Six Months Ended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8"/>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9,193.6</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6,825.8</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5,820.9</w:t>
            </w:r>
          </w:p>
        </w:tc>
        <w:tc>
          <w:tcPr>
            <w:tcW w:w="3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5,347.4</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4,317.7</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4,107.3</w:t>
            </w:r>
          </w:p>
        </w:tc>
      </w:tr>
      <w:tr>
        <w:trPr>
          <w:trHeight w:val="264"/>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19,332.2</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16,280.4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20" w:space="100"/>
            <w:col w:w="2600"/>
          </w:cols>
          <w:pgMar w:left="240" w:top="125" w:right="239" w:bottom="1440" w:gutter="0" w:footer="0" w:header="0"/>
          <w:type w:val="continuous"/>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6"/>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127.4</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237.3</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210.8</w:t>
            </w: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88.6</w:t>
            </w:r>
          </w:p>
        </w:tc>
        <w:tc>
          <w:tcPr>
            <w:tcW w:w="5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190.8</w:t>
            </w:r>
          </w:p>
        </w:tc>
        <w:tc>
          <w:tcPr>
            <w:tcW w:w="5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185.0</w:t>
            </w:r>
          </w:p>
        </w:tc>
      </w:tr>
      <w:tr>
        <w:trPr>
          <w:trHeight w:val="270"/>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30.2</w:t>
            </w:r>
          </w:p>
        </w:tc>
        <w:tc>
          <w:tcPr>
            <w:tcW w:w="5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61.5</w:t>
            </w:r>
          </w:p>
        </w:tc>
        <w:tc>
          <w:tcPr>
            <w:tcW w:w="5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r>
      <w:tr>
        <w:trPr>
          <w:trHeight w:val="304"/>
        </w:trPr>
        <w:tc>
          <w:tcPr>
            <w:tcW w:w="4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246.2</w:t>
            </w:r>
          </w:p>
        </w:tc>
        <w:tc>
          <w:tcPr>
            <w:tcW w:w="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489.6</w:t>
            </w:r>
          </w:p>
        </w:tc>
        <w:tc>
          <w:tcPr>
            <w:tcW w:w="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462.4</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64.2</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112.0</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90.2</w:t>
            </w:r>
          </w:p>
        </w:tc>
      </w:tr>
      <w:tr>
        <w:trPr>
          <w:trHeight w:val="276"/>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5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w:t>
            </w:r>
          </w:p>
        </w:tc>
        <w:tc>
          <w:tcPr>
            <w:tcW w:w="5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r>
      <w:tr>
        <w:trPr>
          <w:trHeight w:val="264"/>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r>
      <w:tr>
        <w:trPr>
          <w:trHeight w:val="270"/>
        </w:trPr>
        <w:tc>
          <w:tcPr>
            <w:tcW w:w="41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82.3</w:t>
            </w:r>
          </w:p>
        </w:tc>
        <w:tc>
          <w:tcPr>
            <w:tcW w:w="5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158.3</w:t>
            </w:r>
          </w:p>
        </w:tc>
        <w:tc>
          <w:tcPr>
            <w:tcW w:w="5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139.3</w:t>
            </w:r>
          </w:p>
        </w:tc>
      </w:tr>
      <w:tr>
        <w:trPr>
          <w:trHeight w:val="264"/>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2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r>
      <w:tr>
        <w:trPr>
          <w:trHeight w:val="264"/>
        </w:trPr>
        <w:tc>
          <w:tcPr>
            <w:tcW w:w="410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61.1</w:t>
            </w:r>
          </w:p>
        </w:tc>
        <w:tc>
          <w:tcPr>
            <w:tcW w:w="5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118.3</w:t>
            </w:r>
          </w:p>
        </w:tc>
        <w:tc>
          <w:tcPr>
            <w:tcW w:w="5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6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w w:val="95"/>
              </w:rPr>
              <w:t>Aviation segment, net of allowance for bad debt of $11.5 and $10.8 as of June 30, 2018 and December 31, 2017, respectively</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1,149.7</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1,013.0</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 net of allowance for bad debt of $4.1 and $6.6 as of June 30, 2018 and December 31, 2017, respectively</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874.7</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7"/>
              </w:rPr>
              <w:t>Marine segment, net of allowance for bad debt of $9.8 and $10.4 as of June 30, 2018 and December 31, 2017, respectively</w:t>
            </w: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919.7</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817.9</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2,951.9</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2,705.6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2,326.8</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2,240.4</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2,107.2</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2,091.4</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1,159.9</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1,097.1</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158.9</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5,757.0</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5,587.8</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During each of the years presented on the consolidated statements of income and comprehensive income, none of our customers accounted for more than 10% of total consolidated revenue. Sales to government customers, which includes sales to the U.S. Defense Logistics Agency and NATO, have accounted for a material portion of our profitability in recent years and we expect this to continue in the foreseeable future.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Furthermore, changes in military policies or priorities, such as the decision to withdraw or reduce armed force levels in different geographies, can be sudden, subjecting us to losses or higher expenses associated with disposing of unused inventory, removal or abandonment of equipment and relocation of employees.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jc w:val="center"/>
        <w:ind w:left="5720"/>
        <w:spacing w:after="0"/>
        <w:rPr>
          <w:sz w:val="20"/>
          <w:szCs w:val="20"/>
          <w:color w:val="auto"/>
        </w:rPr>
      </w:pPr>
      <w:r>
        <w:rPr>
          <w:rFonts w:ascii="Arial" w:cs="Arial" w:eastAsia="Arial" w:hAnsi="Arial"/>
          <w:sz w:val="13"/>
          <w:szCs w:val="13"/>
          <w:b w:val="1"/>
          <w:bCs w:val="1"/>
          <w:color w:val="auto"/>
        </w:rPr>
        <w:t>For the Three Months Ended</w:t>
      </w:r>
    </w:p>
    <w:p>
      <w:pPr>
        <w:spacing w:after="0" w:line="121"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35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03" w:lineRule="exact"/>
        <w:rPr>
          <w:sz w:val="20"/>
          <w:szCs w:val="20"/>
          <w:color w:val="auto"/>
        </w:rPr>
      </w:pPr>
    </w:p>
    <w:p>
      <w:pPr>
        <w:ind w:left="6160"/>
        <w:spacing w:after="0"/>
        <w:tabs>
          <w:tab w:leader="none" w:pos="76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For the Six Months Ended</w:t>
      </w:r>
    </w:p>
    <w:p>
      <w:pPr>
        <w:spacing w:after="0" w:line="121"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23495</wp:posOffset>
            </wp:positionV>
            <wp:extent cx="17837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150" w:lineRule="exact"/>
        <w:rPr>
          <w:sz w:val="20"/>
          <w:szCs w:val="20"/>
          <w:color w:val="auto"/>
        </w:rPr>
      </w:pPr>
    </w:p>
    <w:p>
      <w:pPr>
        <w:sectPr>
          <w:pgSz w:w="11900" w:h="16838" w:orient="portrait"/>
          <w:cols w:equalWidth="0" w:num="2">
            <w:col w:w="8420" w:space="720"/>
            <w:col w:w="22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Numerator:</w:t>
      </w:r>
    </w:p>
    <w:p>
      <w:pPr>
        <w:spacing w:after="0" w:line="109" w:lineRule="exact"/>
        <w:rPr>
          <w:sz w:val="20"/>
          <w:szCs w:val="20"/>
          <w:color w:val="auto"/>
        </w:rPr>
      </w:pPr>
    </w:p>
    <w:p>
      <w:pPr>
        <w:ind w:left="180"/>
        <w:spacing w:after="0"/>
        <w:tabs>
          <w:tab w:leader="none" w:pos="5620" w:val="left"/>
          <w:tab w:leader="none" w:pos="6620" w:val="left"/>
          <w:tab w:leader="none" w:pos="7140" w:val="left"/>
          <w:tab w:leader="none" w:pos="8120" w:val="left"/>
          <w:tab w:leader="none" w:pos="8620" w:val="left"/>
          <w:tab w:leader="none" w:pos="9580" w:val="left"/>
          <w:tab w:leader="none" w:pos="10080" w:val="left"/>
          <w:tab w:leader="none" w:pos="11040" w:val="left"/>
        </w:tabs>
        <w:rPr>
          <w:sz w:val="20"/>
          <w:szCs w:val="20"/>
          <w:color w:val="auto"/>
        </w:rPr>
      </w:pPr>
      <w:r>
        <w:rPr>
          <w:rFonts w:ascii="Arial" w:cs="Arial" w:eastAsia="Arial" w:hAnsi="Arial"/>
          <w:sz w:val="14"/>
          <w:szCs w:val="14"/>
          <w:color w:val="auto"/>
        </w:rPr>
        <w:t>Net income attributable to World Fuel</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28.7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59.9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Denominator:</w:t>
      </w:r>
    </w:p>
    <w:p>
      <w:pPr>
        <w:sectPr>
          <w:pgSz w:w="11900" w:h="16838" w:orient="portrait"/>
          <w:cols w:equalWidth="0" w:num="1">
            <w:col w:w="11420"/>
          </w:cols>
          <w:pgMar w:left="240" w:top="125" w:right="239" w:bottom="1440" w:gutter="0" w:footer="0" w:header="0"/>
          <w:type w:val="continuous"/>
        </w:sectPr>
      </w:pP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00" w:type="dxa"/>
            <w:vAlign w:val="bottom"/>
          </w:tcPr>
          <w:p>
            <w:pPr>
              <w:ind w:left="18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1520" w:type="dxa"/>
            <w:vAlign w:val="bottom"/>
          </w:tcPr>
          <w:p>
            <w:pPr>
              <w:jc w:val="right"/>
              <w:ind w:right="568"/>
              <w:spacing w:after="0"/>
              <w:rPr>
                <w:sz w:val="20"/>
                <w:szCs w:val="20"/>
                <w:color w:val="auto"/>
              </w:rPr>
            </w:pPr>
            <w:r>
              <w:rPr>
                <w:rFonts w:ascii="Arial" w:cs="Arial" w:eastAsia="Arial" w:hAnsi="Arial"/>
                <w:sz w:val="14"/>
                <w:szCs w:val="14"/>
                <w:color w:val="auto"/>
              </w:rPr>
              <w:t>67.7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68.4</w:t>
            </w:r>
          </w:p>
        </w:tc>
      </w:tr>
      <w:tr>
        <w:trPr>
          <w:trHeight w:val="276"/>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Effect of dilutive securities</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0.3</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68.0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67"/>
        </w:trPr>
        <w:tc>
          <w:tcPr>
            <w:tcW w:w="6000" w:type="dxa"/>
            <w:vAlign w:val="bottom"/>
          </w:tcPr>
          <w:p>
            <w:pPr>
              <w:ind w:left="40"/>
              <w:spacing w:after="0"/>
              <w:rPr>
                <w:sz w:val="20"/>
                <w:szCs w:val="20"/>
                <w:color w:val="auto"/>
              </w:rPr>
            </w:pPr>
            <w:r>
              <w:rPr>
                <w:rFonts w:ascii="Arial" w:cs="Arial" w:eastAsia="Arial" w:hAnsi="Arial"/>
                <w:sz w:val="14"/>
                <w:szCs w:val="14"/>
                <w:color w:val="auto"/>
              </w:rPr>
              <w:t>Weighted average securities which are not included in the calculation of diluted earnings per</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9"/>
        </w:trPr>
        <w:tc>
          <w:tcPr>
            <w:tcW w:w="6000" w:type="dxa"/>
            <w:vAlign w:val="bottom"/>
          </w:tcPr>
          <w:p>
            <w:pPr>
              <w:ind w:left="40"/>
              <w:spacing w:after="0" w:line="149" w:lineRule="exact"/>
              <w:rPr>
                <w:sz w:val="20"/>
                <w:szCs w:val="20"/>
                <w:color w:val="auto"/>
              </w:rPr>
            </w:pPr>
            <w:r>
              <w:rPr>
                <w:rFonts w:ascii="Arial" w:cs="Arial" w:eastAsia="Arial" w:hAnsi="Arial"/>
                <w:sz w:val="14"/>
                <w:szCs w:val="14"/>
                <w:color w:val="auto"/>
              </w:rPr>
              <w:t>common share because their impact is anti-dilutive or their performance conditions have not</w:t>
            </w:r>
          </w:p>
        </w:tc>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been met</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1.2</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color w:val="auto"/>
        </w:rPr>
        <w:t>67.6</w:t>
      </w:r>
      <w:r>
        <w:rPr>
          <w:sz w:val="20"/>
          <w:szCs w:val="20"/>
          <w:color w:val="auto"/>
        </w:rPr>
        <w:tab/>
      </w:r>
      <w:r>
        <w:rPr>
          <w:rFonts w:ascii="Arial" w:cs="Arial" w:eastAsia="Arial" w:hAnsi="Arial"/>
          <w:sz w:val="13"/>
          <w:szCs w:val="13"/>
          <w:color w:val="auto"/>
        </w:rPr>
        <w:t>68.5</w:t>
      </w:r>
    </w:p>
    <w:p>
      <w:pPr>
        <w:spacing w:after="0" w:line="109"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auto"/>
        </w:rPr>
        <w:t>0.4</w:t>
      </w:r>
      <w:r>
        <w:rPr>
          <w:sz w:val="20"/>
          <w:szCs w:val="20"/>
          <w:color w:val="auto"/>
        </w:rPr>
        <w:tab/>
      </w:r>
      <w:r>
        <w:rPr>
          <w:rFonts w:ascii="Arial" w:cs="Arial" w:eastAsia="Arial" w:hAnsi="Arial"/>
          <w:sz w:val="12"/>
          <w:szCs w:val="12"/>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color w:val="auto"/>
        </w:rPr>
        <w:t>67.9</w:t>
      </w:r>
      <w:r>
        <w:rPr>
          <w:sz w:val="20"/>
          <w:szCs w:val="20"/>
          <w:color w:val="auto"/>
        </w:rPr>
        <w:tab/>
      </w:r>
      <w:r>
        <w:rPr>
          <w:rFonts w:ascii="Arial" w:cs="Arial" w:eastAsia="Arial" w:hAnsi="Arial"/>
          <w:sz w:val="13"/>
          <w:szCs w:val="13"/>
          <w:color w:val="auto"/>
        </w:rPr>
        <w:t>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880" w:space="720"/>
            <w:col w:w="1820"/>
          </w:cols>
          <w:pgMar w:left="240" w:top="125" w:right="239" w:bottom="1440" w:gutter="0" w:footer="0" w:header="0"/>
          <w:type w:val="continuous"/>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2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c>
          <w:tcPr>
            <w:tcW w:w="6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0.89</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0.90</w:t>
            </w:r>
          </w:p>
        </w:tc>
      </w:tr>
      <w:tr>
        <w:trPr>
          <w:trHeight w:val="257"/>
        </w:trPr>
        <w:tc>
          <w:tcPr>
            <w:tcW w:w="386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2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c>
          <w:tcPr>
            <w:tcW w:w="6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0.88</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0.89</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regularly under review by various domestic and foreign tax authorities with regards to indirect tax matters and are involved in various challenges and litigation in a number of countries, including, Brazil and South Korea, where the amounts under controversy may be material. In certain cases, we may be required to pay the assessed amount prior to final determination while we are challenging the assessment and the timing of these payments may have an adverse effect on our cash flows during the relevant period.</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quarter ended December 31, 2016, the Korean branch (“WFSK”) of one of our subsidiaries received assessments of approximately $10.6 million (KRW 11.9 billion) and during the quarter ended June 30, 2017, an assessment for an additional $17.9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June 30, 2018,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previously initiated an enterprise-wide restructuring plan that was designed to streamline the organization and reallocate resources to better align our organizational structure and costs with our strategy. While these activities are ongoing, we expect the majority of these activities to be completed over the next 18 months. The restructuring plan involves reviewing non-core businesses and assets, our organizational structure, and expected business prospects in the markets we serve, as well as our existing technology platforms. Accordingly, based on the nature of the activities being reviewed, we cannot reasonably estimate the ultimate cost that will be incurred. We are currently assessing the strategic fit of certain international operations where it has become increasingly more challenging to conduct our core operations and generate profits. During the six months ended June 30, 2018, we incurred $7.0 million in restructuring charges, comprised primarily of employee-related costs, which are included in compensation and employee benefits on our consolidated statement of income and in accrued expenses and other current liabilities on our consolidated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our restructuring activities during the six months ended June 30, 2018 and our accrued restructuring charges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which is included in accrued expenses and other current liabilities on our consolidated balance sheet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Land</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Marine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3320" w:type="dxa"/>
            <w:vAlign w:val="bottom"/>
            <w:shd w:val="clear" w:color="auto" w:fill="CCED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760" w:type="dxa"/>
            <w:vAlign w:val="bottom"/>
            <w:shd w:val="clear" w:color="auto" w:fill="CCEDFF"/>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0.7</w:t>
            </w:r>
          </w:p>
        </w:tc>
        <w:tc>
          <w:tcPr>
            <w:tcW w:w="360" w:type="dxa"/>
            <w:vAlign w:val="bottom"/>
            <w:shd w:val="clear" w:color="auto" w:fill="CCED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25.0</w:t>
            </w:r>
          </w:p>
        </w:tc>
        <w:tc>
          <w:tcPr>
            <w:tcW w:w="340" w:type="dxa"/>
            <w:vAlign w:val="bottom"/>
            <w:shd w:val="clear" w:color="auto" w:fill="CCED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CED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32.0</w:t>
            </w:r>
          </w:p>
        </w:tc>
      </w:tr>
      <w:tr>
        <w:trPr>
          <w:trHeight w:val="210"/>
        </w:trPr>
        <w:tc>
          <w:tcPr>
            <w:tcW w:w="3320" w:type="dxa"/>
            <w:vAlign w:val="bottom"/>
          </w:tcPr>
          <w:p>
            <w:pPr>
              <w:ind w:left="40"/>
              <w:spacing w:after="0"/>
              <w:rPr>
                <w:sz w:val="20"/>
                <w:szCs w:val="20"/>
                <w:color w:val="auto"/>
              </w:rPr>
            </w:pPr>
            <w:r>
              <w:rPr>
                <w:rFonts w:ascii="Arial" w:cs="Arial" w:eastAsia="Arial" w:hAnsi="Arial"/>
                <w:sz w:val="14"/>
                <w:szCs w:val="14"/>
                <w:color w:val="auto"/>
              </w:rPr>
              <w:t>Employee-related costs incurred</w:t>
            </w:r>
          </w:p>
        </w:tc>
        <w:tc>
          <w:tcPr>
            <w:tcW w:w="1760" w:type="dxa"/>
            <w:vAlign w:val="bottom"/>
          </w:tcPr>
          <w:p>
            <w:pPr>
              <w:spacing w:after="0"/>
              <w:rPr>
                <w:sz w:val="18"/>
                <w:szCs w:val="18"/>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03"/>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Paid during the period</w:t>
            </w:r>
          </w:p>
        </w:tc>
        <w:tc>
          <w:tcPr>
            <w:tcW w:w="17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10"/>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Restructuring charges as of June 30, 2018</w:t>
            </w:r>
          </w:p>
        </w:tc>
        <w:tc>
          <w:tcPr>
            <w:tcW w:w="17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2017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2017 10-K Report.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Our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Examples of forward-looking statements in this 10-Q Report include, but are not limited to, our expectations about the conditions in the aviation, land, and marine markets and the impact on our business, our expectations regarding our continued focus on, and the impact of recent, cost management and portfolio rationalization, our expectations regarding government-related activity and the related profit contribution, our intent to focus on sustainable end user demand, our expectations regarding volumes, operating margin, and the impact of fuel prices on us and our customers, our ability to drive operational excellence, realize synergies associated with our previous acquisitions, and identify and implement a single common technology platform for our land segment, our expectations regarding the impact of our investments in automation and technology, our intent to actively manage our working capital and inventory, as well as our business strategy, business prospects, operating results, effectiveness of internal controls to manage risk, working capital, liquidity, capital expenditure requirements and adequacy of funding to meet such capital expenditures and working capital requirements, as well as our expectations about tax and legal matters. These forward-looking statements are qualified in their entirety by cautionary statements and risk factor disclosures contained in our Securities and Exchange Commission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filings. Important assumptions relating to the forward-looking statements include, among others, assumptions regarding our ability to effectively leverage technology and operating systems and realize the anticipated benefits, our ability to successfully execute and achieve efficiencies and other benefits related to our transformation initiatives and address market conditions, our ability to successfully divest or exit certain businesses, our ability to effectively integrate and derive benefits from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prolonged periods of low oil prices and limited market volatility;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market price of fuel that negatively impact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impacts associated with the U.K. referendum vote to exit from the European Union;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manage the implementation of an upgrade to our ERP platform;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generate sufficient future taxable income in jurisdictions with material deferred tax assets and net operating loss carryforwards;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2017 10-K Report and those described from time to time in our other filings with the SEC.</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overall aviation market remains strong, reflecting healthy airline financial performance and continued strong overall demand. Our aviation segment has benefited from our increased logistics capability and expanded aviation fueling operations footprint into additional international territories and airport locations. The aviation segment has also benefited from continued strong demand from government customers, principally the North Atlantic Treaty Organization (NATO) in Afghanistan. Sales to government customers account for a material portion of our aviation segment's profitability and while we expect our government-related activity to remain strong in 2018, we believe the related profit contribution will decrease as compared to 2017 due to reduced margins associated with the renewal of our contract with NATO. Sales to government customers are driven by global events and military-related activities and therefore can vary significantly from period to period and materially impact our results of operations.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land segment has grown primarily through acquisitions as we seek to build out our land fuel distribution capabilities, primarily in the U.S. and U.K. Recently, our land segment has been negatively impacted by lower profitability from our supply and trading activities as a result of market conditions, specifically within the U.S., which we do not expect will meaningfully improve in 2018. In addition, our operating results in the U.S. and U.K. in previous years have been adversely impacted by unseasonably warm winter weather conditions. Through the first half of 2018, our land operations in the U.K. experienced improvements in demand due to colder weather conditions, principally during the first quarter. Furthermore, our land segment has also benefited from strong sales to government customers, including NATO in Afghanistan, and, we expect such activity to remain strong although at reduced margins. We continue to focus on rationalizing our portfolio, including exiting activities involving low returns and reorienting our activities towards supplying more sustainable end user demand to provide greater leverage and ratability in our operating model. We are also focused on driving operational excellence, realizing the synergies associated with our previous acquisitions, and identifying and implementing a single common technology platform.</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continues to be adversely impacted by the weak conditions within the global shipping and offshore oil exploration markets and as a result, our marine segment has experienced lower overall volumes in our core resale business as compared to historical levels. Due to the prolonged decline of maritime shipping volumes along with lower demand for price risk management products and our decision to exit our marine business in certain international markets, we expect lower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overall volumes and associated operating margins over the remainder of 2018, as compared to 2017, which we expect will be offset in part by the cost management and portfolio rationalization conducted over the past 18 months.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result of the challenges in the markets where we operate, we continue to rationalize our operating model and portfolio of businesses to gain efficiencies through various initiatives that are ongoing throughout the company. We are investing in automation and technology, most notably in our land segment, which we expect will ultimately lower our cost and improve scalability. Furthermore, during the fourth quarter of 2017, we began an enterprise-wide restructuring plan designed to streamline the organization, and reallocate resources to better align our organizational structure and costs with our strategy with a view to ultimately improve operating efficiencies. The restructuring program involves reviewing non-core businesses and investments, our organizational structure, and business prospects in the markets we serve, as well as exiting certain business activities that generate low or highly variable economic value. We expect this portfolio rationalization will free up additional capital to invest in activities with recurring revenue and adequate returns while we continue to actively manage our working capital and inventory, particularly in a rising fuel price environment.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materially affected to the extent that we are required to provide for potential bad debt.</w:t>
      </w:r>
    </w:p>
    <w:p>
      <w:pPr>
        <w:spacing w:after="0" w:line="15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Corporate expenses are allocated to each segment based on usage, where possible, or on other factors according to the nature of the activity. We evaluate and manage our business segments using the performance measurement of income from operations. Selected financial information with respect to our business segments is provided in Note 9 to the accompanying consolidated financial statements included in this 10</w:t>
      </w:r>
      <w:r>
        <w:rPr>
          <w:rFonts w:ascii="MS PGothic" w:cs="MS PGothic" w:eastAsia="MS PGothic" w:hAnsi="MS PGothic"/>
          <w:sz w:val="17"/>
          <w:szCs w:val="17"/>
          <w:color w:val="auto"/>
        </w:rPr>
        <w:t>‑</w:t>
      </w:r>
      <w:r>
        <w:rPr>
          <w:rFonts w:ascii="Arial" w:cs="Arial" w:eastAsia="Arial" w:hAnsi="Arial"/>
          <w:sz w:val="17"/>
          <w:szCs w:val="17"/>
          <w:color w:val="auto"/>
        </w:rPr>
        <w:t>Q Report.</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second quarter of 2018 was $10.2 billion, an increase of $2.1 billion, or 25.5%, as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4,900.7</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3,508.4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1,392.3</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2,960.2</w:t>
            </w:r>
          </w:p>
        </w:tc>
        <w:tc>
          <w:tcPr>
            <w:tcW w:w="4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2,564.0</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396.2</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2,289.9</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2,013.8</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276.2</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10,150.8</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8,086.2</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2,064.7</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$4.9 billion for the second quarter of 2018, an increase of $1.4 billion, or 39.7% as compared to the second quarter of 2017. The increase in aviation revenues was attributable to increased volumes associated with our international core resale operations. Total volumes for the second quarter of 2018 were 2.1 billion gallons, an increase of 2.9%, as compared to the comparable prior year period. The overall increase in revenue was also driven by higher average jet fuel prices per gallon sold in the second quarter of 2018, where the average price per gallon sold was $2.25, as compared to $1.60 in the second quarter of 2017.</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segment were $3.0 billion for the second quarter of 2018, an increase of $0.4 billion, or 15.5%, as compared to the second quarter of 2017. The overall increase in revenue was influenced by a higher average fuel price per gallon sold in the second quarter of 2018, as compared to the second quarter of 2017. Volumes in our land segment experienced a 39.9 million gallon volume decrease for the second quarter of 2018, driven principally by lower volumes related to our decision to exit certain businesses in North America, which were not meeting our return expectations. This was partially offset by growth in Kinect.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$2.3 billion for the second quarter of 2018, an increase of $0.3 billion, or 13.7%, as compared to the second quarter of 2017. Volumes in our marine segment declined 12.9% to 5.9 million metric tons for the second quarter of 2018, as compared to the 2017 period, driven principally by our decision to exit certain low return activities over the past year. The increase in revenues was partially attributable to higher average fuel prices, where we experienced a 30.6% increase in the average price per metric ton sold, to $388.9 in the second quarter of 2018 as compared to $297.8 in the second quarter of 2017.</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second quarter of 2018 was $246.2 million, an increase of $15.2 million, or 6.6%, as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53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88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127.4</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110.9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88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88.6</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87.2</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33"/>
        </w:trPr>
        <w:tc>
          <w:tcPr>
            <w:tcW w:w="42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30.2</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1"/>
        </w:trPr>
        <w:tc>
          <w:tcPr>
            <w:tcW w:w="420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246.2</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231.0</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15.2</w:t>
            </w:r>
          </w:p>
        </w:tc>
      </w:tr>
      <w:tr>
        <w:trPr>
          <w:trHeight w:val="33"/>
        </w:trPr>
        <w:tc>
          <w:tcPr>
            <w:tcW w:w="42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aviation segment gross profit for the second quarter of 2018 was $127.4 million, an increase of $16.5 million, or 14.9%, as compared to the second quarter of 2017. The increase in aviation gross profit was primarily due to increased activity from our government-related business, including certain spot government supply opportunities and increased volumes and profitability from our international core resale operations. Within our aviation segment, we expect seasonal sequential increases for the quarter ending September 30, 2018, in our core resale and on-airport international fueling operations.</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land segment gross profit for the second quarter of 2018 was $88.6 million, an increase of $1.4 million, or 1.6%, as compared to the second quarter of 2017. The increase in land segment gross profit is primarily attributable to higher profitability from increased energy consulting related activities within Kinect, our global energy management services platform, including those associated with recently acquired businesses that are not in the comparable prior year period. In addition, the land segment increase was influenced by higher profits from our transaction processing activities. These increases were partially offset by lower profitability related to our North America retail activities, influenced primarily by previously completed C-store dispositions in 2017.</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second quarter of 2018 was $30.2 million, a decrease of $2.7 million, or 8.2%, as compared to the second quarter of 2017. Our marine segment continues to be adversely impacted by the overall market conditions in the maritime industry. As a result, the gross profit decline was principally driven by our decision to exit certain parts of our business where we were not achieving acceptable returns. This decline was offset by additional marine cost reduction initiatives over the past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second quarter of 2018 were $185.1 million, an increase of $5.4 million, or 3.0%,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2017. The total increase in operating expenses was primarily attributable to our acquired businesses and employee-related severance costs.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110.2</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102.3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74.9</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185.1</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179.7</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4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64.2</w:t>
            </w:r>
          </w:p>
        </w:tc>
        <w:tc>
          <w:tcPr>
            <w:tcW w:w="94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80" w:type="dxa"/>
            <w:vAlign w:val="bottom"/>
          </w:tcPr>
          <w:p>
            <w:pPr>
              <w:spacing w:after="0"/>
              <w:rPr>
                <w:sz w:val="20"/>
                <w:szCs w:val="20"/>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color w:val="auto"/>
              </w:rPr>
              <w:t>10.2</w:t>
            </w:r>
          </w:p>
        </w:tc>
        <w:tc>
          <w:tcPr>
            <w:tcW w:w="9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7.9</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82.3</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69.2</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overhead - unallocated</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(21.2)</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61.1</w:t>
            </w:r>
          </w:p>
        </w:tc>
        <w:tc>
          <w:tcPr>
            <w:tcW w:w="94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w:t>
            </w:r>
          </w:p>
        </w:tc>
        <w:tc>
          <w:tcPr>
            <w:tcW w:w="5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w:t>
            </w:r>
          </w:p>
        </w:tc>
      </w:tr>
      <w:tr>
        <w:trPr>
          <w:trHeight w:val="33"/>
        </w:trPr>
        <w:tc>
          <w:tcPr>
            <w:tcW w:w="47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income from operations for the second quarter of 2018 was $61.1 million, an increase of $9.8 million, or 19.2%, as compared to the second quarter of 2017. The increase was primarily attributable to our aviation segment, which benefited from increased activity from our government-related and international core resale businesses, partially offset by a decrease in our land segment. Within our marine segment, we experienced lower volumes in our core resale business, as a result of our decision to exit certain international locations. The declines in our marine segment were offset by lower operating expenses, from our previously commenced restructuring activities. Within our land segment, we experienced lower profitability related to our retail activities in the U.S. as compared to the comparable prior year period as a result of previously completed dispositions, which were partially offset by higher profitability from acquired businesses within Kinect.</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second quarter of 2018 were $21.2 million, an increase of $3.3 million, or 18.5%, as compared to the second quarter of 2017.</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second quarter of 2018, we had non-operating expenses, net of $19.5 million, an increase of $3.1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second quarter of 2017, driven principally by higher finance costs associated with outstanding borrowings.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For the second quarter of 2018, our effective income tax rate was 29.7% and our income tax provision was $12.4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effective income tax rate of 13.2% and an income tax provision of $4.6 million for the second quarter of 2017. The higher effective income tax rate for the second quarter of 2018 was impacted by the new provisions contained in the Tax Cuts and Jobs Act and our mix of income being generated in tax jurisdictions with varying income tax rates. The provision also includes net discrete income tax benefit totaling $3.9 million, primarily related to an adjustment for stock based compensation, an adjustment pursuant to the accounting of the Act, and changes in the valuation allowance in various jurisdictions. Without the $3.9 million in discrete items, the effective income tax rate would have been 39.2% for the second quarter of 2018.</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second quarter of 2018, net income attributable to noncontrolling interest was $0.5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$0.3 million as compared to the second quarter of 2017.</w:t>
      </w:r>
    </w:p>
    <w:p>
      <w:pPr>
        <w:spacing w:after="0" w:line="1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For the second quarter of 2018, we had net income of $28.7 million and diluted earnings per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 of $0.42 as compared to net income of $30.0 million and diluted earnings per common share of $0.44 for the second quarter of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six months of 2018 was $19.3 billion, an increase of $3.1 billion, or 18.7%, as compared to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521"/>
              <w:spacing w:after="0"/>
              <w:rPr>
                <w:sz w:val="20"/>
                <w:szCs w:val="20"/>
                <w:color w:val="auto"/>
              </w:rPr>
            </w:pPr>
            <w:r>
              <w:rPr>
                <w:rFonts w:ascii="Arial" w:cs="Arial" w:eastAsia="Arial" w:hAnsi="Arial"/>
                <w:sz w:val="14"/>
                <w:szCs w:val="14"/>
                <w:b w:val="1"/>
                <w:bCs w:val="1"/>
                <w:color w:val="auto"/>
              </w:rPr>
              <w:t>For the Six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9,193.6</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6,825.8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2,367.8</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5,820.9</w:t>
            </w:r>
          </w:p>
        </w:tc>
        <w:tc>
          <w:tcPr>
            <w:tcW w:w="4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5,347.4</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473.5</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4,317.7</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4,107.3</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210.4</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19,332.2</w:t>
            </w:r>
          </w:p>
        </w:tc>
        <w:tc>
          <w:tcPr>
            <w:tcW w:w="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16,280.4</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3,051.7</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$9.2 billion for the first six months of 2018, an increase of $2.4 billion, or 34.7%, as compared to the first six months of 2017. The increase in aviation revenues was attributable to increased volumes associated with our international core resale operations. Total volumes for the first six months of 2018 were 4.1 billion gallons, an increase of 5.0%, as compared to the comparable prior year period. The overall increase in revenue was also driven by higher average jet fuel prices per gallon sold in the first six months of 2018, where the average price per gallon sold was $2.17</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as compared to $1.65 in the first six months of 2017.</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$5.8 billion for the first six months of 2018, an increase of $0.5 billion, or 8.9%, as compared to the first six months of 2017. The overall increase in revenue was influenced by a higher average fuel price per gallon sold in the first six months of 2018, as compared to the first six months of 2017. Volumes in our land segment declined moderately, experiencing a 0.1 billion gallon volume decrease for the first six months of 2018, as compared to the first six months of 2017.</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$4.3 billion for the first six months of 2018, an increase of $0.2 billion, or 5.1%, as compared to the first six months of 2017. The increase in revenues was driven by higher average fuel prices, where we experienced a 22.5% increase in the average price per metric ton sold, to $370.2 in the first six months of 2018 as compared to $302.1 in the first six months of 2017. Volumes in our marine segment were 11.7 million metric tons, a decrease of 14.2%, for the first six months of 2018 as compared to the 2017 period, driven principally by lower volumes in our core resale operations, specifically in Asia, including our decision to exit certain marine operations.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six months of 2018 was $489.6 million, an increase of $27.2 million, or 5.9%, as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522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4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424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Aviation segment</w:t>
            </w:r>
          </w:p>
        </w:tc>
        <w:tc>
          <w:tcPr>
            <w:tcW w:w="376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237.3</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210.8</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26.5</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Land segment</w:t>
            </w:r>
          </w:p>
        </w:tc>
        <w:tc>
          <w:tcPr>
            <w:tcW w:w="3760" w:type="dxa"/>
            <w:vAlign w:val="bottom"/>
          </w:tcPr>
          <w:p>
            <w:pPr>
              <w:spacing w:after="0"/>
              <w:rPr>
                <w:sz w:val="20"/>
                <w:szCs w:val="20"/>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w w:val="94"/>
              </w:rPr>
              <w:t>190.8</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185.0</w:t>
            </w:r>
          </w:p>
        </w:tc>
        <w:tc>
          <w:tcPr>
            <w:tcW w:w="360" w:type="dxa"/>
            <w:vAlign w:val="bottom"/>
          </w:tcPr>
          <w:p>
            <w:pPr>
              <w:spacing w:after="0"/>
              <w:rPr>
                <w:sz w:val="20"/>
                <w:szCs w:val="20"/>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5.8</w:t>
            </w:r>
          </w:p>
        </w:tc>
      </w:tr>
      <w:tr>
        <w:trPr>
          <w:trHeight w:val="33"/>
        </w:trPr>
        <w:tc>
          <w:tcPr>
            <w:tcW w:w="42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Marine segment</w:t>
            </w:r>
          </w:p>
        </w:tc>
        <w:tc>
          <w:tcPr>
            <w:tcW w:w="37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61.5</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(5.1)</w:t>
            </w:r>
          </w:p>
        </w:tc>
      </w:tr>
      <w:tr>
        <w:trPr>
          <w:trHeight w:val="231"/>
        </w:trPr>
        <w:tc>
          <w:tcPr>
            <w:tcW w:w="424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tcPr>
          <w:p>
            <w:pPr>
              <w:jc w:val="right"/>
              <w:ind w:right="663"/>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94"/>
              </w:rPr>
              <w:t>489.6</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462.4</w:t>
            </w:r>
          </w:p>
        </w:tc>
        <w:tc>
          <w:tcPr>
            <w:tcW w:w="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27.2</w:t>
            </w:r>
          </w:p>
        </w:tc>
      </w:tr>
      <w:tr>
        <w:trPr>
          <w:trHeight w:val="33"/>
        </w:trPr>
        <w:tc>
          <w:tcPr>
            <w:tcW w:w="42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first six months of 2018 was $237.3 million, an increase of $26.5 million, or 12.6%, as compared to the first six months of 2017. The increase in aviation gross profit was primarily due to increased activity from our government-related business and from our international core resale operations.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land segment gross profit for the first six months of 2018 was $190.8 million, an increase of $5.8 million, or 3.1%, as compared to the first six months of 2017. The increase in land segment gross profit is primarily attributable to higher profitability within Europe, driven principally by favorable weather conditions and from increased energy consulting activity within Kinect, our global energy management services platform, which was influenced by recently acquired businesses. These increases were partially offset by lower profitability related to our retail activities within the 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marine segment gross profit for the first six months of 2018 was $61.5 million, a decrease of $5.1 million, or 7.7%, as compared to the first six months of 2017. Our marine segment continues to be adversely impacted by overall market conditions in the maritime industry. The gross profit decline was principally driven by reduced volumes in our core resale business, primarily in Asia.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six months of 2018 were $371.3 million, an increase of $10.4 million, or 2.9%,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2017. The total increase in operating expenses was primarily attributable to our acquired businesses and employee-related severance costs.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224.1</w:t>
            </w:r>
          </w:p>
        </w:tc>
        <w:tc>
          <w:tcPr>
            <w:tcW w:w="94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206.8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17.2</w:t>
            </w:r>
          </w:p>
        </w:tc>
      </w:tr>
      <w:tr>
        <w:trPr>
          <w:trHeight w:val="33"/>
        </w:trPr>
        <w:tc>
          <w:tcPr>
            <w:tcW w:w="48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143.2</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150.1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1"/>
        </w:trPr>
        <w:tc>
          <w:tcPr>
            <w:tcW w:w="48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371.3</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360.9</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484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264"/>
        </w:trPr>
        <w:tc>
          <w:tcPr>
            <w:tcW w:w="4720" w:type="dxa"/>
            <w:vAlign w:val="bottom"/>
            <w:tcBorders>
              <w:bottom w:val="single" w:sz="8" w:color="auto"/>
            </w:tcBorders>
            <w:shd w:val="clear" w:color="auto" w:fill="CCEEFF"/>
          </w:tcPr>
          <w:p>
            <w:pPr>
              <w:spacing w:after="0"/>
              <w:rPr>
                <w:sz w:val="22"/>
                <w:szCs w:val="22"/>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Aviation segment</w:t>
            </w:r>
          </w:p>
        </w:tc>
        <w:tc>
          <w:tcPr>
            <w:tcW w:w="336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112.0</w:t>
            </w:r>
          </w:p>
        </w:tc>
        <w:tc>
          <w:tcPr>
            <w:tcW w:w="92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90.2</w:t>
            </w:r>
          </w:p>
        </w:tc>
        <w:tc>
          <w:tcPr>
            <w:tcW w:w="5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21.8</w:t>
            </w:r>
          </w:p>
        </w:tc>
      </w:tr>
      <w:tr>
        <w:trPr>
          <w:trHeight w:val="33"/>
        </w:trPr>
        <w:tc>
          <w:tcPr>
            <w:tcW w:w="47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segment</w:t>
            </w:r>
          </w:p>
        </w:tc>
        <w:tc>
          <w:tcPr>
            <w:tcW w:w="3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29.9</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Marine Segment</w:t>
            </w:r>
          </w:p>
        </w:tc>
        <w:tc>
          <w:tcPr>
            <w:tcW w:w="33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16.4</w:t>
            </w:r>
          </w:p>
        </w:tc>
        <w:tc>
          <w:tcPr>
            <w:tcW w:w="9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0.9</w:t>
            </w:r>
          </w:p>
        </w:tc>
      </w:tr>
      <w:tr>
        <w:trPr>
          <w:trHeight w:val="3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158.3</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139.3</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Corporate overhead - unallocated</w:t>
            </w:r>
          </w:p>
        </w:tc>
        <w:tc>
          <w:tcPr>
            <w:tcW w:w="33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(40.0)</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(37.7)</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118.3</w:t>
            </w:r>
          </w:p>
        </w:tc>
        <w:tc>
          <w:tcPr>
            <w:tcW w:w="92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101.6</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income from operations for the first six months of 2018 was $118.3 million, an increase of $16.7 million, or 16.5%, as compared to the first six months of 2017. The increase was primarily attributable to our aviation segment, which benefited from increased activity from our government-related and international core resale business, partially offset by a decrease in our land segment. Within our marine segment, we experienced lower volumes in our core resale business, primarily in Asia, which was offset by lower operating expenses, from previously commenced restructuring activities. Within our land segment, we experienced lower profitability related to our U.S retail activities, influenced primarily by previously completed C-store dispositions in 2017, which was partially offset by higher profitability from our transaction processing activities and from activity within Europe, driven principally by favorable weather conditions.</w:t>
      </w:r>
    </w:p>
    <w:p>
      <w:pPr>
        <w:spacing w:after="0" w:line="18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six months of 2018 were $40.0 million, an increase of $2.2 million, or 5.8%, as compared to the first six months of 2017.</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six months of 2018 we had non-operating expenses, net of $38.1 million, an increase of $7.5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six months of 2017 driven principally by higher finance costs associated with outstanding borrowings.</w:t>
      </w:r>
    </w:p>
    <w:p>
      <w:pPr>
        <w:spacing w:after="0" w:line="17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For the first six months of 2018, our effective income tax rate was 24.6% and our income tax provision was $19.7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effective income tax rate of 13.5% and an income tax provision of $9.6 million for the first six months of 2017. The higher effective income tax rate for the first six months of 2018 was impacted by the new provisions contained in the Tax Cuts and Jobs Act and our mix of income being generated in tax jurisdictions with varying income tax rates. The provision also includes net discrete income tax benefits totaling $8.8 million, primarily related to an adjustment pursuant to the accounting for the Act, an adjustment for stock based compensation and changes in the valuation allowance in various jurisdictions. Without the $8.8 million in discrete items, the effective income tax rate would have been 35.6% for the first six months of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six months of 2018, net income attributable to noncontrolling interest was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$0.6 million as compared to the first six months of 2017.</w:t>
      </w:r>
    </w:p>
    <w:p>
      <w:pPr>
        <w:spacing w:after="0" w:line="170"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For the first six months of 2018 we had net income of $59.9 million and diluted earnings per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 of $0.88 as compared to net income of $61.4 million and diluted earnings per common share of $0.89 for the first six months of 2017.</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changes in fuel prices. Availability under our Credit Facility is also limited by, among other things our financial leverage ratio, which limits the total amount of indebtedness we may incur, and may therefore fluctuate from period to period.</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the current fuel price environment, cash and liquidity remains a significant priority for us.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rising fuel prices may reduce the amount of fuel which we can purchase on an unsecured basis, and in certain cases we may be required to prepay fuel purchases, which would negatively impact our liquidity. Fuel price increases may also negatively impact our customers, whereby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cash and cash equivalents as of June 30, 2018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six months ended June 30, 2018 and 2017 (in millions). For additional details, please see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20" w:type="dxa"/>
            <w:vAlign w:val="bottom"/>
            <w:gridSpan w:val="2"/>
          </w:tcPr>
          <w:p>
            <w:pPr>
              <w:jc w:val="center"/>
              <w:ind w:right="283"/>
              <w:spacing w:after="0"/>
              <w:rPr>
                <w:sz w:val="20"/>
                <w:szCs w:val="20"/>
                <w:color w:val="auto"/>
              </w:rPr>
            </w:pPr>
            <w:r>
              <w:rPr>
                <w:rFonts w:ascii="Arial" w:cs="Arial" w:eastAsia="Arial" w:hAnsi="Arial"/>
                <w:sz w:val="14"/>
                <w:szCs w:val="14"/>
                <w:b w:val="1"/>
                <w:bCs w:val="1"/>
                <w:color w:val="auto"/>
                <w:w w:val="93"/>
              </w:rPr>
              <w:t>For the Six Months Ended</w:t>
            </w:r>
          </w:p>
        </w:tc>
        <w:tc>
          <w:tcPr>
            <w:tcW w:w="64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ind w:right="323"/>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108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(228.6)</w:t>
            </w:r>
          </w:p>
        </w:tc>
        <w:tc>
          <w:tcPr>
            <w:tcW w:w="124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080" w:type="dxa"/>
            <w:vAlign w:val="bottom"/>
          </w:tcPr>
          <w:p>
            <w:pPr>
              <w:spacing w:after="0"/>
              <w:rPr>
                <w:sz w:val="20"/>
                <w:szCs w:val="20"/>
                <w:color w:val="auto"/>
              </w:rPr>
            </w:pP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199.5</w:t>
            </w:r>
          </w:p>
        </w:tc>
        <w:tc>
          <w:tcPr>
            <w:tcW w:w="1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36.0</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(154.7)</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adoption of ASU 2016-15 resulted in operating cash flow decreases and investing cash flow increases of $241.9 million and $156.4 million for the six months ended June 30, 2018 and 2017, respectively.</w:t>
      </w:r>
    </w:p>
    <w:p>
      <w:pPr>
        <w:spacing w:after="0" w:line="1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first six months of 2018, net cash used in operating activities was $228.6 million as compared to net cash used in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of $0.6 million for the first six months of 2017. The $228.0 million change in operating cash flows was principally due to year-over-year changes in accounts receivables, accounts payable and inventory. The impact to accounts receivable and accounts payable was primarily associated with higher fuel prices and the timing of collections and payments. Cash flows from inventory decreased $71.9 million as a result of strategic and seasonal inventory purchases and higher average fuel prices during the period. At the beginning of 2018, accounting standards update 2016-15 (“ASU 2016-15”) was effective for us and provides revised guidance on the presentation of certain items, including those associated with retained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 interests in accounts receivable sale programs. We have Receivables Purchase Agreements (“RPAs”) with Wells Fargo and Citibank, where we sell 100% of outstanding qualifying accounts receivable balances, and receive cash consideration equal to either 90% or 94% of the total balance, depending on the customer, less a discount margin equivalent to LIBOR plus 1% to 3%. Under the terms of the RPAs, we are also entitled to retained beneficial interests, which gives us the right to receive additional cash consideration of either 10% or 6%, as applicable. Under the revised guidance, cash inflows attributable to held beneficial interests are no longer treated as a component of accounts receivables, net in operating activities, but instead are classified separately as an investing activity.</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For the first six months of 2018, net cash provided by investing activities was $199.5 million as compared to net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of $36.0 million for the first six months of 2017. The $163.5 million increase in cash provided by investing activities was principally due to decreased cash used for the acquisition of businesses and increased cash receipts of retained beneficial interests in receivables sales.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first six months of 2018, net cash used in financing activities was $154.7 million as compared to net cash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$163.7 million for the first six months of 2017. The $9.0 million change was due to a $25.3 million increase in net repayments of debt under our credit facility in the first six months of 2018 as compared to the first six months of 2017 and $31.9 million in cash used for common stock repurchases in the first six months of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June 30, 2018 and December 31, 2017, we had cash and cash equivalents of $187.6 million and $372.3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On January 30, 2018, we amended our Credit Facility and elected to prepay $300.0 million of our outstanding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Loans and decrease the borrowing capacity of our Credit Facility to $1.16 billion.We had $527.4 million and $835.8 million in Term Loans outstanding as of June 30, 2018 and December 31, 2017, respectively. Our Credit Facility includes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$225.0 million and $60.0 million as of June 30, 2018 and December 31, 2017, respectively. Our issued letters of credit under the Credit Facility totaled $3.2 million and $8.6 million as of June 30, 2018 and December 31, 2017, respectively. As of June 30, 2018 and December 31, 2017, the unused portion of our Credit Facility was $931.8 million and $1.19 billion, respectively.</w:t>
      </w:r>
    </w:p>
    <w:p>
      <w:pPr>
        <w:spacing w:after="0" w:line="17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June 30, 2018, we were in compliance with all financial covenants contained in our Credit Facility and our Term Loans.</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June 30, 2018 and December 31, 2017, our outstanding letters of credit and bank guarantees under these credit lines totaled $292.5 million and $272.0 million, respectively. We also have RPAs that allow for the sale of up to an aggregate of $500.0 million of our accounts receivable. Our sold accounts receivable under the RPAs was $446.8 million and $377.3 million, as of June 30, 2018 and December 31, 2017,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June 30, 2018, our short-term debt of $33.7 million primarily represents the current maturities (within the next twelve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borrowings, certain promissory notes related to acquisitions and capital lease obligations.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2017 to June 30, 2018. For a discussion of these matters, refer to “Contractual Obligations and Off-Balance Sheet Arrangements” in Item 7 of our 2017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June 30, 2018, our net derivative obligations were $110.6 million, principally due within one year.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June 30, 2018, fixed purchase commitments under our derivative programs amounted to $207.8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letters of credit expire within one year from their issuance, and expired letters of credit are renewed as needed. As of June 30, 2018, we had issued letters of credit and bank guarantees totaling $295.7 million under our Credit Facility and other uncommitted credit lines. For additional information on our Credit Facility and other credit lines, see the discussion in “Liquidity and Capital Resources” above.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Basis of Presentation and Significant Accounting Policies, in the “Notes to the Consolidated Financial Statements” in this 10-Q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June 30, 2018, see Notes to the Consolidated Financial Statements – </w:t>
      </w:r>
      <w:r>
        <w:rPr>
          <w:rFonts w:ascii="Arial" w:cs="Arial" w:eastAsia="Arial" w:hAnsi="Arial"/>
          <w:sz w:val="18"/>
          <w:szCs w:val="18"/>
          <w:i w:val="1"/>
          <w:iCs w:val="1"/>
          <w:color w:val="auto"/>
        </w:rPr>
        <w:t>Note 3.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2017. Please refer to our 2017 10-K Report for a complete discussion of our exposure to these risks.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2018.</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June 30, 2018.</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July 20, 2016, we were informed that the U.S. Department of Justice (the “DOJ”) is conducting an investigation into the aviation fuel supply industry, including certain activities by us and other industry participants at an airport in Central America. In connection therewith, we were served with formal requests by the DOJ about its activities at that airport and its aviation fuel supply business more broadly. We are cooperating with the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U.S., Brazil, Denmark and South Korea, where the amounts under controversy may be material. See Notes 7 and 11 of the accompanying consolidated financial statements for additional details regarding certain tax matters.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June 30, 2018 (in thousands, except average price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20" w:type="dxa"/>
            <w:vAlign w:val="bottom"/>
          </w:tcPr>
          <w:p>
            <w:pPr>
              <w:jc w:val="center"/>
              <w:ind w:left="868"/>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4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5"/>
              </w:rPr>
              <w:t>Total Number</w:t>
            </w:r>
          </w:p>
        </w:tc>
        <w:tc>
          <w:tcPr>
            <w:tcW w:w="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2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of Shares Purchased</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Average Price</w:t>
            </w:r>
          </w:p>
        </w:tc>
        <w:tc>
          <w:tcPr>
            <w:tcW w:w="232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87"/>
              </w:rPr>
              <w:t>of Shares</w:t>
            </w:r>
          </w:p>
        </w:tc>
        <w:tc>
          <w:tcPr>
            <w:tcW w:w="4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32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7"/>
                <w:szCs w:val="7"/>
                <w:b w:val="1"/>
                <w:bCs w:val="1"/>
                <w:color w:val="auto"/>
                <w:w w:val="90"/>
              </w:rPr>
              <w:t>(1)</w:t>
            </w: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Paid Per Share</w:t>
            </w:r>
          </w:p>
        </w:tc>
        <w:tc>
          <w:tcPr>
            <w:tcW w:w="232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3"/>
              </w:rPr>
              <w:t>or Programs</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7"/>
                <w:szCs w:val="7"/>
                <w:b w:val="1"/>
                <w:bCs w:val="1"/>
                <w:color w:val="auto"/>
                <w:w w:val="92"/>
              </w:rPr>
              <w:t>(2)</w:t>
            </w: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4/1/2018 - 4/30/2018</w:t>
            </w:r>
          </w:p>
        </w:tc>
        <w:tc>
          <w:tcPr>
            <w:tcW w:w="2140" w:type="dxa"/>
            <w:vAlign w:val="bottom"/>
            <w:shd w:val="clear" w:color="auto" w:fill="CCEEFF"/>
          </w:tcPr>
          <w:p>
            <w:pPr>
              <w:spacing w:after="0"/>
              <w:rPr>
                <w:sz w:val="23"/>
                <w:szCs w:val="23"/>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ind w:right="18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color w:val="auto"/>
              </w:rPr>
              <w:t>5/1/2018 - 5/31/2018</w:t>
            </w:r>
          </w:p>
        </w:tc>
        <w:tc>
          <w:tcPr>
            <w:tcW w:w="214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auto"/>
              </w:rPr>
              <w:t>29</w:t>
            </w:r>
          </w:p>
        </w:tc>
        <w:tc>
          <w:tcPr>
            <w:tcW w:w="1660" w:type="dxa"/>
            <w:vAlign w:val="bottom"/>
          </w:tcPr>
          <w:p>
            <w:pPr>
              <w:spacing w:after="0"/>
              <w:rPr>
                <w:sz w:val="22"/>
                <w:szCs w:val="22"/>
                <w:color w:val="auto"/>
              </w:rPr>
            </w:pPr>
          </w:p>
        </w:tc>
        <w:tc>
          <w:tcPr>
            <w:tcW w:w="2320" w:type="dxa"/>
            <w:vAlign w:val="bottom"/>
          </w:tcPr>
          <w:p>
            <w:pPr>
              <w:jc w:val="right"/>
              <w:ind w:right="1848"/>
              <w:spacing w:after="0"/>
              <w:rPr>
                <w:sz w:val="20"/>
                <w:szCs w:val="20"/>
                <w:color w:val="auto"/>
              </w:rPr>
            </w:pPr>
            <w:r>
              <w:rPr>
                <w:rFonts w:ascii="Arial" w:cs="Arial" w:eastAsia="Arial" w:hAnsi="Arial"/>
                <w:sz w:val="14"/>
                <w:szCs w:val="14"/>
                <w:color w:val="auto"/>
              </w:rPr>
              <w:t>22.83</w:t>
            </w:r>
          </w:p>
        </w:tc>
        <w:tc>
          <w:tcPr>
            <w:tcW w:w="34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6/1/2018 - 6/30/2018</w:t>
            </w:r>
          </w:p>
        </w:tc>
        <w:tc>
          <w:tcPr>
            <w:tcW w:w="21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shd w:val="clear" w:color="auto" w:fill="CCEEFF"/>
          </w:tcPr>
          <w:p>
            <w:pPr>
              <w:jc w:val="right"/>
              <w:ind w:right="18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2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29</w:t>
            </w:r>
          </w:p>
        </w:tc>
        <w:tc>
          <w:tcPr>
            <w:tcW w:w="16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tcPr>
          <w:p>
            <w:pPr>
              <w:jc w:val="right"/>
              <w:ind w:right="1848"/>
              <w:spacing w:after="0"/>
              <w:rPr>
                <w:sz w:val="20"/>
                <w:szCs w:val="20"/>
                <w:color w:val="auto"/>
              </w:rPr>
            </w:pPr>
            <w:r>
              <w:rPr>
                <w:rFonts w:ascii="Arial" w:cs="Arial" w:eastAsia="Arial" w:hAnsi="Arial"/>
                <w:sz w:val="14"/>
                <w:szCs w:val="14"/>
                <w:color w:val="auto"/>
              </w:rPr>
              <w:t>22.83</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64"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40" w:lineRule="exact"/>
        <w:rPr>
          <w:rFonts w:ascii="Arial" w:cs="Arial" w:eastAsia="Arial" w:hAnsi="Arial"/>
          <w:sz w:val="18"/>
          <w:szCs w:val="18"/>
          <w:color w:val="auto"/>
        </w:rPr>
      </w:pPr>
    </w:p>
    <w:p>
      <w:pPr>
        <w:ind w:left="340" w:hanging="332"/>
        <w:spacing w:after="0" w:line="297" w:lineRule="auto"/>
        <w:tabs>
          <w:tab w:leader="none" w:pos="27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June 30, 2018, $100.0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196" w:lineRule="exact"/>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37" w:lineRule="exact"/>
        <w:rPr>
          <w:sz w:val="20"/>
          <w:szCs w:val="20"/>
          <w:color w:val="auto"/>
        </w:rPr>
      </w:pPr>
    </w:p>
    <w:p>
      <w:pPr>
        <w:jc w:val="both"/>
        <w:ind w:left="1980" w:right="20" w:hanging="1357"/>
        <w:spacing w:after="0" w:line="259"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June 30, 2018,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July 27, 2018</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2018</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2018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emdash "/>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2019-12-28T20:22:31Z</dcterms:created>
  <dcterms:modified xsi:type="dcterms:W3CDTF">2019-12-28T20:22:31Z</dcterms:modified>
</cp:coreProperties>
</file>