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t>UNITED STATES</w:t>
      </w:r>
    </w:p>
    <w:p>
      <w:pPr>
        <w:spacing w:after="0" w:line="24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2813685</wp:posOffset>
            </wp:positionH>
            <wp:positionV relativeFrom="paragraph">
              <wp:posOffset>290195</wp:posOffset>
            </wp:positionV>
            <wp:extent cx="162877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2877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w:t>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2813685</wp:posOffset>
            </wp:positionH>
            <wp:positionV relativeFrom="paragraph">
              <wp:posOffset>290195</wp:posOffset>
            </wp:positionV>
            <wp:extent cx="162877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2877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May 8, 2019</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WORLD FUEL SERVICES CORPORATION</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62" w:lineRule="exact"/>
        <w:rPr>
          <w:sz w:val="24"/>
          <w:szCs w:val="24"/>
          <w:color w:val="auto"/>
        </w:rPr>
      </w:pPr>
    </w:p>
    <w:tbl>
      <w:tblPr>
        <w:tblLayout w:type="fixed"/>
        <w:tblInd w:w="840" w:type="dxa"/>
        <w:tblCellMar>
          <w:top w:w="0" w:type="dxa"/>
          <w:left w:w="0" w:type="dxa"/>
          <w:bottom w:w="0" w:type="dxa"/>
          <w:right w:w="0" w:type="dxa"/>
        </w:tblCellMar>
      </w:tblPr>
      <w:tr>
        <w:trPr>
          <w:trHeight w:val="234"/>
        </w:trPr>
        <w:tc>
          <w:tcPr>
            <w:tcW w:w="2140" w:type="dxa"/>
            <w:vAlign w:val="bottom"/>
          </w:tcPr>
          <w:p>
            <w:pPr>
              <w:jc w:val="center"/>
              <w:spacing w:after="0"/>
              <w:rPr>
                <w:sz w:val="20"/>
                <w:szCs w:val="20"/>
                <w:color w:val="auto"/>
              </w:rPr>
            </w:pPr>
            <w:r>
              <w:rPr>
                <w:rFonts w:ascii="Arial" w:cs="Arial" w:eastAsia="Arial" w:hAnsi="Arial"/>
                <w:sz w:val="18"/>
                <w:szCs w:val="18"/>
                <w:b w:val="1"/>
                <w:bCs w:val="1"/>
                <w:color w:val="auto"/>
                <w:w w:val="96"/>
              </w:rPr>
              <w:t>Florida</w:t>
            </w:r>
          </w:p>
        </w:tc>
        <w:tc>
          <w:tcPr>
            <w:tcW w:w="4640" w:type="dxa"/>
            <w:vAlign w:val="bottom"/>
          </w:tcPr>
          <w:p>
            <w:pPr>
              <w:jc w:val="center"/>
              <w:ind w:left="750"/>
              <w:spacing w:after="0"/>
              <w:rPr>
                <w:sz w:val="20"/>
                <w:szCs w:val="20"/>
                <w:color w:val="auto"/>
              </w:rPr>
            </w:pPr>
            <w:r>
              <w:rPr>
                <w:rFonts w:ascii="Arial" w:cs="Arial" w:eastAsia="Arial" w:hAnsi="Arial"/>
                <w:sz w:val="18"/>
                <w:szCs w:val="18"/>
                <w:b w:val="1"/>
                <w:bCs w:val="1"/>
                <w:color w:val="auto"/>
                <w:w w:val="92"/>
              </w:rPr>
              <w:t>1-9533</w:t>
            </w:r>
          </w:p>
        </w:tc>
        <w:tc>
          <w:tcPr>
            <w:tcW w:w="2580" w:type="dxa"/>
            <w:vAlign w:val="bottom"/>
          </w:tcPr>
          <w:p>
            <w:pPr>
              <w:jc w:val="right"/>
              <w:ind w:right="130"/>
              <w:spacing w:after="0"/>
              <w:rPr>
                <w:sz w:val="20"/>
                <w:szCs w:val="20"/>
                <w:color w:val="auto"/>
              </w:rPr>
            </w:pPr>
            <w:r>
              <w:rPr>
                <w:rFonts w:ascii="Arial" w:cs="Arial" w:eastAsia="Arial" w:hAnsi="Arial"/>
                <w:sz w:val="18"/>
                <w:szCs w:val="18"/>
                <w:b w:val="1"/>
                <w:bCs w:val="1"/>
                <w:color w:val="auto"/>
              </w:rPr>
              <w:t>59-2459427</w:t>
            </w:r>
          </w:p>
        </w:tc>
      </w:tr>
      <w:tr>
        <w:trPr>
          <w:trHeight w:val="229"/>
        </w:trPr>
        <w:tc>
          <w:tcPr>
            <w:tcW w:w="2140" w:type="dxa"/>
            <w:vAlign w:val="bottom"/>
          </w:tcPr>
          <w:p>
            <w:pPr>
              <w:jc w:val="center"/>
              <w:spacing w:after="0"/>
              <w:rPr>
                <w:sz w:val="20"/>
                <w:szCs w:val="20"/>
                <w:color w:val="auto"/>
              </w:rPr>
            </w:pPr>
            <w:r>
              <w:rPr>
                <w:rFonts w:ascii="Arial" w:cs="Arial" w:eastAsia="Arial" w:hAnsi="Arial"/>
                <w:sz w:val="18"/>
                <w:szCs w:val="18"/>
                <w:color w:val="auto"/>
                <w:w w:val="93"/>
              </w:rPr>
              <w:t>(State or other jurisdiction of</w:t>
            </w:r>
          </w:p>
        </w:tc>
        <w:tc>
          <w:tcPr>
            <w:tcW w:w="4640" w:type="dxa"/>
            <w:vAlign w:val="bottom"/>
          </w:tcPr>
          <w:p>
            <w:pPr>
              <w:jc w:val="center"/>
              <w:ind w:left="730"/>
              <w:spacing w:after="0"/>
              <w:rPr>
                <w:sz w:val="20"/>
                <w:szCs w:val="20"/>
                <w:color w:val="auto"/>
              </w:rPr>
            </w:pPr>
            <w:r>
              <w:rPr>
                <w:rFonts w:ascii="Arial" w:cs="Arial" w:eastAsia="Arial" w:hAnsi="Arial"/>
                <w:sz w:val="18"/>
                <w:szCs w:val="18"/>
                <w:color w:val="auto"/>
                <w:w w:val="93"/>
              </w:rPr>
              <w:t>(Commission File</w:t>
            </w:r>
          </w:p>
        </w:tc>
        <w:tc>
          <w:tcPr>
            <w:tcW w:w="2580" w:type="dxa"/>
            <w:vAlign w:val="bottom"/>
          </w:tcPr>
          <w:p>
            <w:pPr>
              <w:jc w:val="center"/>
              <w:ind w:left="1170"/>
              <w:spacing w:after="0"/>
              <w:rPr>
                <w:sz w:val="20"/>
                <w:szCs w:val="20"/>
                <w:color w:val="auto"/>
              </w:rPr>
            </w:pPr>
            <w:r>
              <w:rPr>
                <w:rFonts w:ascii="Arial" w:cs="Arial" w:eastAsia="Arial" w:hAnsi="Arial"/>
                <w:sz w:val="18"/>
                <w:szCs w:val="18"/>
                <w:color w:val="auto"/>
                <w:w w:val="93"/>
              </w:rPr>
              <w:t>(I.R.S. Employer</w:t>
            </w:r>
          </w:p>
        </w:tc>
      </w:tr>
      <w:tr>
        <w:trPr>
          <w:trHeight w:val="230"/>
        </w:trPr>
        <w:tc>
          <w:tcPr>
            <w:tcW w:w="2140" w:type="dxa"/>
            <w:vAlign w:val="bottom"/>
          </w:tcPr>
          <w:p>
            <w:pPr>
              <w:jc w:val="center"/>
              <w:spacing w:after="0"/>
              <w:rPr>
                <w:sz w:val="20"/>
                <w:szCs w:val="20"/>
                <w:color w:val="auto"/>
              </w:rPr>
            </w:pPr>
            <w:r>
              <w:rPr>
                <w:rFonts w:ascii="Arial" w:cs="Arial" w:eastAsia="Arial" w:hAnsi="Arial"/>
                <w:sz w:val="18"/>
                <w:szCs w:val="18"/>
                <w:color w:val="auto"/>
                <w:w w:val="92"/>
              </w:rPr>
              <w:t>incorporation)</w:t>
            </w:r>
          </w:p>
        </w:tc>
        <w:tc>
          <w:tcPr>
            <w:tcW w:w="4640" w:type="dxa"/>
            <w:vAlign w:val="bottom"/>
          </w:tcPr>
          <w:p>
            <w:pPr>
              <w:jc w:val="center"/>
              <w:ind w:left="730"/>
              <w:spacing w:after="0"/>
              <w:rPr>
                <w:sz w:val="20"/>
                <w:szCs w:val="20"/>
                <w:color w:val="auto"/>
              </w:rPr>
            </w:pPr>
            <w:r>
              <w:rPr>
                <w:rFonts w:ascii="Arial" w:cs="Arial" w:eastAsia="Arial" w:hAnsi="Arial"/>
                <w:sz w:val="18"/>
                <w:szCs w:val="18"/>
                <w:color w:val="auto"/>
                <w:w w:val="94"/>
              </w:rPr>
              <w:t>Number)</w:t>
            </w:r>
          </w:p>
        </w:tc>
        <w:tc>
          <w:tcPr>
            <w:tcW w:w="2580" w:type="dxa"/>
            <w:vAlign w:val="bottom"/>
          </w:tcPr>
          <w:p>
            <w:pPr>
              <w:jc w:val="center"/>
              <w:ind w:left="1150"/>
              <w:spacing w:after="0"/>
              <w:rPr>
                <w:sz w:val="20"/>
                <w:szCs w:val="20"/>
                <w:color w:val="auto"/>
              </w:rPr>
            </w:pPr>
            <w:r>
              <w:rPr>
                <w:rFonts w:ascii="Arial" w:cs="Arial" w:eastAsia="Arial" w:hAnsi="Arial"/>
                <w:sz w:val="18"/>
                <w:szCs w:val="18"/>
                <w:color w:val="auto"/>
                <w:w w:val="95"/>
              </w:rPr>
              <w:t>Identification No.)</w:t>
            </w:r>
          </w:p>
        </w:tc>
      </w:tr>
      <w:tr>
        <w:trPr>
          <w:trHeight w:val="941"/>
        </w:trPr>
        <w:tc>
          <w:tcPr>
            <w:tcW w:w="2140" w:type="dxa"/>
            <w:vAlign w:val="bottom"/>
          </w:tcPr>
          <w:p>
            <w:pPr>
              <w:spacing w:after="0"/>
              <w:rPr>
                <w:sz w:val="24"/>
                <w:szCs w:val="24"/>
                <w:color w:val="auto"/>
              </w:rPr>
            </w:pPr>
          </w:p>
        </w:tc>
        <w:tc>
          <w:tcPr>
            <w:tcW w:w="4640" w:type="dxa"/>
            <w:vAlign w:val="bottom"/>
          </w:tcPr>
          <w:p>
            <w:pPr>
              <w:jc w:val="center"/>
              <w:ind w:right="2850"/>
              <w:spacing w:after="0"/>
              <w:rPr>
                <w:sz w:val="20"/>
                <w:szCs w:val="20"/>
                <w:color w:val="auto"/>
              </w:rPr>
            </w:pPr>
            <w:r>
              <w:rPr>
                <w:rFonts w:ascii="Arial" w:cs="Arial" w:eastAsia="Arial" w:hAnsi="Arial"/>
                <w:sz w:val="18"/>
                <w:szCs w:val="18"/>
                <w:b w:val="1"/>
                <w:bCs w:val="1"/>
                <w:color w:val="auto"/>
                <w:w w:val="88"/>
              </w:rPr>
              <w:t>9800 N.W. 41</w:t>
            </w:r>
            <w:r>
              <w:rPr>
                <w:rFonts w:ascii="Arial" w:cs="Arial" w:eastAsia="Arial" w:hAnsi="Arial"/>
                <w:sz w:val="30"/>
                <w:szCs w:val="30"/>
                <w:b w:val="1"/>
                <w:bCs w:val="1"/>
                <w:color w:val="auto"/>
                <w:w w:val="88"/>
                <w:vertAlign w:val="superscript"/>
              </w:rPr>
              <w:t>st</w:t>
            </w:r>
            <w:r>
              <w:rPr>
                <w:rFonts w:ascii="Arial" w:cs="Arial" w:eastAsia="Arial" w:hAnsi="Arial"/>
                <w:sz w:val="18"/>
                <w:szCs w:val="18"/>
                <w:b w:val="1"/>
                <w:bCs w:val="1"/>
                <w:color w:val="auto"/>
                <w:w w:val="88"/>
              </w:rPr>
              <w:t xml:space="preserve"> Street</w:t>
            </w:r>
          </w:p>
        </w:tc>
        <w:tc>
          <w:tcPr>
            <w:tcW w:w="2580" w:type="dxa"/>
            <w:vAlign w:val="bottom"/>
          </w:tcPr>
          <w:p>
            <w:pPr>
              <w:spacing w:after="0"/>
              <w:rPr>
                <w:sz w:val="24"/>
                <w:szCs w:val="24"/>
                <w:color w:val="auto"/>
              </w:rPr>
            </w:pPr>
          </w:p>
        </w:tc>
      </w:tr>
      <w:tr>
        <w:trPr>
          <w:trHeight w:val="234"/>
        </w:trPr>
        <w:tc>
          <w:tcPr>
            <w:tcW w:w="2140" w:type="dxa"/>
            <w:vAlign w:val="bottom"/>
          </w:tcPr>
          <w:p>
            <w:pPr>
              <w:spacing w:after="0"/>
              <w:rPr>
                <w:sz w:val="20"/>
                <w:szCs w:val="20"/>
                <w:color w:val="auto"/>
              </w:rPr>
            </w:pPr>
          </w:p>
        </w:tc>
        <w:tc>
          <w:tcPr>
            <w:tcW w:w="4640" w:type="dxa"/>
            <w:vAlign w:val="bottom"/>
          </w:tcPr>
          <w:p>
            <w:pPr>
              <w:jc w:val="center"/>
              <w:ind w:right="2850"/>
              <w:spacing w:after="0"/>
              <w:rPr>
                <w:sz w:val="20"/>
                <w:szCs w:val="20"/>
                <w:color w:val="auto"/>
              </w:rPr>
            </w:pPr>
            <w:r>
              <w:rPr>
                <w:rFonts w:ascii="Arial" w:cs="Arial" w:eastAsia="Arial" w:hAnsi="Arial"/>
                <w:sz w:val="18"/>
                <w:szCs w:val="18"/>
                <w:b w:val="1"/>
                <w:bCs w:val="1"/>
                <w:color w:val="auto"/>
                <w:w w:val="98"/>
              </w:rPr>
              <w:t>Miami, FL</w:t>
            </w:r>
          </w:p>
        </w:tc>
        <w:tc>
          <w:tcPr>
            <w:tcW w:w="2580" w:type="dxa"/>
            <w:vAlign w:val="bottom"/>
          </w:tcPr>
          <w:p>
            <w:pPr>
              <w:jc w:val="right"/>
              <w:ind w:right="350"/>
              <w:spacing w:after="0"/>
              <w:rPr>
                <w:sz w:val="20"/>
                <w:szCs w:val="20"/>
                <w:color w:val="auto"/>
              </w:rPr>
            </w:pPr>
            <w:r>
              <w:rPr>
                <w:rFonts w:ascii="Arial" w:cs="Arial" w:eastAsia="Arial" w:hAnsi="Arial"/>
                <w:sz w:val="18"/>
                <w:szCs w:val="18"/>
                <w:b w:val="1"/>
                <w:bCs w:val="1"/>
                <w:color w:val="auto"/>
              </w:rPr>
              <w:t>33178</w:t>
            </w:r>
          </w:p>
        </w:tc>
      </w:tr>
      <w:tr>
        <w:trPr>
          <w:trHeight w:val="243"/>
        </w:trPr>
        <w:tc>
          <w:tcPr>
            <w:tcW w:w="6780" w:type="dxa"/>
            <w:vAlign w:val="bottom"/>
            <w:gridSpan w:val="2"/>
          </w:tcPr>
          <w:p>
            <w:pPr>
              <w:jc w:val="center"/>
              <w:ind w:right="710"/>
              <w:spacing w:after="0"/>
              <w:rPr>
                <w:sz w:val="20"/>
                <w:szCs w:val="20"/>
                <w:color w:val="auto"/>
              </w:rPr>
            </w:pPr>
            <w:r>
              <w:rPr>
                <w:rFonts w:ascii="Arial" w:cs="Arial" w:eastAsia="Arial" w:hAnsi="Arial"/>
                <w:sz w:val="18"/>
                <w:szCs w:val="18"/>
                <w:color w:val="auto"/>
                <w:w w:val="92"/>
              </w:rPr>
              <w:t>(Address of principal executive offices)</w:t>
            </w:r>
          </w:p>
        </w:tc>
        <w:tc>
          <w:tcPr>
            <w:tcW w:w="2580" w:type="dxa"/>
            <w:vAlign w:val="bottom"/>
          </w:tcPr>
          <w:p>
            <w:pPr>
              <w:jc w:val="center"/>
              <w:ind w:left="1170"/>
              <w:spacing w:after="0"/>
              <w:rPr>
                <w:sz w:val="20"/>
                <w:szCs w:val="20"/>
                <w:color w:val="auto"/>
              </w:rPr>
            </w:pPr>
            <w:r>
              <w:rPr>
                <w:rFonts w:ascii="Arial" w:cs="Arial" w:eastAsia="Arial" w:hAnsi="Arial"/>
                <w:sz w:val="18"/>
                <w:szCs w:val="18"/>
                <w:color w:val="auto"/>
                <w:w w:val="94"/>
              </w:rPr>
              <w:t>(Zip Code)</w:t>
            </w:r>
          </w:p>
        </w:tc>
      </w:tr>
    </w:tbl>
    <w:p>
      <w:pPr>
        <w:spacing w:after="0" w:line="200" w:lineRule="exact"/>
        <w:rPr>
          <w:sz w:val="24"/>
          <w:szCs w:val="24"/>
          <w:color w:val="auto"/>
        </w:rPr>
      </w:pPr>
    </w:p>
    <w:p>
      <w:pPr>
        <w:spacing w:after="0" w:line="25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(305) 428-8000</w:t>
      </w:r>
    </w:p>
    <w:p>
      <w:pPr>
        <w:spacing w:after="0" w:line="229"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18" w:lineRule="exact"/>
        <w:rPr>
          <w:sz w:val="24"/>
          <w:szCs w:val="24"/>
          <w:color w:val="auto"/>
        </w:rPr>
      </w:pPr>
    </w:p>
    <w:p>
      <w:pPr>
        <w:ind w:right="80"/>
        <w:spacing w:after="0" w:line="328" w:lineRule="auto"/>
        <w:rPr>
          <w:sz w:val="20"/>
          <w:szCs w:val="20"/>
          <w:color w:val="auto"/>
        </w:rPr>
      </w:pPr>
      <w:r>
        <w:rPr>
          <w:rFonts w:ascii="Arial" w:cs="Arial" w:eastAsia="Arial" w:hAnsi="Arial"/>
          <w:sz w:val="19"/>
          <w:szCs w:val="19"/>
          <w:color w:val="auto"/>
        </w:rPr>
        <w:t>Indicate by check mark whether the registrant is an emerging growth company as defined in Rule 405 of the Securities Act of 1933 (Â§230.405 of this chapter) or Rule 12b-2 of the Securities Exchange Act of 1934 (Â§240.12b-2 of this chapter).</w:t>
      </w:r>
    </w:p>
    <w:p>
      <w:pPr>
        <w:spacing w:after="0" w:line="105" w:lineRule="exact"/>
        <w:rPr>
          <w:sz w:val="24"/>
          <w:szCs w:val="24"/>
          <w:color w:val="auto"/>
        </w:rPr>
      </w:pPr>
    </w:p>
    <w:p>
      <w:pPr>
        <w:ind w:left="8700"/>
        <w:spacing w:after="0"/>
        <w:rPr>
          <w:sz w:val="20"/>
          <w:szCs w:val="20"/>
          <w:color w:val="auto"/>
        </w:rPr>
      </w:pPr>
      <w:r>
        <w:rPr>
          <w:rFonts w:ascii="Arial" w:cs="Arial" w:eastAsia="Arial" w:hAnsi="Arial"/>
          <w:sz w:val="19"/>
          <w:szCs w:val="19"/>
          <w:color w:val="auto"/>
        </w:rPr>
        <w:t>Emerging growth company [  ]</w:t>
      </w:r>
    </w:p>
    <w:p>
      <w:pPr>
        <w:spacing w:after="0" w:line="241" w:lineRule="exact"/>
        <w:rPr>
          <w:sz w:val="24"/>
          <w:szCs w:val="24"/>
          <w:color w:val="auto"/>
        </w:rPr>
      </w:pPr>
    </w:p>
    <w:p>
      <w:pPr>
        <w:jc w:val="both"/>
        <w:ind w:right="320"/>
        <w:spacing w:after="0" w:line="328" w:lineRule="auto"/>
        <w:rPr>
          <w:sz w:val="20"/>
          <w:szCs w:val="20"/>
          <w:color w:val="auto"/>
        </w:rPr>
      </w:pPr>
      <w:r>
        <w:rPr>
          <w:rFonts w:ascii="Arial" w:cs="Arial" w:eastAsia="Arial" w:hAnsi="Arial"/>
          <w:sz w:val="19"/>
          <w:szCs w:val="19"/>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105" w:lineRule="exact"/>
        <w:rPr>
          <w:sz w:val="24"/>
          <w:szCs w:val="24"/>
          <w:color w:val="auto"/>
        </w:rPr>
      </w:pPr>
    </w:p>
    <w:p>
      <w:pPr>
        <w:spacing w:after="0"/>
        <w:rPr>
          <w:sz w:val="20"/>
          <w:szCs w:val="20"/>
          <w:color w:val="auto"/>
        </w:rPr>
      </w:pPr>
      <w:r>
        <w:rPr>
          <w:rFonts w:ascii="Arial" w:cs="Arial" w:eastAsia="Arial" w:hAnsi="Arial"/>
          <w:sz w:val="22"/>
          <w:szCs w:val="22"/>
          <w:color w:val="auto"/>
        </w:rPr>
        <w:t>Securities registered pursuant to Section 12(b) of the Act:</w:t>
      </w:r>
    </w:p>
    <w:p>
      <w:pPr>
        <w:spacing w:after="0" w:line="210"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360" w:type="dxa"/>
            <w:vAlign w:val="bottom"/>
          </w:tcPr>
          <w:p>
            <w:pPr>
              <w:spacing w:after="0"/>
              <w:rPr>
                <w:sz w:val="20"/>
                <w:szCs w:val="20"/>
                <w:color w:val="auto"/>
              </w:rPr>
            </w:pPr>
            <w:r>
              <w:rPr>
                <w:rFonts w:ascii="Arial" w:cs="Arial" w:eastAsia="Arial" w:hAnsi="Arial"/>
                <w:sz w:val="18"/>
                <w:szCs w:val="18"/>
                <w:b w:val="1"/>
                <w:bCs w:val="1"/>
                <w:color w:val="auto"/>
                <w:w w:val="86"/>
              </w:rPr>
              <w:t>Title of each class</w:t>
            </w:r>
          </w:p>
        </w:tc>
        <w:tc>
          <w:tcPr>
            <w:tcW w:w="2660" w:type="dxa"/>
            <w:vAlign w:val="bottom"/>
          </w:tcPr>
          <w:p>
            <w:pPr>
              <w:spacing w:after="0"/>
              <w:rPr>
                <w:sz w:val="18"/>
                <w:szCs w:val="18"/>
                <w:color w:val="auto"/>
              </w:rPr>
            </w:pPr>
          </w:p>
        </w:tc>
        <w:tc>
          <w:tcPr>
            <w:tcW w:w="344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89"/>
              </w:rPr>
              <w:t>Trading Symbol(s)</w:t>
            </w:r>
          </w:p>
        </w:tc>
        <w:tc>
          <w:tcPr>
            <w:tcW w:w="3960" w:type="dxa"/>
            <w:vAlign w:val="bottom"/>
            <w:gridSpan w:val="2"/>
          </w:tcPr>
          <w:p>
            <w:pPr>
              <w:jc w:val="center"/>
              <w:ind w:right="620"/>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0"/>
        </w:trPr>
        <w:tc>
          <w:tcPr>
            <w:tcW w:w="1360" w:type="dxa"/>
            <w:vAlign w:val="bottom"/>
            <w:shd w:val="clear" w:color="auto" w:fill="000000"/>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507"/>
        </w:trPr>
        <w:tc>
          <w:tcPr>
            <w:tcW w:w="4020" w:type="dxa"/>
            <w:vAlign w:val="bottom"/>
            <w:gridSpan w:val="2"/>
          </w:tcPr>
          <w:p>
            <w:pPr>
              <w:spacing w:after="0"/>
              <w:rPr>
                <w:sz w:val="20"/>
                <w:szCs w:val="20"/>
                <w:color w:val="auto"/>
              </w:rPr>
            </w:pPr>
            <w:r>
              <w:rPr>
                <w:rFonts w:ascii="Arial" w:cs="Arial" w:eastAsia="Arial" w:hAnsi="Arial"/>
                <w:sz w:val="18"/>
                <w:szCs w:val="18"/>
                <w:color w:val="auto"/>
              </w:rPr>
              <w:t>Common Stock, par value $0.01 per share</w:t>
            </w:r>
          </w:p>
        </w:tc>
        <w:tc>
          <w:tcPr>
            <w:tcW w:w="980" w:type="dxa"/>
            <w:vAlign w:val="bottom"/>
          </w:tcPr>
          <w:p>
            <w:pPr>
              <w:spacing w:after="0"/>
              <w:rPr>
                <w:sz w:val="24"/>
                <w:szCs w:val="24"/>
                <w:color w:val="auto"/>
              </w:rPr>
            </w:pPr>
          </w:p>
        </w:tc>
        <w:tc>
          <w:tcPr>
            <w:tcW w:w="2460" w:type="dxa"/>
            <w:vAlign w:val="bottom"/>
            <w:gridSpan w:val="2"/>
          </w:tcPr>
          <w:p>
            <w:pPr>
              <w:jc w:val="center"/>
              <w:ind w:right="1040"/>
              <w:spacing w:after="0"/>
              <w:rPr>
                <w:sz w:val="20"/>
                <w:szCs w:val="20"/>
                <w:color w:val="auto"/>
              </w:rPr>
            </w:pPr>
            <w:r>
              <w:rPr>
                <w:rFonts w:ascii="Arial" w:cs="Arial" w:eastAsia="Arial" w:hAnsi="Arial"/>
                <w:sz w:val="18"/>
                <w:szCs w:val="18"/>
                <w:color w:val="auto"/>
              </w:rPr>
              <w:t>INT</w:t>
            </w:r>
          </w:p>
        </w:tc>
        <w:tc>
          <w:tcPr>
            <w:tcW w:w="3960" w:type="dxa"/>
            <w:vAlign w:val="bottom"/>
            <w:gridSpan w:val="2"/>
          </w:tcPr>
          <w:p>
            <w:pPr>
              <w:jc w:val="center"/>
              <w:ind w:right="620"/>
              <w:spacing w:after="0"/>
              <w:rPr>
                <w:sz w:val="20"/>
                <w:szCs w:val="20"/>
                <w:color w:val="auto"/>
              </w:rPr>
            </w:pPr>
            <w:r>
              <w:rPr>
                <w:rFonts w:ascii="Arial" w:cs="Arial" w:eastAsia="Arial" w:hAnsi="Arial"/>
                <w:sz w:val="18"/>
                <w:szCs w:val="18"/>
                <w:color w:val="auto"/>
                <w:w w:val="91"/>
              </w:rPr>
              <w:t>New York Stock Exchange</w:t>
            </w:r>
          </w:p>
        </w:tc>
      </w:tr>
      <w:tr>
        <w:trPr>
          <w:trHeight w:val="149"/>
        </w:trPr>
        <w:tc>
          <w:tcPr>
            <w:tcW w:w="1360" w:type="dxa"/>
            <w:vAlign w:val="bottom"/>
            <w:tcBorders>
              <w:bottom w:val="single" w:sz="8" w:color="9A9A9A"/>
            </w:tcBorders>
          </w:tcPr>
          <w:p>
            <w:pPr>
              <w:spacing w:after="0"/>
              <w:rPr>
                <w:sz w:val="12"/>
                <w:szCs w:val="12"/>
                <w:color w:val="auto"/>
              </w:rPr>
            </w:pPr>
          </w:p>
        </w:tc>
        <w:tc>
          <w:tcPr>
            <w:tcW w:w="26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334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r>
      <w:tr>
        <w:trPr>
          <w:trHeight w:val="21"/>
        </w:trPr>
        <w:tc>
          <w:tcPr>
            <w:tcW w:w="1360" w:type="dxa"/>
            <w:vAlign w:val="bottom"/>
            <w:tcBorders>
              <w:bottom w:val="single" w:sz="8" w:color="EEEEEE"/>
            </w:tcBorders>
          </w:tcPr>
          <w:p>
            <w:pPr>
              <w:spacing w:after="0" w:line="20" w:lineRule="exact"/>
              <w:rPr>
                <w:sz w:val="1"/>
                <w:szCs w:val="1"/>
                <w:color w:val="auto"/>
              </w:rPr>
            </w:pPr>
          </w:p>
        </w:tc>
        <w:tc>
          <w:tcPr>
            <w:tcW w:w="2660" w:type="dxa"/>
            <w:vAlign w:val="bottom"/>
            <w:tcBorders>
              <w:bottom w:val="single" w:sz="8" w:color="EEEEEE"/>
            </w:tcBorders>
          </w:tcPr>
          <w:p>
            <w:pPr>
              <w:spacing w:after="0" w:line="20" w:lineRule="exact"/>
              <w:rPr>
                <w:sz w:val="1"/>
                <w:szCs w:val="1"/>
                <w:color w:val="auto"/>
              </w:rPr>
            </w:pPr>
          </w:p>
        </w:tc>
        <w:tc>
          <w:tcPr>
            <w:tcW w:w="980" w:type="dxa"/>
            <w:vAlign w:val="bottom"/>
            <w:tcBorders>
              <w:bottom w:val="single" w:sz="8" w:color="EEEEEE"/>
            </w:tcBorders>
          </w:tcPr>
          <w:p>
            <w:pPr>
              <w:spacing w:after="0" w:line="20" w:lineRule="exact"/>
              <w:rPr>
                <w:sz w:val="1"/>
                <w:szCs w:val="1"/>
                <w:color w:val="auto"/>
              </w:rPr>
            </w:pPr>
          </w:p>
        </w:tc>
        <w:tc>
          <w:tcPr>
            <w:tcW w:w="1420" w:type="dxa"/>
            <w:vAlign w:val="bottom"/>
            <w:tcBorders>
              <w:bottom w:val="single" w:sz="8" w:color="EEEEEE"/>
            </w:tcBorders>
          </w:tcPr>
          <w:p>
            <w:pPr>
              <w:spacing w:after="0" w:line="20" w:lineRule="exact"/>
              <w:rPr>
                <w:sz w:val="1"/>
                <w:szCs w:val="1"/>
                <w:color w:val="auto"/>
              </w:rPr>
            </w:pPr>
          </w:p>
        </w:tc>
        <w:tc>
          <w:tcPr>
            <w:tcW w:w="1040" w:type="dxa"/>
            <w:vAlign w:val="bottom"/>
            <w:tcBorders>
              <w:bottom w:val="single" w:sz="8" w:color="EEEEEE"/>
            </w:tcBorders>
          </w:tcPr>
          <w:p>
            <w:pPr>
              <w:spacing w:after="0" w:line="20" w:lineRule="exact"/>
              <w:rPr>
                <w:sz w:val="1"/>
                <w:szCs w:val="1"/>
                <w:color w:val="auto"/>
              </w:rPr>
            </w:pPr>
          </w:p>
        </w:tc>
        <w:tc>
          <w:tcPr>
            <w:tcW w:w="3340" w:type="dxa"/>
            <w:vAlign w:val="bottom"/>
            <w:tcBorders>
              <w:bottom w:val="single" w:sz="8" w:color="EEEEEE"/>
            </w:tcBorders>
          </w:tcPr>
          <w:p>
            <w:pPr>
              <w:spacing w:after="0" w:line="20" w:lineRule="exact"/>
              <w:rPr>
                <w:sz w:val="1"/>
                <w:szCs w:val="1"/>
                <w:color w:val="auto"/>
              </w:rPr>
            </w:pPr>
          </w:p>
        </w:tc>
        <w:tc>
          <w:tcPr>
            <w:tcW w:w="620" w:type="dxa"/>
            <w:vAlign w:val="bottom"/>
            <w:tcBorders>
              <w:bottom w:val="single" w:sz="8" w:color="EEEEEE"/>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 w:name="page2"/>
    <w:bookmarkEnd w:id="1"/>
    <w:p>
      <w:pPr>
        <w:spacing w:after="0"/>
        <w:tabs>
          <w:tab w:leader="none" w:pos="1180" w:val="left"/>
        </w:tabs>
        <w:rPr>
          <w:sz w:val="20"/>
          <w:szCs w:val="20"/>
          <w:color w:val="auto"/>
        </w:rPr>
      </w:pPr>
      <w:r>
        <w:rPr>
          <w:rFonts w:ascii="Arial" w:cs="Arial" w:eastAsia="Arial" w:hAnsi="Arial"/>
          <w:sz w:val="22"/>
          <w:szCs w:val="22"/>
          <w:b w:val="1"/>
          <w:bCs w:val="1"/>
          <w:color w:val="auto"/>
        </w:rPr>
        <w:t>Item 7.01.</w:t>
      </w:r>
      <w:r>
        <w:rPr>
          <w:sz w:val="20"/>
          <w:szCs w:val="20"/>
          <w:color w:val="auto"/>
        </w:rPr>
        <w:tab/>
      </w:r>
      <w:r>
        <w:rPr>
          <w:rFonts w:ascii="Arial" w:cs="Arial" w:eastAsia="Arial" w:hAnsi="Arial"/>
          <w:sz w:val="19"/>
          <w:szCs w:val="19"/>
          <w:b w:val="1"/>
          <w:bCs w:val="1"/>
          <w:color w:val="auto"/>
        </w:rPr>
        <w:t>Regulation FD Disclosure</w:t>
      </w:r>
    </w:p>
    <w:p>
      <w:pPr>
        <w:spacing w:after="0" w:line="213" w:lineRule="exact"/>
        <w:rPr>
          <w:sz w:val="20"/>
          <w:szCs w:val="20"/>
          <w:color w:val="auto"/>
        </w:rPr>
      </w:pPr>
    </w:p>
    <w:p>
      <w:pPr>
        <w:jc w:val="both"/>
        <w:ind w:firstLine="405"/>
        <w:spacing w:after="0"/>
        <w:rPr>
          <w:sz w:val="20"/>
          <w:szCs w:val="20"/>
          <w:color w:val="auto"/>
        </w:rPr>
      </w:pPr>
      <w:r>
        <w:rPr>
          <w:rFonts w:ascii="Arial" w:cs="Arial" w:eastAsia="Arial" w:hAnsi="Arial"/>
          <w:sz w:val="22"/>
          <w:szCs w:val="22"/>
          <w:color w:val="auto"/>
        </w:rPr>
        <w:t>World Fuel Services Corporation announced today that its board of directors has approved a 66% increase to its quarterly cash dividend to $0.10 per share, which is expected to be declared for the next regular quarterly dividend payable in July 2019. A copy of the press release is attached hereto as Exhibit 99.1.</w:t>
      </w:r>
    </w:p>
    <w:p>
      <w:pPr>
        <w:spacing w:after="0" w:line="186"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9"/>
          <w:szCs w:val="19"/>
          <w:color w:val="auto"/>
        </w:rPr>
        <w:t>This information and the information contained in Exhibit 99.1 shall not be deemed “filed” for purposes of Section 18 of the Securities Exchange Act of 1934, as amended (the “Exchange Act”), or incorporated by reference in any filing under the Securities Act of 1933, as amended, or the Exchange Act, except as may be expressly set forth by specific reference in any such filing.</w:t>
      </w:r>
    </w:p>
    <w:p>
      <w:pPr>
        <w:spacing w:after="0" w:line="128"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120" w:type="dxa"/>
            <w:vAlign w:val="bottom"/>
          </w:tcPr>
          <w:p>
            <w:pPr>
              <w:ind w:left="660"/>
              <w:spacing w:after="0"/>
              <w:rPr>
                <w:sz w:val="20"/>
                <w:szCs w:val="20"/>
                <w:color w:val="auto"/>
              </w:rPr>
            </w:pPr>
            <w:r>
              <w:rPr>
                <w:rFonts w:ascii="Arial" w:cs="Arial" w:eastAsia="Arial" w:hAnsi="Arial"/>
                <w:sz w:val="22"/>
                <w:szCs w:val="22"/>
                <w:color w:val="auto"/>
              </w:rPr>
              <w:t>(d)</w:t>
            </w:r>
          </w:p>
        </w:tc>
        <w:tc>
          <w:tcPr>
            <w:tcW w:w="1240" w:type="dxa"/>
            <w:vAlign w:val="bottom"/>
            <w:gridSpan w:val="2"/>
          </w:tcPr>
          <w:p>
            <w:pPr>
              <w:ind w:left="220"/>
              <w:spacing w:after="0"/>
              <w:rPr>
                <w:sz w:val="20"/>
                <w:szCs w:val="20"/>
                <w:color w:val="auto"/>
              </w:rPr>
            </w:pPr>
            <w:r>
              <w:rPr>
                <w:rFonts w:ascii="Arial" w:cs="Arial" w:eastAsia="Arial" w:hAnsi="Arial"/>
                <w:sz w:val="22"/>
                <w:szCs w:val="22"/>
                <w:color w:val="auto"/>
              </w:rPr>
              <w:t>Exhibits</w:t>
            </w:r>
          </w:p>
        </w:tc>
        <w:tc>
          <w:tcPr>
            <w:tcW w:w="5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7560" w:type="dxa"/>
            <w:vAlign w:val="bottom"/>
          </w:tcPr>
          <w:p>
            <w:pPr>
              <w:spacing w:after="0"/>
              <w:rPr>
                <w:sz w:val="23"/>
                <w:szCs w:val="23"/>
                <w:color w:val="auto"/>
              </w:rPr>
            </w:pPr>
          </w:p>
        </w:tc>
      </w:tr>
      <w:tr>
        <w:trPr>
          <w:trHeight w:val="409"/>
        </w:trPr>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22"/>
                <w:szCs w:val="22"/>
                <w:color w:val="auto"/>
                <w:w w:val="92"/>
              </w:rPr>
              <w:t>Exhibit No.</w:t>
            </w:r>
          </w:p>
        </w:tc>
        <w:tc>
          <w:tcPr>
            <w:tcW w:w="9060" w:type="dxa"/>
            <w:vAlign w:val="bottom"/>
            <w:gridSpan w:val="3"/>
          </w:tcPr>
          <w:p>
            <w:pPr>
              <w:ind w:left="500"/>
              <w:spacing w:after="0"/>
              <w:rPr>
                <w:sz w:val="20"/>
                <w:szCs w:val="20"/>
                <w:color w:val="auto"/>
              </w:rPr>
            </w:pPr>
            <w:r>
              <w:rPr>
                <w:rFonts w:ascii="Arial" w:cs="Arial" w:eastAsia="Arial" w:hAnsi="Arial"/>
                <w:sz w:val="22"/>
                <w:szCs w:val="22"/>
                <w:color w:val="auto"/>
              </w:rPr>
              <w:t>Description</w:t>
            </w:r>
          </w:p>
        </w:tc>
      </w:tr>
      <w:tr>
        <w:trPr>
          <w:trHeight w:val="20"/>
        </w:trPr>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r>
      <w:tr>
        <w:trPr>
          <w:trHeight w:val="490"/>
        </w:trPr>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jc w:val="right"/>
              <w:ind w:right="252"/>
              <w:spacing w:after="0"/>
              <w:rPr>
                <w:sz w:val="20"/>
                <w:szCs w:val="20"/>
                <w:color w:val="auto"/>
              </w:rPr>
            </w:pPr>
            <w:r>
              <w:rPr>
                <w:rFonts w:ascii="Arial" w:cs="Arial" w:eastAsia="Arial" w:hAnsi="Arial"/>
                <w:sz w:val="22"/>
                <w:szCs w:val="22"/>
                <w:color w:val="auto"/>
              </w:rPr>
              <w:t>99.1</w:t>
            </w:r>
          </w:p>
        </w:tc>
        <w:tc>
          <w:tcPr>
            <w:tcW w:w="500" w:type="dxa"/>
            <w:vAlign w:val="bottom"/>
          </w:tcPr>
          <w:p>
            <w:pPr>
              <w:spacing w:after="0"/>
              <w:rPr>
                <w:sz w:val="24"/>
                <w:szCs w:val="24"/>
                <w:color w:val="auto"/>
              </w:rPr>
            </w:pPr>
          </w:p>
        </w:tc>
        <w:tc>
          <w:tcPr>
            <w:tcW w:w="8560" w:type="dxa"/>
            <w:vAlign w:val="bottom"/>
            <w:gridSpan w:val="2"/>
          </w:tcPr>
          <w:p>
            <w:pPr>
              <w:ind w:left="60"/>
              <w:spacing w:after="0"/>
              <w:rPr>
                <w:sz w:val="20"/>
                <w:szCs w:val="20"/>
                <w:color w:val="auto"/>
              </w:rPr>
            </w:pPr>
            <w:r>
              <w:rPr>
                <w:rFonts w:ascii="Arial" w:cs="Arial" w:eastAsia="Arial" w:hAnsi="Arial"/>
                <w:sz w:val="22"/>
                <w:szCs w:val="22"/>
                <w:color w:val="auto"/>
              </w:rPr>
              <w:t>Press Release, dated May 8, 2019.</w:t>
            </w:r>
          </w:p>
        </w:tc>
      </w:tr>
      <w:tr>
        <w:trPr>
          <w:trHeight w:val="206"/>
        </w:trPr>
        <w:tc>
          <w:tcPr>
            <w:tcW w:w="1120" w:type="dxa"/>
            <w:vAlign w:val="bottom"/>
            <w:tcBorders>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1000" w:type="dxa"/>
            <w:vAlign w:val="bottom"/>
            <w:tcBorders>
              <w:bottom w:val="single" w:sz="8" w:color="9A9A9A"/>
            </w:tcBorders>
          </w:tcPr>
          <w:p>
            <w:pPr>
              <w:spacing w:after="0"/>
              <w:rPr>
                <w:sz w:val="17"/>
                <w:szCs w:val="17"/>
                <w:color w:val="auto"/>
              </w:rPr>
            </w:pPr>
          </w:p>
        </w:tc>
        <w:tc>
          <w:tcPr>
            <w:tcW w:w="500" w:type="dxa"/>
            <w:vAlign w:val="bottom"/>
            <w:tcBorders>
              <w:bottom w:val="single" w:sz="8" w:color="9A9A9A"/>
            </w:tcBorders>
          </w:tcPr>
          <w:p>
            <w:pPr>
              <w:spacing w:after="0"/>
              <w:rPr>
                <w:sz w:val="17"/>
                <w:szCs w:val="17"/>
                <w:color w:val="auto"/>
              </w:rPr>
            </w:pPr>
          </w:p>
        </w:tc>
        <w:tc>
          <w:tcPr>
            <w:tcW w:w="1000" w:type="dxa"/>
            <w:vAlign w:val="bottom"/>
            <w:tcBorders>
              <w:bottom w:val="single" w:sz="8" w:color="9A9A9A"/>
            </w:tcBorders>
          </w:tcPr>
          <w:p>
            <w:pPr>
              <w:spacing w:after="0"/>
              <w:rPr>
                <w:sz w:val="17"/>
                <w:szCs w:val="17"/>
                <w:color w:val="auto"/>
              </w:rPr>
            </w:pPr>
          </w:p>
        </w:tc>
        <w:tc>
          <w:tcPr>
            <w:tcW w:w="7560" w:type="dxa"/>
            <w:vAlign w:val="bottom"/>
            <w:tcBorders>
              <w:bottom w:val="single" w:sz="8" w:color="9A9A9A"/>
            </w:tcBorders>
          </w:tcPr>
          <w:p>
            <w:pPr>
              <w:spacing w:after="0"/>
              <w:rPr>
                <w:sz w:val="17"/>
                <w:szCs w:val="17"/>
                <w:color w:val="auto"/>
              </w:rPr>
            </w:pPr>
          </w:p>
        </w:tc>
      </w:tr>
      <w:tr>
        <w:trPr>
          <w:trHeight w:val="21"/>
        </w:trPr>
        <w:tc>
          <w:tcPr>
            <w:tcW w:w="112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1000" w:type="dxa"/>
            <w:vAlign w:val="bottom"/>
            <w:tcBorders>
              <w:bottom w:val="single" w:sz="8" w:color="EEEEEE"/>
            </w:tcBorders>
          </w:tcPr>
          <w:p>
            <w:pPr>
              <w:spacing w:after="0" w:line="20" w:lineRule="exact"/>
              <w:rPr>
                <w:sz w:val="1"/>
                <w:szCs w:val="1"/>
                <w:color w:val="auto"/>
              </w:rPr>
            </w:pPr>
          </w:p>
        </w:tc>
        <w:tc>
          <w:tcPr>
            <w:tcW w:w="500" w:type="dxa"/>
            <w:vAlign w:val="bottom"/>
            <w:tcBorders>
              <w:bottom w:val="single" w:sz="8" w:color="EEEEEE"/>
            </w:tcBorders>
          </w:tcPr>
          <w:p>
            <w:pPr>
              <w:spacing w:after="0" w:line="20" w:lineRule="exact"/>
              <w:rPr>
                <w:sz w:val="1"/>
                <w:szCs w:val="1"/>
                <w:color w:val="auto"/>
              </w:rPr>
            </w:pPr>
          </w:p>
        </w:tc>
        <w:tc>
          <w:tcPr>
            <w:tcW w:w="1000" w:type="dxa"/>
            <w:vAlign w:val="bottom"/>
            <w:tcBorders>
              <w:bottom w:val="single" w:sz="8" w:color="EEEEEE"/>
            </w:tcBorders>
          </w:tcPr>
          <w:p>
            <w:pPr>
              <w:spacing w:after="0" w:line="20" w:lineRule="exact"/>
              <w:rPr>
                <w:sz w:val="1"/>
                <w:szCs w:val="1"/>
                <w:color w:val="auto"/>
              </w:rPr>
            </w:pPr>
          </w:p>
        </w:tc>
        <w:tc>
          <w:tcPr>
            <w:tcW w:w="756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 w:name="page3"/>
    <w:bookmarkEnd w:id="2"/>
    <w:p>
      <w:pPr>
        <w:jc w:val="center"/>
        <w:ind w:right="-259"/>
        <w:spacing w:after="0"/>
        <w:rPr>
          <w:sz w:val="20"/>
          <w:szCs w:val="20"/>
          <w:color w:val="auto"/>
        </w:rPr>
      </w:pPr>
      <w:r>
        <w:rPr>
          <w:rFonts w:ascii="Arial" w:cs="Arial" w:eastAsia="Arial" w:hAnsi="Arial"/>
          <w:sz w:val="22"/>
          <w:szCs w:val="22"/>
          <w:b w:val="1"/>
          <w:bCs w:val="1"/>
          <w:color w:val="auto"/>
        </w:rPr>
        <w:t>SIGNATURES</w:t>
      </w:r>
    </w:p>
    <w:p>
      <w:pPr>
        <w:spacing w:after="0" w:line="213"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190" w:lineRule="exact"/>
        <w:rPr>
          <w:sz w:val="20"/>
          <w:szCs w:val="20"/>
          <w:color w:val="auto"/>
        </w:rPr>
      </w:pPr>
    </w:p>
    <w:p>
      <w:pPr>
        <w:spacing w:after="0"/>
        <w:tabs>
          <w:tab w:leader="none" w:pos="560" w:val="left"/>
          <w:tab w:leader="none" w:pos="6520" w:val="left"/>
        </w:tabs>
        <w:rPr>
          <w:sz w:val="20"/>
          <w:szCs w:val="20"/>
          <w:color w:val="auto"/>
        </w:rPr>
      </w:pPr>
      <w:r>
        <w:rPr>
          <w:rFonts w:ascii="Arial" w:cs="Arial" w:eastAsia="Arial" w:hAnsi="Arial"/>
          <w:sz w:val="18"/>
          <w:szCs w:val="18"/>
          <w:color w:val="auto"/>
        </w:rPr>
        <w:t>Date:</w:t>
        <w:tab/>
        <w:t>May 8, 2019</w:t>
      </w:r>
      <w:r>
        <w:rPr>
          <w:sz w:val="20"/>
          <w:szCs w:val="20"/>
          <w:color w:val="auto"/>
        </w:rPr>
        <w:tab/>
      </w:r>
      <w:r>
        <w:rPr>
          <w:rFonts w:ascii="Arial" w:cs="Arial" w:eastAsia="Arial" w:hAnsi="Arial"/>
          <w:sz w:val="16"/>
          <w:szCs w:val="16"/>
          <w:b w:val="1"/>
          <w:bCs w:val="1"/>
          <w:color w:val="auto"/>
        </w:rPr>
        <w:t>World Fuel Services Corporation</w:t>
      </w:r>
    </w:p>
    <w:p>
      <w:pPr>
        <w:spacing w:after="0" w:line="200" w:lineRule="exact"/>
        <w:rPr>
          <w:sz w:val="20"/>
          <w:szCs w:val="20"/>
          <w:color w:val="auto"/>
        </w:rPr>
      </w:pPr>
    </w:p>
    <w:p>
      <w:pPr>
        <w:spacing w:after="0" w:line="32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 R. Alexander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4147185</wp:posOffset>
            </wp:positionH>
            <wp:positionV relativeFrom="paragraph">
              <wp:posOffset>23495</wp:posOffset>
            </wp:positionV>
            <wp:extent cx="23837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30"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R. Alexander Lake</w:t>
      </w:r>
    </w:p>
    <w:p>
      <w:pPr>
        <w:spacing w:after="0" w:line="3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Executive Vice President, Chief Legal Officer and</w:t>
      </w:r>
    </w:p>
    <w:p>
      <w:pPr>
        <w:spacing w:after="0" w:line="3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272020" cy="596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160"/>
          </w:cols>
          <w:pgMar w:left="240" w:top="111" w:right="499" w:bottom="1440" w:gutter="0" w:footer="0" w:header="0"/>
        </w:sectPr>
      </w:pPr>
    </w:p>
    <w:bookmarkStart w:id="3" w:name="page4"/>
    <w:bookmarkEnd w:id="3"/>
    <w:p>
      <w:pPr>
        <w:jc w:val="right"/>
        <w:ind w:right="3719"/>
        <w:spacing w:after="0"/>
        <w:rPr>
          <w:sz w:val="20"/>
          <w:szCs w:val="20"/>
          <w:color w:val="auto"/>
        </w:rPr>
      </w:pPr>
      <w:r>
        <w:rPr>
          <w:rFonts w:ascii="Arial" w:cs="Arial" w:eastAsia="Arial" w:hAnsi="Arial"/>
          <w:sz w:val="22"/>
          <w:szCs w:val="22"/>
          <w:color w:val="auto"/>
        </w:rPr>
        <w:t>EXHIBIT INDEX</w:t>
      </w:r>
    </w:p>
    <w:p>
      <w:pPr>
        <w:spacing w:after="0" w:line="200" w:lineRule="exact"/>
        <w:rPr>
          <w:sz w:val="20"/>
          <w:szCs w:val="20"/>
          <w:color w:val="auto"/>
        </w:rPr>
      </w:pPr>
    </w:p>
    <w:p>
      <w:pPr>
        <w:spacing w:after="0" w:line="270"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Exhibit</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68865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86575" cy="8890"/>
                    </a:xfrm>
                    <a:prstGeom prst="rect">
                      <a:avLst/>
                    </a:prstGeom>
                    <a:noFill/>
                  </pic:spPr>
                </pic:pic>
              </a:graphicData>
            </a:graphic>
          </wp:anchor>
        </w:drawing>
      </w:r>
    </w:p>
    <w:p>
      <w:pPr>
        <w:spacing w:after="0" w:line="30" w:lineRule="exact"/>
        <w:rPr>
          <w:sz w:val="20"/>
          <w:szCs w:val="20"/>
          <w:color w:val="auto"/>
        </w:rPr>
      </w:pPr>
    </w:p>
    <w:p>
      <w:pPr>
        <w:spacing w:after="0"/>
        <w:tabs>
          <w:tab w:leader="none" w:pos="1940" w:val="left"/>
        </w:tabs>
        <w:rPr>
          <w:rFonts w:ascii="Arial" w:cs="Arial" w:eastAsia="Arial" w:hAnsi="Arial"/>
          <w:sz w:val="15"/>
          <w:szCs w:val="15"/>
          <w:u w:val="single" w:color="auto"/>
          <w:color w:val="0000EE"/>
        </w:rPr>
      </w:pPr>
      <w:hyperlink w:anchor="page5">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5">
        <w:r>
          <w:rPr>
            <w:rFonts w:ascii="Arial" w:cs="Arial" w:eastAsia="Arial" w:hAnsi="Arial"/>
            <w:sz w:val="15"/>
            <w:szCs w:val="15"/>
            <w:u w:val="single" w:color="auto"/>
            <w:color w:val="0000EE"/>
          </w:rPr>
          <w:t>Press Release, dated May 8, 2019.</w:t>
        </w:r>
      </w:hyperlink>
    </w:p>
    <w:p>
      <w:pPr>
        <w:sectPr>
          <w:pgSz w:w="11900" w:h="16838" w:orient="portrait"/>
          <w:cols w:equalWidth="0" w:num="1">
            <w:col w:w="10219"/>
          </w:cols>
          <w:pgMar w:left="240" w:top="118"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World Fuel Services Corporation to Increase Quarterly Dividend by 66%</w:t>
      </w:r>
    </w:p>
    <w:p>
      <w:pPr>
        <w:spacing w:after="0" w:line="212" w:lineRule="exact"/>
        <w:rPr>
          <w:sz w:val="20"/>
          <w:szCs w:val="20"/>
          <w:color w:val="auto"/>
        </w:rPr>
      </w:pPr>
    </w:p>
    <w:p>
      <w:pPr>
        <w:jc w:val="both"/>
        <w:ind w:right="380"/>
        <w:spacing w:after="0"/>
        <w:rPr>
          <w:sz w:val="20"/>
          <w:szCs w:val="20"/>
          <w:color w:val="auto"/>
        </w:rPr>
      </w:pPr>
      <w:r>
        <w:rPr>
          <w:rFonts w:ascii="Arial" w:cs="Arial" w:eastAsia="Arial" w:hAnsi="Arial"/>
          <w:sz w:val="22"/>
          <w:szCs w:val="22"/>
          <w:color w:val="auto"/>
        </w:rPr>
        <w:t>MIAMI--(BUSINESS WIRE)--May 8, 2019--World Fuel Services Corporation (NYSE:INT) announced today that its board of directors has approved a 66% increase to its quarterly cash dividend to $0.10 per share, which is expected to be declared for the next regular quarterly dividend payable in July 2019.</w:t>
      </w:r>
    </w:p>
    <w:p>
      <w:pPr>
        <w:spacing w:after="0" w:line="186" w:lineRule="exact"/>
        <w:rPr>
          <w:sz w:val="20"/>
          <w:szCs w:val="20"/>
          <w:color w:val="auto"/>
        </w:rPr>
      </w:pPr>
    </w:p>
    <w:p>
      <w:pPr>
        <w:ind w:right="20"/>
        <w:spacing w:after="0" w:line="287" w:lineRule="auto"/>
        <w:rPr>
          <w:sz w:val="20"/>
          <w:szCs w:val="20"/>
          <w:color w:val="auto"/>
        </w:rPr>
      </w:pPr>
      <w:r>
        <w:rPr>
          <w:rFonts w:ascii="Arial" w:cs="Arial" w:eastAsia="Arial" w:hAnsi="Arial"/>
          <w:sz w:val="19"/>
          <w:szCs w:val="19"/>
          <w:color w:val="auto"/>
        </w:rPr>
        <w:t>“While we will continue to use our available capital to principally invest in growing our core businesses, our strong balance sheet and confidence in the company’s cash generation capabilities enables us to also deliver greater value to our shareholders,” stated Ira M. Birns, Executive Vice President and Chief Financial Officer of World Fuel Services Corporation. “We expect to accomplish this in 2019 through a combination of a dividend increase and share repurchases from time to time.”</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About World Fuel Services Corporation</w:t>
      </w:r>
    </w:p>
    <w:p>
      <w:pPr>
        <w:spacing w:after="0" w:line="206" w:lineRule="exact"/>
        <w:rPr>
          <w:sz w:val="20"/>
          <w:szCs w:val="20"/>
          <w:color w:val="auto"/>
        </w:rPr>
      </w:pPr>
    </w:p>
    <w:p>
      <w:pPr>
        <w:spacing w:after="0" w:line="287" w:lineRule="auto"/>
        <w:rPr>
          <w:sz w:val="20"/>
          <w:szCs w:val="20"/>
          <w:color w:val="auto"/>
        </w:rPr>
      </w:pPr>
      <w:r>
        <w:rPr>
          <w:rFonts w:ascii="Arial" w:cs="Arial" w:eastAsia="Arial" w:hAnsi="Arial"/>
          <w:sz w:val="19"/>
          <w:szCs w:val="19"/>
          <w:color w:val="auto"/>
        </w:rPr>
        <w:t>Headquartered in Miami, Florida, World Fuel Services is a global energy management company involved in providing energy procurement advisory services, supply fulfillment and transaction and payment management solutions to commercial and industrial customers, principally in the aviation, marine and land transportation industries. World Fuel Services sells fuel and delivers services to its clients at more than 8,000 locations in more than 200 countries and territories worldwide.</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For more information, call 305-428-8000 or visit </w:t>
      </w:r>
      <w:r>
        <w:rPr>
          <w:rFonts w:ascii="Arial" w:cs="Arial" w:eastAsia="Arial" w:hAnsi="Arial"/>
          <w:sz w:val="22"/>
          <w:szCs w:val="22"/>
          <w:u w:val="single" w:color="auto"/>
          <w:color w:val="auto"/>
        </w:rPr>
        <w:t>www.wfscorp.com</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Information Relating to Forward-Looking Statements</w:t>
      </w:r>
    </w:p>
    <w:p>
      <w:pPr>
        <w:spacing w:after="0" w:line="206" w:lineRule="exact"/>
        <w:rPr>
          <w:sz w:val="20"/>
          <w:szCs w:val="20"/>
          <w:color w:val="auto"/>
        </w:rPr>
      </w:pPr>
    </w:p>
    <w:p>
      <w:pPr>
        <w:spacing w:after="0" w:line="269" w:lineRule="auto"/>
        <w:rPr>
          <w:sz w:val="20"/>
          <w:szCs w:val="20"/>
          <w:color w:val="auto"/>
        </w:rPr>
      </w:pPr>
      <w:r>
        <w:rPr>
          <w:rFonts w:ascii="Arial" w:cs="Arial" w:eastAsia="Arial" w:hAnsi="Arial"/>
          <w:sz w:val="19"/>
          <w:szCs w:val="19"/>
          <w:color w:val="auto"/>
        </w:rPr>
        <w:t>This release includes forward-looking statements within the meaning of the Private Securities Litigation Reform Act of 1995, including statements regarding our future cash generation, dividends and share repurchases. These forward-looking statements are qualified in their entirety by cautionary statements and risk factor disclosures contained in the Company’s Securities and Exchange Commission (“SEC”) filings, including the Company’s most recent Annual Report on Form 10-K filed with the SEC. Actual results may differ materially from any forward-looking statements due to risks and uncertainties, including, but not limited to: our ability to generate expected cash from operations, the availability and price of our stock on the open market, our ability to effectively leverage technology and operating systems and realize the anticipated benefits, our ability to successfully execute and achieve efficiencies and other benefits related to our transformation initiatives, our ability to achieve the expected level of benefit from our restructuring activities and cost reduction initiatives, unanticipated tax liabilities or adverse results of tax audits, assessments, or disputes, the loss of, or reduced sales, to a significant government customer such as the North Atlantic Treaty Organization, our ability to successfully implement our growth strategy, our ability to effectively integrate acquired businesses and recognize the anticipated benefits, risks related to the complexity of U.S. Tax Reform and our ability to accurately predict its impact on our returns and future earnings, our ability to capitalize on new market opportunities and changes in supply and other market dynamics in the regions where we operate, potential liabilities and the extent of any insurance coverage, the outcome of pending litigation and other proceedings, the impact of quarterly fluctuations in results, particularly as a result of seasonality, the creditworthiness of our customers and counterparties and our ability to collect accounts receivable, fluctuations in world oil prices or foreign currency, changes in political, economic, regulatory, or environmental conditions, adverse conditions in the markets or industries in which we or our customers and suppliers operate, supply disruptions, border closures and other logistical difficulties that can arise when sourcing and delivering fuel in areas that are actively engaged in war or other military conflicts, our failure to effectively hedge certain financial risks associated with the use of derivatives, non-performance by counterparties or customers on derivatives contracts, uninsured losses, the impact of natural disasters, adverse results in legal disputes, our ability to retain and attract senior management and other key employees and other risks detailed from time to time in our SEC filings. New risks emerge from time to time and it is not possible for management to predict all such risk factors or to assess the impact of such risks on our business. Accordingly, we undertake no obligation to publicly update or revise any forward-looking statements, whether as a result of new information, changes in expectations, future events, or otherwise, except as required by law.</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Ira M. Birns, Executive Vice President &amp;</w:t>
      </w:r>
    </w:p>
    <w:p>
      <w:pPr>
        <w:spacing w:after="0"/>
        <w:rPr>
          <w:sz w:val="20"/>
          <w:szCs w:val="20"/>
          <w:color w:val="auto"/>
        </w:rPr>
      </w:pPr>
      <w:r>
        <w:rPr>
          <w:rFonts w:ascii="Arial" w:cs="Arial" w:eastAsia="Arial" w:hAnsi="Arial"/>
          <w:sz w:val="22"/>
          <w:szCs w:val="22"/>
          <w:color w:val="auto"/>
        </w:rPr>
        <w:t>Chief Financial Officer</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Glenn Klevitz</w:t>
      </w:r>
    </w:p>
    <w:p>
      <w:pPr>
        <w:spacing w:after="0" w:line="238" w:lineRule="auto"/>
        <w:rPr>
          <w:sz w:val="20"/>
          <w:szCs w:val="20"/>
          <w:color w:val="auto"/>
        </w:rPr>
      </w:pPr>
      <w:r>
        <w:rPr>
          <w:rFonts w:ascii="Arial" w:cs="Arial" w:eastAsia="Arial" w:hAnsi="Arial"/>
          <w:sz w:val="22"/>
          <w:szCs w:val="22"/>
          <w:color w:val="auto"/>
        </w:rPr>
        <w:t>Vice President, Assistant Treasurer</w:t>
      </w:r>
    </w:p>
    <w:p>
      <w:pPr>
        <w:spacing w:after="0"/>
        <w:rPr>
          <w:sz w:val="20"/>
          <w:szCs w:val="20"/>
          <w:color w:val="auto"/>
        </w:rPr>
      </w:pPr>
      <w:r>
        <w:rPr>
          <w:rFonts w:ascii="Arial" w:cs="Arial" w:eastAsia="Arial" w:hAnsi="Arial"/>
          <w:sz w:val="22"/>
          <w:szCs w:val="22"/>
          <w:color w:val="auto"/>
        </w:rPr>
        <w:t>305-428-8000</w:t>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2019-12-28T12:43:06Z</dcterms:created>
  <dcterms:modified xsi:type="dcterms:W3CDTF">2019-12-28T12:43:06Z</dcterms:modified>
</cp:coreProperties>
</file>