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891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230505</wp:posOffset>
            </wp:positionV>
            <wp:extent cx="728916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42545"/>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120650</wp:posOffset>
            </wp:positionV>
            <wp:extent cx="149161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39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148590</wp:posOffset>
            </wp:positionV>
            <wp:extent cx="149161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21,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WORLD FUEL SERVICES CORPORATION</w:t>
      </w:r>
    </w:p>
    <w:p>
      <w:pPr>
        <w:spacing w:after="0" w:line="45"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7100" w:type="dxa"/>
            <w:vAlign w:val="bottom"/>
            <w:gridSpan w:val="3"/>
          </w:tcPr>
          <w:p>
            <w:pPr>
              <w:jc w:val="center"/>
              <w:ind w:left="2730"/>
              <w:spacing w:after="0"/>
              <w:rPr>
                <w:sz w:val="20"/>
                <w:szCs w:val="20"/>
                <w:color w:val="auto"/>
              </w:rPr>
            </w:pPr>
            <w:r>
              <w:rPr>
                <w:rFonts w:ascii="Arial" w:cs="Arial" w:eastAsia="Arial" w:hAnsi="Arial"/>
                <w:sz w:val="18"/>
                <w:szCs w:val="18"/>
                <w:color w:val="auto"/>
                <w:w w:val="90"/>
              </w:rPr>
              <w:t>(Exact name of registrant as specified in its charter)</w:t>
            </w:r>
          </w:p>
        </w:tc>
        <w:tc>
          <w:tcPr>
            <w:tcW w:w="2380" w:type="dxa"/>
            <w:vAlign w:val="bottom"/>
          </w:tcPr>
          <w:p>
            <w:pPr>
              <w:spacing w:after="0"/>
              <w:rPr>
                <w:sz w:val="20"/>
                <w:szCs w:val="20"/>
                <w:color w:val="auto"/>
              </w:rPr>
            </w:pPr>
          </w:p>
        </w:tc>
      </w:tr>
      <w:tr>
        <w:trPr>
          <w:trHeight w:val="207"/>
        </w:trPr>
        <w:tc>
          <w:tcPr>
            <w:tcW w:w="3800" w:type="dxa"/>
            <w:vAlign w:val="bottom"/>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1000" w:type="dxa"/>
            <w:vAlign w:val="bottom"/>
          </w:tcPr>
          <w:p>
            <w:pPr>
              <w:spacing w:after="0"/>
              <w:rPr>
                <w:sz w:val="18"/>
                <w:szCs w:val="18"/>
                <w:color w:val="auto"/>
              </w:rPr>
            </w:pPr>
          </w:p>
        </w:tc>
        <w:tc>
          <w:tcPr>
            <w:tcW w:w="2380" w:type="dxa"/>
            <w:vAlign w:val="bottom"/>
          </w:tcPr>
          <w:p>
            <w:pPr>
              <w:spacing w:after="0"/>
              <w:rPr>
                <w:sz w:val="18"/>
                <w:szCs w:val="18"/>
                <w:color w:val="auto"/>
              </w:rPr>
            </w:pPr>
          </w:p>
        </w:tc>
      </w:tr>
      <w:tr>
        <w:trPr>
          <w:trHeight w:val="446"/>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6"/>
              </w:rPr>
              <w:t>Florida</w:t>
            </w:r>
          </w:p>
        </w:tc>
        <w:tc>
          <w:tcPr>
            <w:tcW w:w="2300" w:type="dxa"/>
            <w:vAlign w:val="bottom"/>
          </w:tcPr>
          <w:p>
            <w:pPr>
              <w:jc w:val="center"/>
              <w:spacing w:after="0"/>
              <w:rPr>
                <w:sz w:val="20"/>
                <w:szCs w:val="20"/>
                <w:color w:val="auto"/>
              </w:rPr>
            </w:pPr>
            <w:r>
              <w:rPr>
                <w:rFonts w:ascii="Arial" w:cs="Arial" w:eastAsia="Arial" w:hAnsi="Arial"/>
                <w:sz w:val="18"/>
                <w:szCs w:val="18"/>
                <w:b w:val="1"/>
                <w:bCs w:val="1"/>
                <w:color w:val="auto"/>
                <w:w w:val="92"/>
              </w:rPr>
              <w:t>1-9533</w:t>
            </w:r>
          </w:p>
        </w:tc>
        <w:tc>
          <w:tcPr>
            <w:tcW w:w="1000" w:type="dxa"/>
            <w:vAlign w:val="bottom"/>
          </w:tcPr>
          <w:p>
            <w:pPr>
              <w:spacing w:after="0"/>
              <w:rPr>
                <w:sz w:val="24"/>
                <w:szCs w:val="24"/>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1"/>
              </w:rPr>
              <w:t>59-2459427</w:t>
            </w:r>
          </w:p>
        </w:tc>
      </w:tr>
      <w:tr>
        <w:trPr>
          <w:trHeight w:val="225"/>
        </w:trPr>
        <w:tc>
          <w:tcPr>
            <w:tcW w:w="3800" w:type="dxa"/>
            <w:vAlign w:val="bottom"/>
          </w:tcPr>
          <w:p>
            <w:pPr>
              <w:jc w:val="center"/>
              <w:ind w:right="1450"/>
              <w:spacing w:after="0"/>
              <w:rPr>
                <w:sz w:val="20"/>
                <w:szCs w:val="20"/>
                <w:color w:val="auto"/>
              </w:rPr>
            </w:pPr>
            <w:r>
              <w:rPr>
                <w:rFonts w:ascii="Arial" w:cs="Arial" w:eastAsia="Arial" w:hAnsi="Arial"/>
                <w:sz w:val="18"/>
                <w:szCs w:val="18"/>
                <w:b w:val="1"/>
                <w:bCs w:val="1"/>
                <w:color w:val="auto"/>
                <w:w w:val="91"/>
              </w:rPr>
              <w:t>(State or other jurisdiction of</w:t>
            </w:r>
          </w:p>
        </w:tc>
        <w:tc>
          <w:tcPr>
            <w:tcW w:w="3300" w:type="dxa"/>
            <w:vAlign w:val="bottom"/>
            <w:gridSpan w:val="2"/>
          </w:tcPr>
          <w:p>
            <w:pPr>
              <w:jc w:val="center"/>
              <w:ind w:right="1000"/>
              <w:spacing w:after="0"/>
              <w:rPr>
                <w:sz w:val="20"/>
                <w:szCs w:val="20"/>
                <w:color w:val="auto"/>
              </w:rPr>
            </w:pPr>
            <w:r>
              <w:rPr>
                <w:rFonts w:ascii="Arial" w:cs="Arial" w:eastAsia="Arial" w:hAnsi="Arial"/>
                <w:sz w:val="18"/>
                <w:szCs w:val="18"/>
                <w:b w:val="1"/>
                <w:bCs w:val="1"/>
                <w:color w:val="auto"/>
                <w:w w:val="91"/>
              </w:rPr>
              <w:t>(Commission File Number)</w:t>
            </w:r>
          </w:p>
        </w:tc>
        <w:tc>
          <w:tcPr>
            <w:tcW w:w="2380" w:type="dxa"/>
            <w:vAlign w:val="bottom"/>
          </w:tcPr>
          <w:p>
            <w:pPr>
              <w:jc w:val="center"/>
              <w:ind w:left="8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800" w:type="dxa"/>
            <w:vAlign w:val="bottom"/>
          </w:tcPr>
          <w:p>
            <w:pPr>
              <w:jc w:val="center"/>
              <w:ind w:right="1470"/>
              <w:spacing w:after="0"/>
              <w:rPr>
                <w:sz w:val="20"/>
                <w:szCs w:val="20"/>
                <w:color w:val="auto"/>
              </w:rPr>
            </w:pPr>
            <w:r>
              <w:rPr>
                <w:rFonts w:ascii="Arial" w:cs="Arial" w:eastAsia="Arial" w:hAnsi="Arial"/>
                <w:sz w:val="18"/>
                <w:szCs w:val="18"/>
                <w:b w:val="1"/>
                <w:bCs w:val="1"/>
                <w:color w:val="auto"/>
                <w:w w:val="91"/>
              </w:rPr>
              <w:t>incorporation)</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center"/>
              <w:ind w:left="890"/>
              <w:spacing w:after="0"/>
              <w:rPr>
                <w:sz w:val="20"/>
                <w:szCs w:val="20"/>
                <w:color w:val="auto"/>
              </w:rPr>
            </w:pPr>
            <w:r>
              <w:rPr>
                <w:rFonts w:ascii="Arial" w:cs="Arial" w:eastAsia="Arial" w:hAnsi="Arial"/>
                <w:sz w:val="18"/>
                <w:szCs w:val="18"/>
                <w:b w:val="1"/>
                <w:bCs w:val="1"/>
                <w:color w:val="auto"/>
                <w:w w:val="92"/>
              </w:rPr>
              <w:t>Identification No.)</w:t>
            </w:r>
          </w:p>
        </w:tc>
      </w:tr>
      <w:tr>
        <w:trPr>
          <w:trHeight w:val="941"/>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 Suite 400</w:t>
            </w: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4"/>
        </w:trPr>
        <w:tc>
          <w:tcPr>
            <w:tcW w:w="3800" w:type="dxa"/>
            <w:vAlign w:val="bottom"/>
          </w:tcPr>
          <w:p>
            <w:pPr>
              <w:jc w:val="center"/>
              <w:ind w:left="310"/>
              <w:spacing w:after="0"/>
              <w:rPr>
                <w:sz w:val="20"/>
                <w:szCs w:val="20"/>
                <w:color w:val="auto"/>
              </w:rPr>
            </w:pPr>
            <w:r>
              <w:rPr>
                <w:rFonts w:ascii="Arial" w:cs="Arial" w:eastAsia="Arial" w:hAnsi="Arial"/>
                <w:sz w:val="18"/>
                <w:szCs w:val="18"/>
                <w:b w:val="1"/>
                <w:bCs w:val="1"/>
                <w:color w:val="auto"/>
                <w:w w:val="95"/>
              </w:rPr>
              <w:t>Miami, Florida</w:t>
            </w:r>
          </w:p>
        </w:tc>
        <w:tc>
          <w:tcPr>
            <w:tcW w:w="2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80" w:type="dxa"/>
            <w:vAlign w:val="bottom"/>
          </w:tcPr>
          <w:p>
            <w:pPr>
              <w:jc w:val="right"/>
              <w:ind w:right="1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380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80" w:type="dxa"/>
            <w:vAlign w:val="bottom"/>
          </w:tcPr>
          <w:p>
            <w:pPr>
              <w:jc w:val="center"/>
              <w:ind w:right="890"/>
              <w:spacing w:after="0"/>
              <w:rPr>
                <w:sz w:val="20"/>
                <w:szCs w:val="20"/>
                <w:color w:val="auto"/>
              </w:rPr>
            </w:pPr>
            <w:r>
              <w:rPr>
                <w:rFonts w:ascii="Arial" w:cs="Arial" w:eastAsia="Arial" w:hAnsi="Arial"/>
                <w:sz w:val="18"/>
                <w:szCs w:val="18"/>
                <w:b w:val="1"/>
                <w:bCs w:val="1"/>
                <w:color w:val="auto"/>
                <w:w w:val="94"/>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4340225</wp:posOffset>
            </wp:positionH>
            <wp:positionV relativeFrom="paragraph">
              <wp:posOffset>-1504315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2882265</wp:posOffset>
            </wp:positionH>
            <wp:positionV relativeFrom="paragraph">
              <wp:posOffset>-1504315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2882265</wp:posOffset>
            </wp:positionH>
            <wp:positionV relativeFrom="paragraph">
              <wp:posOffset>142240</wp:posOffset>
            </wp:positionV>
            <wp:extent cx="149161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425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6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122555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208280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828"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jc w:val="both"/>
        <w:ind w:firstLine="308"/>
        <w:spacing w:after="0" w:line="251" w:lineRule="auto"/>
        <w:rPr>
          <w:sz w:val="20"/>
          <w:szCs w:val="20"/>
          <w:color w:val="auto"/>
        </w:rPr>
      </w:pPr>
      <w:r>
        <w:rPr>
          <w:rFonts w:ascii="Arial" w:cs="Arial" w:eastAsia="Arial" w:hAnsi="Arial"/>
          <w:sz w:val="22"/>
          <w:szCs w:val="22"/>
          <w:color w:val="auto"/>
        </w:rPr>
        <w:t>The following information is provided pursuant to Item 7.01 of Form 8-K, “Regulation FD Disclosure” and Item 2.02 of Form 8-K, “Results of Operations and Financial Condition.”</w:t>
      </w:r>
    </w:p>
    <w:p>
      <w:pPr>
        <w:spacing w:after="0" w:line="173" w:lineRule="exact"/>
        <w:rPr>
          <w:sz w:val="20"/>
          <w:szCs w:val="20"/>
          <w:color w:val="auto"/>
        </w:rPr>
      </w:pPr>
    </w:p>
    <w:p>
      <w:pPr>
        <w:jc w:val="both"/>
        <w:ind w:firstLine="306"/>
        <w:spacing w:after="0" w:line="251" w:lineRule="auto"/>
        <w:rPr>
          <w:sz w:val="20"/>
          <w:szCs w:val="20"/>
          <w:color w:val="auto"/>
        </w:rPr>
      </w:pPr>
      <w:r>
        <w:rPr>
          <w:rFonts w:ascii="Arial" w:cs="Arial" w:eastAsia="Arial" w:hAnsi="Arial"/>
          <w:sz w:val="22"/>
          <w:szCs w:val="22"/>
          <w:color w:val="auto"/>
        </w:rPr>
        <w:t>On February 21, 2013, World Fuel Services Corporation issued a press release reporting its financial results for the quarter and fiscal year ended December 31, 2012. A copy of the press release is attached hereto as Exhibit 99.1.</w:t>
      </w:r>
    </w:p>
    <w:p>
      <w:pPr>
        <w:spacing w:after="0" w:line="173" w:lineRule="exact"/>
        <w:rPr>
          <w:sz w:val="20"/>
          <w:szCs w:val="20"/>
          <w:color w:val="auto"/>
        </w:rPr>
      </w:pPr>
    </w:p>
    <w:p>
      <w:pPr>
        <w:jc w:val="both"/>
        <w:ind w:firstLine="343"/>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60" w:type="dxa"/>
            <w:vAlign w:val="bottom"/>
          </w:tcPr>
          <w:p>
            <w:pPr>
              <w:ind w:left="420"/>
              <w:spacing w:after="0"/>
              <w:rPr>
                <w:sz w:val="20"/>
                <w:szCs w:val="20"/>
                <w:color w:val="auto"/>
              </w:rPr>
            </w:pPr>
            <w:r>
              <w:rPr>
                <w:rFonts w:ascii="Arial" w:cs="Arial" w:eastAsia="Arial" w:hAnsi="Arial"/>
                <w:sz w:val="22"/>
                <w:szCs w:val="22"/>
                <w:color w:val="auto"/>
              </w:rPr>
              <w:t>(d)</w:t>
            </w:r>
          </w:p>
        </w:tc>
        <w:tc>
          <w:tcPr>
            <w:tcW w:w="1660" w:type="dxa"/>
            <w:vAlign w:val="bottom"/>
            <w:gridSpan w:val="3"/>
          </w:tcPr>
          <w:p>
            <w:pPr>
              <w:ind w:left="180"/>
              <w:spacing w:after="0"/>
              <w:rPr>
                <w:sz w:val="20"/>
                <w:szCs w:val="20"/>
                <w:color w:val="auto"/>
              </w:rPr>
            </w:pPr>
            <w:r>
              <w:rPr>
                <w:rFonts w:ascii="Arial" w:cs="Arial" w:eastAsia="Arial" w:hAnsi="Arial"/>
                <w:sz w:val="22"/>
                <w:szCs w:val="22"/>
                <w:color w:val="auto"/>
              </w:rPr>
              <w:t>Exhibits</w:t>
            </w: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780" w:type="dxa"/>
            <w:vAlign w:val="bottom"/>
          </w:tcPr>
          <w:p>
            <w:pPr>
              <w:spacing w:after="0"/>
              <w:rPr>
                <w:sz w:val="23"/>
                <w:szCs w:val="23"/>
                <w:color w:val="auto"/>
              </w:rPr>
            </w:pPr>
          </w:p>
        </w:tc>
      </w:tr>
      <w:tr>
        <w:trPr>
          <w:trHeight w:val="395"/>
        </w:trPr>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 No.</w:t>
            </w:r>
          </w:p>
        </w:tc>
        <w:tc>
          <w:tcPr>
            <w:tcW w:w="890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r>
      <w:tr>
        <w:trPr>
          <w:trHeight w:val="264"/>
        </w:trPr>
        <w:tc>
          <w:tcPr>
            <w:tcW w:w="8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jc w:val="right"/>
              <w:ind w:right="190"/>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Press Release, dated February 21, 2013.</w:t>
            </w:r>
          </w:p>
        </w:tc>
      </w:tr>
      <w:tr>
        <w:trPr>
          <w:trHeight w:val="230"/>
        </w:trPr>
        <w:tc>
          <w:tcPr>
            <w:tcW w:w="86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00" w:type="dxa"/>
            <w:vAlign w:val="bottom"/>
            <w:tcBorders>
              <w:bottom w:val="single" w:sz="8" w:color="9A9A9A"/>
            </w:tcBorders>
          </w:tcPr>
          <w:p>
            <w:pPr>
              <w:spacing w:after="0"/>
              <w:rPr>
                <w:sz w:val="19"/>
                <w:szCs w:val="19"/>
                <w:color w:val="auto"/>
              </w:rPr>
            </w:pPr>
          </w:p>
        </w:tc>
        <w:tc>
          <w:tcPr>
            <w:tcW w:w="7780" w:type="dxa"/>
            <w:vAlign w:val="bottom"/>
            <w:tcBorders>
              <w:bottom w:val="single" w:sz="8" w:color="9A9A9A"/>
            </w:tcBorders>
          </w:tcPr>
          <w:p>
            <w:pPr>
              <w:spacing w:after="0"/>
              <w:rPr>
                <w:sz w:val="19"/>
                <w:szCs w:val="19"/>
                <w:color w:val="auto"/>
              </w:rPr>
            </w:pPr>
          </w:p>
        </w:tc>
      </w:tr>
      <w:tr>
        <w:trPr>
          <w:trHeight w:val="21"/>
        </w:trPr>
        <w:tc>
          <w:tcPr>
            <w:tcW w:w="8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77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7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February 21, 2013</w:t>
      </w:r>
      <w:r>
        <w:rPr>
          <w:sz w:val="20"/>
          <w:szCs w:val="20"/>
          <w:color w:val="auto"/>
        </w:rPr>
        <w:tab/>
      </w:r>
      <w:r>
        <w:rPr>
          <w:rFonts w:ascii="Arial" w:cs="Arial" w:eastAsia="Arial" w:hAnsi="Arial"/>
          <w:sz w:val="16"/>
          <w:szCs w:val="16"/>
          <w:b w:val="1"/>
          <w:bCs w:val="1"/>
          <w:color w:val="auto"/>
        </w:rPr>
        <w:t>World Fuel Services Corporation</w:t>
      </w: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Ira M. Birns</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700"/>
          </w:cols>
          <w:pgMar w:left="240" w:top="121" w:right="9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1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540" w:type="dxa"/>
            <w:vAlign w:val="bottom"/>
          </w:tcPr>
          <w:p>
            <w:pPr>
              <w:ind w:left="2040"/>
              <w:spacing w:after="0"/>
              <w:rPr>
                <w:sz w:val="20"/>
                <w:szCs w:val="20"/>
                <w:color w:val="auto"/>
              </w:rPr>
            </w:pPr>
            <w:r>
              <w:rPr>
                <w:rFonts w:ascii="Arial" w:cs="Arial" w:eastAsia="Arial" w:hAnsi="Arial"/>
                <w:sz w:val="22"/>
                <w:szCs w:val="22"/>
                <w:color w:val="auto"/>
              </w:rPr>
              <w:t>EXHIBIT INDEX</w:t>
            </w:r>
          </w:p>
        </w:tc>
      </w:tr>
      <w:tr>
        <w:trPr>
          <w:trHeight w:val="686"/>
        </w:trPr>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w:t>
            </w:r>
          </w:p>
        </w:tc>
        <w:tc>
          <w:tcPr>
            <w:tcW w:w="1160" w:type="dxa"/>
            <w:vAlign w:val="bottom"/>
          </w:tcPr>
          <w:p>
            <w:pPr>
              <w:spacing w:after="0"/>
              <w:rPr>
                <w:sz w:val="24"/>
                <w:szCs w:val="24"/>
                <w:color w:val="auto"/>
              </w:rPr>
            </w:pPr>
          </w:p>
        </w:tc>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99.1</w:t>
            </w:r>
          </w:p>
        </w:tc>
        <w:tc>
          <w:tcPr>
            <w:tcW w:w="116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Press Release, dated February 21, 2013.</w:t>
            </w:r>
          </w:p>
        </w:tc>
      </w:tr>
    </w:tbl>
    <w:p>
      <w:pPr>
        <w:sectPr>
          <w:pgSz w:w="11900" w:h="16838" w:orient="portrait"/>
          <w:cols w:equalWidth="0" w:num="1">
            <w:col w:w="11420"/>
          </w:cols>
          <w:pgMar w:left="240" w:top="11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Reports Fourth Quarter and Full Year Earnings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Generated Operating Cash Flow of $98 Million in the Fourth Quarter and $146 Million for the Full Year</w:t>
      </w:r>
    </w:p>
    <w:p>
      <w:pPr>
        <w:spacing w:after="0" w:line="212"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MIAMI--(BUSINESS WIRE)--February 21, 2013--World Fuel Services Corporation (NYSE:INT), a leading global fuel logistics company, principally engaged in the marketing, sale and distribution of aviation, marine and land fuel products and related services, today reported full year net income of $189.3 million or $2.64 diluted earnings per share. Excluding one-time expenses of $4.5 million related to the acquisition of select assets of Multi Service Corporation (“Multi Service”), net income was $192.3 million or $2.68 diluted earnings per share. This compares to $194.0 million or $2.71 diluted earnings per share for the same period in 2011. Non-GAAP net income and diluted earnings per share for the full year, excluding share-based compensation, amortization of acquired intangible assets and expenses related to the Multi Service acquisition, were $215.9 million and $3.01, respectively, compared to $221.1 million and $3.09 in 2011.</w:t>
      </w:r>
    </w:p>
    <w:p>
      <w:pPr>
        <w:spacing w:after="0" w:line="181"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For the fourth quarter, net income was $42.8 million or $0.60 diluted earnings per share. Excluding expenses related to the Multi Service acquisition, net income was $45.8 million or $0.64 diluted earnings per share. This compares to $50.1 million or $0.70 diluted earnings per share in the fourth quarter of 2011. Non-GAAP net income and diluted earnings per share for the fourth quarter, excluding share-based compensation, amortization of acquired intangible assets and expenses related to the Multi Service acquisition, were $52.3 million and $0.73, respectively, compared to $57.4 million and $0.81 in the fourth quarter of 2011.</w:t>
      </w:r>
    </w:p>
    <w:p>
      <w:pPr>
        <w:spacing w:after="0" w:line="148" w:lineRule="exact"/>
        <w:rPr>
          <w:sz w:val="20"/>
          <w:szCs w:val="20"/>
          <w:color w:val="auto"/>
        </w:rPr>
      </w:pPr>
    </w:p>
    <w:p>
      <w:pPr>
        <w:ind w:right="260"/>
        <w:spacing w:after="0" w:line="258" w:lineRule="auto"/>
        <w:rPr>
          <w:sz w:val="20"/>
          <w:szCs w:val="20"/>
          <w:color w:val="auto"/>
        </w:rPr>
      </w:pPr>
      <w:r>
        <w:rPr>
          <w:rFonts w:ascii="Arial" w:cs="Arial" w:eastAsia="Arial" w:hAnsi="Arial"/>
          <w:sz w:val="21"/>
          <w:szCs w:val="21"/>
          <w:color w:val="auto"/>
        </w:rPr>
        <w:t>“In 2012, despite a stagnant market, we posted record revenue, gross profit, and volume while completing two strategic acquisitions,” stated Michael J. Kasbar, president and chief executive officer of World Fuel Services Corporation. “Multi Service enhances our comprehensive solutions offering and opens up new opportunities for growth and value creation.”</w:t>
      </w:r>
    </w:p>
    <w:p>
      <w:pPr>
        <w:spacing w:after="0" w:line="167" w:lineRule="exact"/>
        <w:rPr>
          <w:sz w:val="20"/>
          <w:szCs w:val="20"/>
          <w:color w:val="auto"/>
        </w:rPr>
      </w:pPr>
    </w:p>
    <w:p>
      <w:pPr>
        <w:ind w:right="20"/>
        <w:spacing w:after="0" w:line="238" w:lineRule="auto"/>
        <w:rPr>
          <w:sz w:val="20"/>
          <w:szCs w:val="20"/>
          <w:color w:val="auto"/>
        </w:rPr>
      </w:pPr>
      <w:r>
        <w:rPr>
          <w:rFonts w:ascii="Arial" w:cs="Arial" w:eastAsia="Arial" w:hAnsi="Arial"/>
          <w:sz w:val="22"/>
          <w:szCs w:val="22"/>
          <w:color w:val="auto"/>
        </w:rPr>
        <w:t>For the full year, the company’s marine segment generated gross profit of $208.0 million, an increase of approximately $12.9 million or 7 percent year-over-year. The company’s aviation segment generated gross profit of $294.6 million, a decrease of $11.5 million or 4 percent year-over-year. The company’s land segment posted gross profit of $170.8 million, an increase of $37.0 million or 28 percent year-over-year.</w:t>
      </w:r>
    </w:p>
    <w:p>
      <w:pPr>
        <w:spacing w:after="0" w:line="185"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“The two accretive and strategic acquisitions we completed this past year will further expand the value proposition we offer to our customers and suppliers and provide new avenues for growth,” said Ira M. Birns, executive vice president and chief financial officer. “Our operating cash flow contributed to our very strong and liquid balance sheet enabling us to further fuel organic growth as well as make additional strategic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272020"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u w:val="single" w:color="auto"/>
          <w:color w:val="auto"/>
        </w:rPr>
        <w:t>Non-GAAP Financial Measures</w:t>
      </w:r>
    </w:p>
    <w:p>
      <w:pPr>
        <w:spacing w:after="0" w:line="207" w:lineRule="exact"/>
        <w:rPr>
          <w:sz w:val="20"/>
          <w:szCs w:val="20"/>
          <w:color w:val="auto"/>
        </w:rPr>
      </w:pPr>
    </w:p>
    <w:p>
      <w:pPr>
        <w:ind w:right="200"/>
        <w:spacing w:after="0" w:line="247" w:lineRule="auto"/>
        <w:rPr>
          <w:sz w:val="20"/>
          <w:szCs w:val="20"/>
          <w:color w:val="auto"/>
        </w:rPr>
      </w:pPr>
      <w:r>
        <w:rPr>
          <w:rFonts w:ascii="Arial" w:cs="Arial" w:eastAsia="Arial" w:hAnsi="Arial"/>
          <w:sz w:val="21"/>
          <w:szCs w:val="21"/>
          <w:color w:val="auto"/>
        </w:rPr>
        <w:t>This press release includes selected financial information that has not been prepared in accordance with accounting principles generally accepted in the United States (“GAAP”). This information includes non-GAAP net income and non-GAAP diluted earnings per share. The non-GAAP financial measures exclude costs associated with share-based compensation, amortization of acquired intangible assets and one-time expenses related to the acquisition of select assets of Multi Service, primarily because we do not believe they are reflective of the company’s core operating results. We believe that these non-GAAP financial measures, when considered in conjunction with our financial information prepared in accordance with GAAP, are useful for investors to evaluate our core operating results and trends.</w:t>
      </w:r>
    </w:p>
    <w:p>
      <w:pPr>
        <w:spacing w:after="0" w:line="178" w:lineRule="exact"/>
        <w:rPr>
          <w:sz w:val="20"/>
          <w:szCs w:val="20"/>
          <w:color w:val="auto"/>
        </w:rPr>
      </w:pPr>
    </w:p>
    <w:p>
      <w:pPr>
        <w:ind w:right="80"/>
        <w:spacing w:after="0" w:line="282" w:lineRule="auto"/>
        <w:rPr>
          <w:sz w:val="20"/>
          <w:szCs w:val="20"/>
          <w:color w:val="auto"/>
        </w:rPr>
      </w:pPr>
      <w:r>
        <w:rPr>
          <w:rFonts w:ascii="Arial" w:cs="Arial" w:eastAsia="Arial" w:hAnsi="Arial"/>
          <w:sz w:val="19"/>
          <w:szCs w:val="19"/>
          <w:color w:val="auto"/>
        </w:rPr>
        <w:t>Non-GAAP financial measures should not be considered in isolation from, or as a substitute for, financial information prepared in accordance with GAAP. In addition, our presentation of non-GAAP net income and non-GAAP diluted earnings per share may not be comparable to the presentation of such metrics by other companies. Investors are encouraged to review the reconciliation of these non-GAAP measures to their most directly comparable GAAP financial measure. A reconciliation of GAAP to non-GAAP results has been provided in the financial statement tables included in this press release.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Information Relating to Forward-Looking Statements</w:t>
      </w:r>
    </w:p>
    <w:p>
      <w:pPr>
        <w:spacing w:after="0" w:line="206"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With the exception of historical information in this news release, this document includes forward-looking statements within the meaning of the Private Securities Litigation Reform Act of 1995, including statements regarding our expectations of opportunities for growth and value creation, as well as our expectation about our value proposition. These forward-looking statements are qualified in their entirety by cautionary statements and risk factor disclosures contained in the company’s Securities and Exchange Commission filings, including the company’s Annual Report on Form 10-K. Actual results may differ materially from any forward-looking statements due to risks and uncertainties, including, but not limited to: our ability to effectively integrate and derive benefits from acquired businesses, our ability to capitalize on new market opportunities, the impact of quarterly fluctuations in results, the creditworthiness of our customers and counterparties and our ability to collect accounts receivable, fluctuations in world oil prices or foreign currency, changes in political, economic, regulatory, or environmental conditions, adverse conditions in the markets or industries in which we or our customers and suppliers operate, our failure to effectively hedge certain financial risks associated with the use of derivatives, non-performance by counterparties or customers on derivatives contracts, loss of, or reduced sales, to a significant government customer, uninsured losses, the impact of natural disasters, adverse results in legal disputes, unanticipated tax liabilities, our ability to retain and attract senior management and other key employees and other risks detailed from time to time in the company’s Securities and Exchange Commission filings. 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changes in expectations, future events, or otherwise.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Headquartered in Miami, Florida, World Fuel Services is a leading global fuel logistics company, principally engaged in the marketing, sale and distribution of aviation, marine and land fuel products and related services on a worldwide basis.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4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97790</wp:posOffset>
            </wp:positionV>
            <wp:extent cx="7272020"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0" w:type="dxa"/>
            <w:vAlign w:val="bottom"/>
            <w:gridSpan w:val="4"/>
          </w:tcPr>
          <w:p>
            <w:pPr>
              <w:jc w:val="right"/>
              <w:ind w:right="588"/>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color w:val="auto"/>
              </w:rPr>
              <w:t>For the Year ended</w:t>
            </w:r>
          </w:p>
        </w:tc>
        <w:tc>
          <w:tcPr>
            <w:tcW w:w="920" w:type="dxa"/>
            <w:vAlign w:val="bottom"/>
          </w:tcPr>
          <w:p>
            <w:pPr>
              <w:spacing w:after="0"/>
              <w:rPr>
                <w:sz w:val="15"/>
                <w:szCs w:val="15"/>
                <w:color w:val="auto"/>
              </w:rPr>
            </w:pPr>
          </w:p>
        </w:tc>
      </w:tr>
      <w:tr>
        <w:trPr>
          <w:trHeight w:val="181"/>
        </w:trPr>
        <w:tc>
          <w:tcPr>
            <w:tcW w:w="5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December 31,</w:t>
            </w: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color w:val="auto"/>
              </w:rPr>
              <w:t>December 31,</w:t>
            </w:r>
          </w:p>
        </w:tc>
        <w:tc>
          <w:tcPr>
            <w:tcW w:w="920" w:type="dxa"/>
            <w:vAlign w:val="bottom"/>
            <w:tcBorders>
              <w:bottom w:val="single" w:sz="8" w:color="auto"/>
            </w:tcBorders>
          </w:tcPr>
          <w:p>
            <w:pPr>
              <w:spacing w:after="0"/>
              <w:rPr>
                <w:sz w:val="15"/>
                <w:szCs w:val="15"/>
                <w:color w:val="auto"/>
              </w:rPr>
            </w:pPr>
          </w:p>
        </w:tc>
      </w:tr>
      <w:tr>
        <w:trPr>
          <w:trHeight w:val="169"/>
        </w:trPr>
        <w:tc>
          <w:tcPr>
            <w:tcW w:w="5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2011</w:t>
            </w:r>
          </w:p>
        </w:tc>
      </w:tr>
      <w:tr>
        <w:trPr>
          <w:trHeight w:val="515"/>
        </w:trPr>
        <w:tc>
          <w:tcPr>
            <w:tcW w:w="5320" w:type="dxa"/>
            <w:vAlign w:val="bottom"/>
          </w:tcPr>
          <w:p>
            <w:pPr>
              <w:ind w:left="80"/>
              <w:spacing w:after="0"/>
              <w:rPr>
                <w:sz w:val="20"/>
                <w:szCs w:val="20"/>
                <w:color w:val="auto"/>
              </w:rPr>
            </w:pPr>
            <w:r>
              <w:rPr>
                <w:rFonts w:ascii="Arial" w:cs="Arial" w:eastAsia="Arial" w:hAnsi="Arial"/>
                <w:sz w:val="14"/>
                <w:szCs w:val="14"/>
                <w:color w:val="auto"/>
              </w:rPr>
              <w:t>Revenue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9,935,813</w:t>
            </w:r>
          </w:p>
        </w:tc>
        <w:tc>
          <w:tcPr>
            <w:tcW w:w="5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9,323,947</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38,945,338</w:t>
            </w:r>
          </w:p>
        </w:tc>
        <w:tc>
          <w:tcPr>
            <w:tcW w:w="6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34,622,854</w:t>
            </w:r>
          </w:p>
        </w:tc>
      </w:tr>
      <w:tr>
        <w:trPr>
          <w:trHeight w:val="181"/>
        </w:trPr>
        <w:tc>
          <w:tcPr>
            <w:tcW w:w="5320" w:type="dxa"/>
            <w:vAlign w:val="bottom"/>
          </w:tcPr>
          <w:p>
            <w:pPr>
              <w:ind w:left="80"/>
              <w:spacing w:after="0"/>
              <w:rPr>
                <w:sz w:val="20"/>
                <w:szCs w:val="20"/>
                <w:color w:val="auto"/>
              </w:rPr>
            </w:pPr>
            <w:r>
              <w:rPr>
                <w:rFonts w:ascii="Arial" w:cs="Arial" w:eastAsia="Arial" w:hAnsi="Arial"/>
                <w:sz w:val="14"/>
                <w:szCs w:val="14"/>
                <w:color w:val="auto"/>
              </w:rPr>
              <w:t>Cost of revenue</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9,772,476</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9,161,661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38,271,891</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33,987,851</w:t>
            </w:r>
          </w:p>
        </w:tc>
      </w:tr>
      <w:tr>
        <w:trPr>
          <w:trHeight w:val="345"/>
        </w:trPr>
        <w:tc>
          <w:tcPr>
            <w:tcW w:w="5320" w:type="dxa"/>
            <w:vAlign w:val="bottom"/>
          </w:tcPr>
          <w:p>
            <w:pPr>
              <w:ind w:left="280"/>
              <w:spacing w:after="0"/>
              <w:rPr>
                <w:sz w:val="20"/>
                <w:szCs w:val="20"/>
                <w:color w:val="auto"/>
              </w:rPr>
            </w:pPr>
            <w:r>
              <w:rPr>
                <w:rFonts w:ascii="Arial" w:cs="Arial" w:eastAsia="Arial" w:hAnsi="Arial"/>
                <w:sz w:val="14"/>
                <w:szCs w:val="14"/>
                <w:color w:val="auto"/>
              </w:rPr>
              <w:t>Gross profit</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163,337</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162,286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673,447</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635,003</w:t>
            </w:r>
          </w:p>
        </w:tc>
      </w:tr>
      <w:tr>
        <w:trPr>
          <w:trHeight w:val="339"/>
        </w:trPr>
        <w:tc>
          <w:tcPr>
            <w:tcW w:w="5320" w:type="dxa"/>
            <w:vAlign w:val="bottom"/>
          </w:tcPr>
          <w:p>
            <w:pPr>
              <w:ind w:left="80"/>
              <w:spacing w:after="0"/>
              <w:rPr>
                <w:sz w:val="20"/>
                <w:szCs w:val="20"/>
                <w:color w:val="auto"/>
              </w:rPr>
            </w:pPr>
            <w:r>
              <w:rPr>
                <w:rFonts w:ascii="Arial" w:cs="Arial" w:eastAsia="Arial" w:hAnsi="Arial"/>
                <w:sz w:val="14"/>
                <w:szCs w:val="14"/>
                <w:color w:val="auto"/>
              </w:rPr>
              <w:t>Operating expenses:</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320" w:type="dxa"/>
            <w:vAlign w:val="bottom"/>
          </w:tcPr>
          <w:p>
            <w:pPr>
              <w:ind w:left="180"/>
              <w:spacing w:after="0"/>
              <w:rPr>
                <w:sz w:val="20"/>
                <w:szCs w:val="20"/>
                <w:color w:val="auto"/>
              </w:rPr>
            </w:pPr>
            <w:r>
              <w:rPr>
                <w:rFonts w:ascii="Arial" w:cs="Arial" w:eastAsia="Arial" w:hAnsi="Arial"/>
                <w:sz w:val="14"/>
                <w:szCs w:val="14"/>
                <w:color w:val="auto"/>
              </w:rPr>
              <w:t>Compensation and employee benefits</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60,809</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56,114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237,362</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215,275</w:t>
            </w:r>
          </w:p>
        </w:tc>
      </w:tr>
      <w:tr>
        <w:trPr>
          <w:trHeight w:val="176"/>
        </w:trPr>
        <w:tc>
          <w:tcPr>
            <w:tcW w:w="5320" w:type="dxa"/>
            <w:vAlign w:val="bottom"/>
          </w:tcPr>
          <w:p>
            <w:pPr>
              <w:ind w:left="180"/>
              <w:spacing w:after="0"/>
              <w:rPr>
                <w:sz w:val="20"/>
                <w:szCs w:val="20"/>
                <w:color w:val="auto"/>
              </w:rPr>
            </w:pPr>
            <w:r>
              <w:rPr>
                <w:rFonts w:ascii="Arial" w:cs="Arial" w:eastAsia="Arial" w:hAnsi="Arial"/>
                <w:sz w:val="14"/>
                <w:szCs w:val="14"/>
                <w:color w:val="auto"/>
              </w:rPr>
              <w:t>Provision for bad debt</w:t>
            </w:r>
          </w:p>
        </w:tc>
        <w:tc>
          <w:tcPr>
            <w:tcW w:w="3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1,424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4,790</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8,173</w:t>
            </w:r>
          </w:p>
        </w:tc>
      </w:tr>
      <w:tr>
        <w:trPr>
          <w:trHeight w:val="181"/>
        </w:trPr>
        <w:tc>
          <w:tcPr>
            <w:tcW w:w="5320" w:type="dxa"/>
            <w:vAlign w:val="bottom"/>
          </w:tcPr>
          <w:p>
            <w:pPr>
              <w:ind w:left="18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47,790</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40,329</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174,272</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154,583</w:t>
            </w:r>
          </w:p>
        </w:tc>
      </w:tr>
      <w:tr>
        <w:trPr>
          <w:trHeight w:val="345"/>
        </w:trPr>
        <w:tc>
          <w:tcPr>
            <w:tcW w:w="5320" w:type="dxa"/>
            <w:vAlign w:val="bottom"/>
          </w:tcPr>
          <w:p>
            <w:pPr>
              <w:ind w:left="28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108,976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97,867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416,424</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378,031</w:t>
            </w:r>
          </w:p>
        </w:tc>
      </w:tr>
      <w:tr>
        <w:trPr>
          <w:trHeight w:val="339"/>
        </w:trPr>
        <w:tc>
          <w:tcPr>
            <w:tcW w:w="5320" w:type="dxa"/>
            <w:vAlign w:val="bottom"/>
          </w:tcPr>
          <w:p>
            <w:pPr>
              <w:ind w:left="280"/>
              <w:spacing w:after="0"/>
              <w:rPr>
                <w:sz w:val="20"/>
                <w:szCs w:val="20"/>
                <w:color w:val="auto"/>
              </w:rPr>
            </w:pPr>
            <w:r>
              <w:rPr>
                <w:rFonts w:ascii="Arial" w:cs="Arial" w:eastAsia="Arial" w:hAnsi="Arial"/>
                <w:sz w:val="14"/>
                <w:szCs w:val="14"/>
                <w:color w:val="auto"/>
              </w:rPr>
              <w:t>Income from operations</w:t>
            </w:r>
          </w:p>
        </w:tc>
        <w:tc>
          <w:tcPr>
            <w:tcW w:w="3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54,361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64,419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257,023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256,972</w:t>
            </w:r>
          </w:p>
        </w:tc>
      </w:tr>
      <w:tr>
        <w:trPr>
          <w:trHeight w:val="181"/>
        </w:trPr>
        <w:tc>
          <w:tcPr>
            <w:tcW w:w="5320" w:type="dxa"/>
            <w:vAlign w:val="bottom"/>
          </w:tcPr>
          <w:p>
            <w:pPr>
              <w:ind w:left="80"/>
              <w:spacing w:after="0"/>
              <w:rPr>
                <w:sz w:val="20"/>
                <w:szCs w:val="20"/>
                <w:color w:val="auto"/>
              </w:rPr>
            </w:pPr>
            <w:r>
              <w:rPr>
                <w:rFonts w:ascii="Arial" w:cs="Arial" w:eastAsia="Arial" w:hAnsi="Arial"/>
                <w:sz w:val="14"/>
                <w:szCs w:val="14"/>
                <w:color w:val="auto"/>
              </w:rPr>
              <w:t>Non-operating expenses, net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(4,341)</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(4,501)</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(17,428)</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(18,769)</w:t>
            </w:r>
          </w:p>
        </w:tc>
      </w:tr>
      <w:tr>
        <w:trPr>
          <w:trHeight w:val="339"/>
        </w:trPr>
        <w:tc>
          <w:tcPr>
            <w:tcW w:w="5320" w:type="dxa"/>
            <w:vAlign w:val="bottom"/>
          </w:tcPr>
          <w:p>
            <w:pPr>
              <w:ind w:left="80"/>
              <w:spacing w:after="0"/>
              <w:rPr>
                <w:sz w:val="20"/>
                <w:szCs w:val="20"/>
                <w:color w:val="auto"/>
              </w:rPr>
            </w:pPr>
            <w:r>
              <w:rPr>
                <w:rFonts w:ascii="Arial" w:cs="Arial" w:eastAsia="Arial" w:hAnsi="Arial"/>
                <w:sz w:val="14"/>
                <w:szCs w:val="14"/>
                <w:color w:val="auto"/>
              </w:rPr>
              <w:t>Income before income taxes</w:t>
            </w:r>
          </w:p>
        </w:tc>
        <w:tc>
          <w:tcPr>
            <w:tcW w:w="3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50,020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59,918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239,595</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238,203</w:t>
            </w:r>
          </w:p>
        </w:tc>
      </w:tr>
      <w:tr>
        <w:trPr>
          <w:trHeight w:val="181"/>
        </w:trPr>
        <w:tc>
          <w:tcPr>
            <w:tcW w:w="5320" w:type="dxa"/>
            <w:vAlign w:val="bottom"/>
          </w:tcPr>
          <w:p>
            <w:pPr>
              <w:ind w:left="80"/>
              <w:spacing w:after="0"/>
              <w:rPr>
                <w:sz w:val="20"/>
                <w:szCs w:val="20"/>
                <w:color w:val="auto"/>
              </w:rPr>
            </w:pPr>
            <w:r>
              <w:rPr>
                <w:rFonts w:ascii="Arial" w:cs="Arial" w:eastAsia="Arial" w:hAnsi="Arial"/>
                <w:sz w:val="14"/>
                <w:szCs w:val="14"/>
                <w:color w:val="auto"/>
              </w:rPr>
              <w:t>Provision for income taxes</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4,995</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6,888</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38,244</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39,001</w:t>
            </w:r>
          </w:p>
        </w:tc>
      </w:tr>
      <w:tr>
        <w:trPr>
          <w:trHeight w:val="339"/>
        </w:trPr>
        <w:tc>
          <w:tcPr>
            <w:tcW w:w="5320" w:type="dxa"/>
            <w:vAlign w:val="bottom"/>
          </w:tcPr>
          <w:p>
            <w:pPr>
              <w:ind w:left="80"/>
              <w:spacing w:after="0"/>
              <w:rPr>
                <w:sz w:val="20"/>
                <w:szCs w:val="20"/>
                <w:color w:val="auto"/>
              </w:rPr>
            </w:pPr>
            <w:r>
              <w:rPr>
                <w:rFonts w:ascii="Arial" w:cs="Arial" w:eastAsia="Arial" w:hAnsi="Arial"/>
                <w:sz w:val="14"/>
                <w:szCs w:val="14"/>
                <w:color w:val="auto"/>
              </w:rPr>
              <w:t>Net income including noncontrolling interest</w:t>
            </w:r>
          </w:p>
        </w:tc>
        <w:tc>
          <w:tcPr>
            <w:tcW w:w="360" w:type="dxa"/>
            <w:vAlign w:val="bottom"/>
          </w:tcPr>
          <w:p>
            <w:pPr>
              <w:spacing w:after="0"/>
              <w:rPr>
                <w:sz w:val="24"/>
                <w:szCs w:val="2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45,025</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53,030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201,351</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199,202</w:t>
            </w:r>
          </w:p>
        </w:tc>
      </w:tr>
      <w:tr>
        <w:trPr>
          <w:trHeight w:val="181"/>
        </w:trPr>
        <w:tc>
          <w:tcPr>
            <w:tcW w:w="5320" w:type="dxa"/>
            <w:vAlign w:val="bottom"/>
          </w:tcPr>
          <w:p>
            <w:pPr>
              <w:ind w:left="80"/>
              <w:spacing w:after="0"/>
              <w:rPr>
                <w:sz w:val="20"/>
                <w:szCs w:val="20"/>
                <w:color w:val="auto"/>
              </w:rPr>
            </w:pPr>
            <w:r>
              <w:rPr>
                <w:rFonts w:ascii="Arial" w:cs="Arial" w:eastAsia="Arial" w:hAnsi="Arial"/>
                <w:sz w:val="14"/>
                <w:szCs w:val="14"/>
                <w:color w:val="auto"/>
              </w:rPr>
              <w:t>Net income attributable to noncontrolling interest</w:t>
            </w:r>
          </w:p>
        </w:tc>
        <w:tc>
          <w:tcPr>
            <w:tcW w:w="3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2,189</w:t>
            </w:r>
          </w:p>
        </w:tc>
        <w:tc>
          <w:tcPr>
            <w:tcW w:w="1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2,968</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12,006</w:t>
            </w:r>
          </w:p>
        </w:tc>
        <w:tc>
          <w:tcPr>
            <w:tcW w:w="1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5,173</w:t>
            </w:r>
          </w:p>
        </w:tc>
      </w:tr>
      <w:tr>
        <w:trPr>
          <w:trHeight w:val="345"/>
        </w:trPr>
        <w:tc>
          <w:tcPr>
            <w:tcW w:w="5320" w:type="dxa"/>
            <w:vAlign w:val="bottom"/>
          </w:tcPr>
          <w:p>
            <w:pPr>
              <w:ind w:left="80"/>
              <w:spacing w:after="0"/>
              <w:rPr>
                <w:sz w:val="20"/>
                <w:szCs w:val="20"/>
                <w:color w:val="auto"/>
              </w:rPr>
            </w:pPr>
            <w:r>
              <w:rPr>
                <w:rFonts w:ascii="Arial" w:cs="Arial" w:eastAsia="Arial" w:hAnsi="Arial"/>
                <w:sz w:val="14"/>
                <w:szCs w:val="14"/>
                <w:color w:val="auto"/>
              </w:rPr>
              <w:t>Net income attributable to World Fuel</w:t>
            </w:r>
          </w:p>
        </w:tc>
        <w:tc>
          <w:tcPr>
            <w:tcW w:w="3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42,836</w:t>
            </w:r>
          </w:p>
        </w:tc>
        <w:tc>
          <w:tcPr>
            <w:tcW w:w="120" w:type="dxa"/>
            <w:vAlign w:val="bottom"/>
          </w:tcPr>
          <w:p>
            <w:pPr>
              <w:spacing w:after="0"/>
              <w:rPr>
                <w:sz w:val="24"/>
                <w:szCs w:val="24"/>
                <w:color w:val="auto"/>
              </w:rPr>
            </w:pPr>
          </w:p>
        </w:tc>
        <w:tc>
          <w:tcPr>
            <w:tcW w:w="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50,062</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189,345</w:t>
            </w:r>
          </w:p>
        </w:tc>
        <w:tc>
          <w:tcPr>
            <w:tcW w:w="120" w:type="dxa"/>
            <w:vAlign w:val="bottom"/>
          </w:tcPr>
          <w:p>
            <w:pPr>
              <w:spacing w:after="0"/>
              <w:rPr>
                <w:sz w:val="24"/>
                <w:szCs w:val="24"/>
                <w:color w:val="auto"/>
              </w:rPr>
            </w:pPr>
          </w:p>
        </w:tc>
        <w:tc>
          <w:tcPr>
            <w:tcW w:w="5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194,029</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2"/>
        </w:trPr>
        <w:tc>
          <w:tcPr>
            <w:tcW w:w="5320" w:type="dxa"/>
            <w:vAlign w:val="bottom"/>
          </w:tcPr>
          <w:p>
            <w:pPr>
              <w:ind w:left="80"/>
              <w:spacing w:after="0"/>
              <w:rPr>
                <w:sz w:val="20"/>
                <w:szCs w:val="20"/>
                <w:color w:val="auto"/>
              </w:rPr>
            </w:pPr>
            <w:r>
              <w:rPr>
                <w:rFonts w:ascii="Arial" w:cs="Arial" w:eastAsia="Arial" w:hAnsi="Arial"/>
                <w:sz w:val="14"/>
                <w:szCs w:val="14"/>
                <w:color w:val="auto"/>
              </w:rPr>
              <w:t>Basic earnings per common share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0.60</w:t>
            </w:r>
          </w:p>
        </w:tc>
        <w:tc>
          <w:tcPr>
            <w:tcW w:w="5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0.70</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6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2.74</w:t>
            </w:r>
          </w:p>
        </w:tc>
      </w:tr>
      <w:tr>
        <w:trPr>
          <w:trHeight w:val="20"/>
        </w:trPr>
        <w:tc>
          <w:tcPr>
            <w:tcW w:w="5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320" w:type="dxa"/>
            <w:vAlign w:val="bottom"/>
          </w:tcPr>
          <w:p>
            <w:pPr>
              <w:ind w:left="80"/>
              <w:spacing w:after="0"/>
              <w:rPr>
                <w:sz w:val="20"/>
                <w:szCs w:val="20"/>
                <w:color w:val="auto"/>
              </w:rPr>
            </w:pPr>
            <w:r>
              <w:rPr>
                <w:rFonts w:ascii="Arial" w:cs="Arial" w:eastAsia="Arial" w:hAnsi="Arial"/>
                <w:sz w:val="14"/>
                <w:szCs w:val="14"/>
                <w:color w:val="auto"/>
              </w:rPr>
              <w:t>Basic weighted average common shares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71,232</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71,036</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71,154</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70,687</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32"/>
        </w:trPr>
        <w:tc>
          <w:tcPr>
            <w:tcW w:w="5320" w:type="dxa"/>
            <w:vAlign w:val="bottom"/>
          </w:tcPr>
          <w:p>
            <w:pPr>
              <w:ind w:left="80"/>
              <w:spacing w:after="0"/>
              <w:rPr>
                <w:sz w:val="20"/>
                <w:szCs w:val="20"/>
                <w:color w:val="auto"/>
              </w:rPr>
            </w:pPr>
            <w:r>
              <w:rPr>
                <w:rFonts w:ascii="Arial" w:cs="Arial" w:eastAsia="Arial" w:hAnsi="Arial"/>
                <w:sz w:val="14"/>
                <w:szCs w:val="14"/>
                <w:color w:val="auto"/>
              </w:rPr>
              <w:t>Diluted earnings per common share</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0.60</w:t>
            </w:r>
          </w:p>
        </w:tc>
        <w:tc>
          <w:tcPr>
            <w:tcW w:w="58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0.70</w:t>
            </w:r>
          </w:p>
        </w:tc>
        <w:tc>
          <w:tcPr>
            <w:tcW w:w="48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2.64</w:t>
            </w:r>
          </w:p>
        </w:tc>
        <w:tc>
          <w:tcPr>
            <w:tcW w:w="68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2.71</w:t>
            </w:r>
          </w:p>
        </w:tc>
      </w:tr>
      <w:tr>
        <w:trPr>
          <w:trHeight w:val="20"/>
        </w:trPr>
        <w:tc>
          <w:tcPr>
            <w:tcW w:w="5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5320" w:type="dxa"/>
            <w:vAlign w:val="bottom"/>
          </w:tcPr>
          <w:p>
            <w:pPr>
              <w:ind w:left="80"/>
              <w:spacing w:after="0"/>
              <w:rPr>
                <w:sz w:val="20"/>
                <w:szCs w:val="20"/>
                <w:color w:val="auto"/>
              </w:rPr>
            </w:pPr>
            <w:r>
              <w:rPr>
                <w:rFonts w:ascii="Arial" w:cs="Arial" w:eastAsia="Arial" w:hAnsi="Arial"/>
                <w:sz w:val="14"/>
                <w:szCs w:val="14"/>
                <w:color w:val="auto"/>
              </w:rPr>
              <w:t>Diluted weighted average common shares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71,906</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71,772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71,817</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71,510</w:t>
            </w:r>
          </w:p>
        </w:tc>
      </w:tr>
      <w:tr>
        <w:trPr>
          <w:trHeight w:val="20"/>
        </w:trPr>
        <w:tc>
          <w:tcPr>
            <w:tcW w:w="5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91"/>
        </w:trPr>
        <w:tc>
          <w:tcPr>
            <w:tcW w:w="5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r>
        <w:trPr>
          <w:trHeight w:val="21"/>
        </w:trPr>
        <w:tc>
          <w:tcPr>
            <w:tcW w:w="53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color w:val="auto"/>
                <w:w w:val="93"/>
              </w:rPr>
              <w:t>As of</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3"/>
          </w:tcPr>
          <w:p>
            <w:pPr>
              <w:ind w:left="140"/>
              <w:spacing w:after="0"/>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4"/>
                <w:szCs w:val="14"/>
                <w:color w:val="auto"/>
              </w:rPr>
            </w:pPr>
          </w:p>
        </w:tc>
        <w:tc>
          <w:tcPr>
            <w:tcW w:w="1440" w:type="dxa"/>
            <w:vAlign w:val="bottom"/>
          </w:tcPr>
          <w:p>
            <w:pPr>
              <w:jc w:val="right"/>
              <w:ind w:right="428"/>
              <w:spacing w:after="0"/>
              <w:rPr>
                <w:sz w:val="20"/>
                <w:szCs w:val="20"/>
                <w:color w:val="auto"/>
              </w:rPr>
            </w:pPr>
            <w:r>
              <w:rPr>
                <w:rFonts w:ascii="Arial" w:cs="Arial" w:eastAsia="Arial" w:hAnsi="Arial"/>
                <w:sz w:val="14"/>
                <w:szCs w:val="14"/>
                <w:color w:val="auto"/>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7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2012</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7740" w:type="dxa"/>
            <w:vAlign w:val="bottom"/>
          </w:tcPr>
          <w:p>
            <w:pPr>
              <w:ind w:left="80"/>
              <w:spacing w:after="0"/>
              <w:rPr>
                <w:sz w:val="20"/>
                <w:szCs w:val="20"/>
                <w:color w:val="auto"/>
              </w:rPr>
            </w:pPr>
            <w:r>
              <w:rPr>
                <w:rFonts w:ascii="Arial" w:cs="Arial" w:eastAsia="Arial" w:hAnsi="Arial"/>
                <w:sz w:val="14"/>
                <w:szCs w:val="14"/>
                <w:color w:val="auto"/>
              </w:rPr>
              <w:t>Assets:</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8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172,740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205,415</w:t>
            </w:r>
          </w:p>
        </w:tc>
        <w:tc>
          <w:tcPr>
            <w:tcW w:w="0" w:type="dxa"/>
            <w:vAlign w:val="bottom"/>
          </w:tcPr>
          <w:p>
            <w:pPr>
              <w:spacing w:after="0"/>
              <w:rPr>
                <w:sz w:val="1"/>
                <w:szCs w:val="1"/>
                <w:color w:val="auto"/>
              </w:rPr>
            </w:pPr>
          </w:p>
        </w:tc>
      </w:tr>
      <w:tr>
        <w:trPr>
          <w:trHeight w:val="176"/>
        </w:trPr>
        <w:tc>
          <w:tcPr>
            <w:tcW w:w="7740" w:type="dxa"/>
            <w:vAlign w:val="bottom"/>
          </w:tcPr>
          <w:p>
            <w:pPr>
              <w:ind w:left="240"/>
              <w:spacing w:after="0"/>
              <w:rPr>
                <w:sz w:val="20"/>
                <w:szCs w:val="20"/>
                <w:color w:val="auto"/>
              </w:rPr>
            </w:pPr>
            <w:r>
              <w:rPr>
                <w:rFonts w:ascii="Arial" w:cs="Arial" w:eastAsia="Arial" w:hAnsi="Arial"/>
                <w:sz w:val="14"/>
                <w:szCs w:val="14"/>
                <w:color w:val="auto"/>
              </w:rPr>
              <w:t>Accounts receivable, net</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2,193,866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2,160,561</w:t>
            </w:r>
          </w:p>
        </w:tc>
        <w:tc>
          <w:tcPr>
            <w:tcW w:w="0" w:type="dxa"/>
            <w:vAlign w:val="bottom"/>
          </w:tcPr>
          <w:p>
            <w:pPr>
              <w:spacing w:after="0"/>
              <w:rPr>
                <w:sz w:val="1"/>
                <w:szCs w:val="1"/>
                <w:color w:val="auto"/>
              </w:rPr>
            </w:pPr>
          </w:p>
        </w:tc>
      </w:tr>
      <w:tr>
        <w:trPr>
          <w:trHeight w:val="176"/>
        </w:trPr>
        <w:tc>
          <w:tcPr>
            <w:tcW w:w="7740" w:type="dxa"/>
            <w:vAlign w:val="bottom"/>
          </w:tcPr>
          <w:p>
            <w:pPr>
              <w:ind w:left="24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572,313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472,584</w:t>
            </w:r>
          </w:p>
        </w:tc>
        <w:tc>
          <w:tcPr>
            <w:tcW w:w="0" w:type="dxa"/>
            <w:vAlign w:val="bottom"/>
          </w:tcPr>
          <w:p>
            <w:pPr>
              <w:spacing w:after="0"/>
              <w:rPr>
                <w:sz w:val="1"/>
                <w:szCs w:val="1"/>
                <w:color w:val="auto"/>
              </w:rPr>
            </w:pPr>
          </w:p>
        </w:tc>
      </w:tr>
      <w:tr>
        <w:trPr>
          <w:trHeight w:val="181"/>
        </w:trPr>
        <w:tc>
          <w:tcPr>
            <w:tcW w:w="7740" w:type="dxa"/>
            <w:vAlign w:val="bottom"/>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342,458</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283,667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740" w:type="dxa"/>
            <w:vAlign w:val="bottom"/>
          </w:tcPr>
          <w:p>
            <w:pPr>
              <w:ind w:left="560"/>
              <w:spacing w:after="0"/>
              <w:rPr>
                <w:sz w:val="20"/>
                <w:szCs w:val="20"/>
                <w:color w:val="auto"/>
              </w:rPr>
            </w:pPr>
            <w:r>
              <w:rPr>
                <w:rFonts w:ascii="Arial" w:cs="Arial" w:eastAsia="Arial" w:hAnsi="Arial"/>
                <w:sz w:val="14"/>
                <w:szCs w:val="14"/>
                <w:color w:val="auto"/>
              </w:rPr>
              <w:t>Total current assets</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3,281,377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3,122,227</w:t>
            </w:r>
          </w:p>
        </w:tc>
        <w:tc>
          <w:tcPr>
            <w:tcW w:w="0" w:type="dxa"/>
            <w:vAlign w:val="bottom"/>
          </w:tcPr>
          <w:p>
            <w:pPr>
              <w:spacing w:after="0"/>
              <w:rPr>
                <w:sz w:val="1"/>
                <w:szCs w:val="1"/>
                <w:color w:val="auto"/>
              </w:rPr>
            </w:pPr>
          </w:p>
        </w:tc>
      </w:tr>
      <w:tr>
        <w:trPr>
          <w:trHeight w:val="351"/>
        </w:trPr>
        <w:tc>
          <w:tcPr>
            <w:tcW w:w="7740" w:type="dxa"/>
            <w:vAlign w:val="bottom"/>
          </w:tcPr>
          <w:p>
            <w:pPr>
              <w:ind w:left="80"/>
              <w:spacing w:after="0"/>
              <w:rPr>
                <w:sz w:val="20"/>
                <w:szCs w:val="20"/>
                <w:color w:val="auto"/>
              </w:rPr>
            </w:pPr>
            <w:r>
              <w:rPr>
                <w:rFonts w:ascii="Arial" w:cs="Arial" w:eastAsia="Arial" w:hAnsi="Arial"/>
                <w:sz w:val="14"/>
                <w:szCs w:val="14"/>
                <w:color w:val="auto"/>
              </w:rPr>
              <w:t>Property and equipment, net</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112,525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90,710</w:t>
            </w:r>
          </w:p>
        </w:tc>
        <w:tc>
          <w:tcPr>
            <w:tcW w:w="0" w:type="dxa"/>
            <w:vAlign w:val="bottom"/>
          </w:tcPr>
          <w:p>
            <w:pPr>
              <w:spacing w:after="0"/>
              <w:rPr>
                <w:sz w:val="1"/>
                <w:szCs w:val="1"/>
                <w:color w:val="auto"/>
              </w:rPr>
            </w:pPr>
          </w:p>
        </w:tc>
      </w:tr>
      <w:tr>
        <w:trPr>
          <w:trHeight w:val="350"/>
        </w:trPr>
        <w:tc>
          <w:tcPr>
            <w:tcW w:w="7740" w:type="dxa"/>
            <w:vAlign w:val="bottom"/>
          </w:tcPr>
          <w:p>
            <w:pPr>
              <w:ind w:left="80"/>
              <w:spacing w:after="0"/>
              <w:rPr>
                <w:sz w:val="20"/>
                <w:szCs w:val="20"/>
                <w:color w:val="auto"/>
              </w:rPr>
            </w:pPr>
            <w:r>
              <w:rPr>
                <w:rFonts w:ascii="Arial" w:cs="Arial" w:eastAsia="Arial" w:hAnsi="Arial"/>
                <w:sz w:val="14"/>
                <w:szCs w:val="14"/>
                <w:color w:val="auto"/>
              </w:rPr>
              <w:t>Goodwill, identifiable intangible and non-current other assets</w:t>
            </w: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713,849</w:t>
            </w: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484,309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740" w:type="dxa"/>
            <w:vAlign w:val="bottom"/>
          </w:tcPr>
          <w:p>
            <w:pPr>
              <w:ind w:left="1240"/>
              <w:spacing w:after="0"/>
              <w:rPr>
                <w:sz w:val="20"/>
                <w:szCs w:val="20"/>
                <w:color w:val="auto"/>
              </w:rPr>
            </w:pPr>
            <w:r>
              <w:rPr>
                <w:rFonts w:ascii="Arial" w:cs="Arial" w:eastAsia="Arial" w:hAnsi="Arial"/>
                <w:sz w:val="14"/>
                <w:szCs w:val="14"/>
                <w:color w:val="auto"/>
              </w:rPr>
              <w:t>Total assets</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4,107,751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3,697,246</w:t>
            </w:r>
          </w:p>
        </w:tc>
        <w:tc>
          <w:tcPr>
            <w:tcW w:w="0" w:type="dxa"/>
            <w:vAlign w:val="bottom"/>
          </w:tcPr>
          <w:p>
            <w:pPr>
              <w:spacing w:after="0"/>
              <w:rPr>
                <w:sz w:val="1"/>
                <w:szCs w:val="1"/>
                <w:color w:val="auto"/>
              </w:rPr>
            </w:pPr>
          </w:p>
        </w:tc>
      </w:tr>
      <w:tr>
        <w:trPr>
          <w:trHeight w:val="20"/>
        </w:trPr>
        <w:tc>
          <w:tcPr>
            <w:tcW w:w="7740" w:type="dxa"/>
            <w:vAlign w:val="bottom"/>
            <w:vMerge w:val="restart"/>
          </w:tcPr>
          <w:p>
            <w:pPr>
              <w:ind w:left="80"/>
              <w:spacing w:after="0"/>
              <w:rPr>
                <w:sz w:val="20"/>
                <w:szCs w:val="20"/>
                <w:color w:val="auto"/>
              </w:rPr>
            </w:pPr>
            <w:r>
              <w:rPr>
                <w:rFonts w:ascii="Arial" w:cs="Arial" w:eastAsia="Arial" w:hAnsi="Arial"/>
                <w:sz w:val="14"/>
                <w:szCs w:val="14"/>
                <w:color w:val="auto"/>
              </w:rPr>
              <w:t>Liabilities and equity:</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77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80"/>
              <w:spacing w:after="0"/>
              <w:rPr>
                <w:sz w:val="20"/>
                <w:szCs w:val="20"/>
                <w:color w:val="auto"/>
              </w:rPr>
            </w:pPr>
            <w:r>
              <w:rPr>
                <w:rFonts w:ascii="Arial" w:cs="Arial" w:eastAsia="Arial" w:hAnsi="Arial"/>
                <w:sz w:val="14"/>
                <w:szCs w:val="14"/>
                <w:color w:val="auto"/>
              </w:rPr>
              <w:t>Liabilities:</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80"/>
              <w:spacing w:after="0"/>
              <w:rPr>
                <w:sz w:val="20"/>
                <w:szCs w:val="20"/>
                <w:color w:val="auto"/>
              </w:rPr>
            </w:pPr>
            <w:r>
              <w:rPr>
                <w:rFonts w:ascii="Arial" w:cs="Arial" w:eastAsia="Arial" w:hAnsi="Arial"/>
                <w:sz w:val="14"/>
                <w:szCs w:val="14"/>
                <w:color w:val="auto"/>
              </w:rPr>
              <w:t>Current liabilities:</w:t>
            </w:r>
          </w:p>
        </w:tc>
        <w:tc>
          <w:tcPr>
            <w:tcW w:w="3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40"/>
              <w:spacing w:after="0"/>
              <w:rPr>
                <w:sz w:val="20"/>
                <w:szCs w:val="20"/>
                <w:color w:val="auto"/>
              </w:rPr>
            </w:pPr>
            <w:r>
              <w:rPr>
                <w:rFonts w:ascii="Arial" w:cs="Arial" w:eastAsia="Arial" w:hAnsi="Arial"/>
                <w:sz w:val="14"/>
                <w:szCs w:val="14"/>
                <w:color w:val="auto"/>
              </w:rPr>
              <w:t>Short-term debt</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26,065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17,800</w:t>
            </w:r>
          </w:p>
        </w:tc>
        <w:tc>
          <w:tcPr>
            <w:tcW w:w="0" w:type="dxa"/>
            <w:vAlign w:val="bottom"/>
          </w:tcPr>
          <w:p>
            <w:pPr>
              <w:spacing w:after="0"/>
              <w:rPr>
                <w:sz w:val="1"/>
                <w:szCs w:val="1"/>
                <w:color w:val="auto"/>
              </w:rPr>
            </w:pPr>
          </w:p>
        </w:tc>
      </w:tr>
      <w:tr>
        <w:trPr>
          <w:trHeight w:val="176"/>
        </w:trPr>
        <w:tc>
          <w:tcPr>
            <w:tcW w:w="774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1,814,794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1,739,678</w:t>
            </w:r>
          </w:p>
        </w:tc>
        <w:tc>
          <w:tcPr>
            <w:tcW w:w="0" w:type="dxa"/>
            <w:vAlign w:val="bottom"/>
          </w:tcPr>
          <w:p>
            <w:pPr>
              <w:spacing w:after="0"/>
              <w:rPr>
                <w:sz w:val="1"/>
                <w:szCs w:val="1"/>
                <w:color w:val="auto"/>
              </w:rPr>
            </w:pPr>
          </w:p>
        </w:tc>
      </w:tr>
      <w:tr>
        <w:trPr>
          <w:trHeight w:val="181"/>
        </w:trPr>
        <w:tc>
          <w:tcPr>
            <w:tcW w:w="7740" w:type="dxa"/>
            <w:vAlign w:val="bottom"/>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3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308,439</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268,664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7740" w:type="dxa"/>
            <w:vAlign w:val="bottom"/>
          </w:tcPr>
          <w:p>
            <w:pPr>
              <w:ind w:left="560"/>
              <w:spacing w:after="0"/>
              <w:rPr>
                <w:sz w:val="20"/>
                <w:szCs w:val="20"/>
                <w:color w:val="auto"/>
              </w:rPr>
            </w:pPr>
            <w:r>
              <w:rPr>
                <w:rFonts w:ascii="Arial" w:cs="Arial" w:eastAsia="Arial" w:hAnsi="Arial"/>
                <w:sz w:val="14"/>
                <w:szCs w:val="14"/>
                <w:color w:val="auto"/>
              </w:rPr>
              <w:t>Total current liabilities</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2,149,298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2,026,142</w:t>
            </w:r>
          </w:p>
        </w:tc>
        <w:tc>
          <w:tcPr>
            <w:tcW w:w="0" w:type="dxa"/>
            <w:vAlign w:val="bottom"/>
          </w:tcPr>
          <w:p>
            <w:pPr>
              <w:spacing w:after="0"/>
              <w:rPr>
                <w:sz w:val="1"/>
                <w:szCs w:val="1"/>
                <w:color w:val="auto"/>
              </w:rPr>
            </w:pPr>
          </w:p>
        </w:tc>
      </w:tr>
      <w:tr>
        <w:trPr>
          <w:trHeight w:val="344"/>
        </w:trPr>
        <w:tc>
          <w:tcPr>
            <w:tcW w:w="7740" w:type="dxa"/>
            <w:vAlign w:val="bottom"/>
          </w:tcPr>
          <w:p>
            <w:pPr>
              <w:ind w:left="80"/>
              <w:spacing w:after="0"/>
              <w:rPr>
                <w:sz w:val="20"/>
                <w:szCs w:val="20"/>
                <w:color w:val="auto"/>
              </w:rPr>
            </w:pPr>
            <w:r>
              <w:rPr>
                <w:rFonts w:ascii="Arial" w:cs="Arial" w:eastAsia="Arial" w:hAnsi="Arial"/>
                <w:sz w:val="14"/>
                <w:szCs w:val="14"/>
                <w:color w:val="auto"/>
              </w:rPr>
              <w:t>Long-term debt</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354,253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269,348</w:t>
            </w:r>
          </w:p>
        </w:tc>
        <w:tc>
          <w:tcPr>
            <w:tcW w:w="0" w:type="dxa"/>
            <w:vAlign w:val="bottom"/>
          </w:tcPr>
          <w:p>
            <w:pPr>
              <w:spacing w:after="0"/>
              <w:rPr>
                <w:sz w:val="1"/>
                <w:szCs w:val="1"/>
                <w:color w:val="auto"/>
              </w:rPr>
            </w:pPr>
          </w:p>
        </w:tc>
      </w:tr>
      <w:tr>
        <w:trPr>
          <w:trHeight w:val="181"/>
        </w:trPr>
        <w:tc>
          <w:tcPr>
            <w:tcW w:w="7740" w:type="dxa"/>
            <w:vAlign w:val="bottom"/>
          </w:tcPr>
          <w:p>
            <w:pPr>
              <w:ind w:left="80"/>
              <w:spacing w:after="0"/>
              <w:rPr>
                <w:sz w:val="20"/>
                <w:szCs w:val="20"/>
                <w:color w:val="auto"/>
              </w:rPr>
            </w:pPr>
            <w:r>
              <w:rPr>
                <w:rFonts w:ascii="Arial" w:cs="Arial" w:eastAsia="Arial" w:hAnsi="Arial"/>
                <w:sz w:val="14"/>
                <w:szCs w:val="14"/>
                <w:color w:val="auto"/>
              </w:rPr>
              <w:t>Other long-term liabilities</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62,576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55,038</w:t>
            </w:r>
          </w:p>
        </w:tc>
        <w:tc>
          <w:tcPr>
            <w:tcW w:w="0" w:type="dxa"/>
            <w:vAlign w:val="bottom"/>
          </w:tcPr>
          <w:p>
            <w:pPr>
              <w:spacing w:after="0"/>
              <w:rPr>
                <w:sz w:val="1"/>
                <w:szCs w:val="1"/>
                <w:color w:val="auto"/>
              </w:rPr>
            </w:pPr>
          </w:p>
        </w:tc>
      </w:tr>
      <w:tr>
        <w:trPr>
          <w:trHeight w:val="169"/>
        </w:trPr>
        <w:tc>
          <w:tcPr>
            <w:tcW w:w="7740" w:type="dxa"/>
            <w:vAlign w:val="bottom"/>
          </w:tcPr>
          <w:p>
            <w:pPr>
              <w:ind w:left="124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2,566,127</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2,350,528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9"/>
        </w:trPr>
        <w:tc>
          <w:tcPr>
            <w:tcW w:w="7740" w:type="dxa"/>
            <w:vAlign w:val="bottom"/>
          </w:tcPr>
          <w:p>
            <w:pPr>
              <w:ind w:left="80"/>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7740" w:type="dxa"/>
            <w:vAlign w:val="bottom"/>
          </w:tcPr>
          <w:p>
            <w:pPr>
              <w:ind w:left="240"/>
              <w:spacing w:after="0"/>
              <w:rPr>
                <w:sz w:val="20"/>
                <w:szCs w:val="20"/>
                <w:color w:val="auto"/>
              </w:rPr>
            </w:pPr>
            <w:r>
              <w:rPr>
                <w:rFonts w:ascii="Arial" w:cs="Arial" w:eastAsia="Arial" w:hAnsi="Arial"/>
                <w:sz w:val="14"/>
                <w:szCs w:val="14"/>
                <w:color w:val="auto"/>
              </w:rPr>
              <w:t>World Fuel shareholders' equity</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1,517,174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1,332,961</w:t>
            </w:r>
          </w:p>
        </w:tc>
        <w:tc>
          <w:tcPr>
            <w:tcW w:w="0" w:type="dxa"/>
            <w:vAlign w:val="bottom"/>
          </w:tcPr>
          <w:p>
            <w:pPr>
              <w:spacing w:after="0"/>
              <w:rPr>
                <w:sz w:val="1"/>
                <w:szCs w:val="1"/>
                <w:color w:val="auto"/>
              </w:rPr>
            </w:pPr>
          </w:p>
        </w:tc>
      </w:tr>
      <w:tr>
        <w:trPr>
          <w:trHeight w:val="181"/>
        </w:trPr>
        <w:tc>
          <w:tcPr>
            <w:tcW w:w="7740" w:type="dxa"/>
            <w:vAlign w:val="bottom"/>
          </w:tcPr>
          <w:p>
            <w:pPr>
              <w:ind w:left="240"/>
              <w:spacing w:after="0"/>
              <w:rPr>
                <w:sz w:val="20"/>
                <w:szCs w:val="20"/>
                <w:color w:val="auto"/>
              </w:rPr>
            </w:pPr>
            <w:r>
              <w:rPr>
                <w:rFonts w:ascii="Arial" w:cs="Arial" w:eastAsia="Arial" w:hAnsi="Arial"/>
                <w:sz w:val="14"/>
                <w:szCs w:val="14"/>
                <w:color w:val="auto"/>
              </w:rPr>
              <w:t>Noncontrolling interest equity</w:t>
            </w:r>
          </w:p>
        </w:tc>
        <w:tc>
          <w:tcPr>
            <w:tcW w:w="3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24,450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13,757</w:t>
            </w:r>
          </w:p>
        </w:tc>
        <w:tc>
          <w:tcPr>
            <w:tcW w:w="0" w:type="dxa"/>
            <w:vAlign w:val="bottom"/>
          </w:tcPr>
          <w:p>
            <w:pPr>
              <w:spacing w:after="0"/>
              <w:rPr>
                <w:sz w:val="1"/>
                <w:szCs w:val="1"/>
                <w:color w:val="auto"/>
              </w:rPr>
            </w:pPr>
          </w:p>
        </w:tc>
      </w:tr>
      <w:tr>
        <w:trPr>
          <w:trHeight w:val="169"/>
        </w:trPr>
        <w:tc>
          <w:tcPr>
            <w:tcW w:w="7740" w:type="dxa"/>
            <w:vAlign w:val="bottom"/>
          </w:tcPr>
          <w:p>
            <w:pPr>
              <w:ind w:left="1240"/>
              <w:spacing w:after="0"/>
              <w:rPr>
                <w:sz w:val="20"/>
                <w:szCs w:val="20"/>
                <w:color w:val="auto"/>
              </w:rPr>
            </w:pPr>
            <w:r>
              <w:rPr>
                <w:rFonts w:ascii="Arial" w:cs="Arial" w:eastAsia="Arial" w:hAnsi="Arial"/>
                <w:sz w:val="14"/>
                <w:szCs w:val="14"/>
                <w:color w:val="auto"/>
              </w:rPr>
              <w:t>Total equity</w:t>
            </w:r>
          </w:p>
        </w:tc>
        <w:tc>
          <w:tcPr>
            <w:tcW w:w="32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1,541,624</w:t>
            </w: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1,346,718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740" w:type="dxa"/>
            <w:vAlign w:val="bottom"/>
          </w:tcPr>
          <w:p>
            <w:pPr>
              <w:ind w:left="1240"/>
              <w:spacing w:after="0"/>
              <w:rPr>
                <w:sz w:val="20"/>
                <w:szCs w:val="20"/>
                <w:color w:val="auto"/>
              </w:rPr>
            </w:pPr>
            <w:r>
              <w:rPr>
                <w:rFonts w:ascii="Arial" w:cs="Arial" w:eastAsia="Arial" w:hAnsi="Arial"/>
                <w:sz w:val="14"/>
                <w:szCs w:val="14"/>
                <w:color w:val="auto"/>
              </w:rPr>
              <w:t>Total liabilities and equity</w:t>
            </w:r>
          </w:p>
        </w:tc>
        <w:tc>
          <w:tcPr>
            <w:tcW w:w="3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4,107,751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20"/>
              <w:spacing w:after="0"/>
              <w:rPr>
                <w:sz w:val="20"/>
                <w:szCs w:val="20"/>
                <w:color w:val="auto"/>
              </w:rPr>
            </w:pPr>
            <w:r>
              <w:rPr>
                <w:rFonts w:ascii="Arial" w:cs="Arial" w:eastAsia="Arial" w:hAnsi="Arial"/>
                <w:sz w:val="14"/>
                <w:szCs w:val="14"/>
                <w:color w:val="auto"/>
              </w:rPr>
              <w:t>3,697,246</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7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7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4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440" w:type="dxa"/>
            <w:vAlign w:val="bottom"/>
            <w:tcBorders>
              <w:bottom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4"/>
          </w:tcPr>
          <w:p>
            <w:pPr>
              <w:jc w:val="right"/>
              <w:ind w:right="388"/>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80" w:type="dxa"/>
            <w:vAlign w:val="bottom"/>
            <w:gridSpan w:val="4"/>
          </w:tcPr>
          <w:p>
            <w:pPr>
              <w:jc w:val="right"/>
              <w:ind w:right="508"/>
              <w:spacing w:after="0"/>
              <w:rPr>
                <w:sz w:val="20"/>
                <w:szCs w:val="20"/>
                <w:color w:val="auto"/>
              </w:rPr>
            </w:pPr>
            <w:r>
              <w:rPr>
                <w:rFonts w:ascii="Arial" w:cs="Arial" w:eastAsia="Arial" w:hAnsi="Arial"/>
                <w:sz w:val="14"/>
                <w:szCs w:val="14"/>
                <w:color w:val="auto"/>
              </w:rPr>
              <w:t>For the Year ended</w:t>
            </w:r>
          </w:p>
        </w:tc>
      </w:tr>
      <w:tr>
        <w:trPr>
          <w:trHeight w:val="181"/>
        </w:trPr>
        <w:tc>
          <w:tcPr>
            <w:tcW w:w="65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December 31,</w:t>
            </w:r>
          </w:p>
        </w:tc>
        <w:tc>
          <w:tcPr>
            <w:tcW w:w="700" w:type="dxa"/>
            <w:vAlign w:val="bottom"/>
            <w:tcBorders>
              <w:bottom w:val="single" w:sz="8" w:color="auto"/>
            </w:tcBorders>
          </w:tcPr>
          <w:p>
            <w:pPr>
              <w:spacing w:after="0"/>
              <w:rPr>
                <w:sz w:val="15"/>
                <w:szCs w:val="15"/>
                <w:color w:val="auto"/>
              </w:rPr>
            </w:pPr>
          </w:p>
        </w:tc>
      </w:tr>
      <w:tr>
        <w:trPr>
          <w:trHeight w:val="169"/>
        </w:trPr>
        <w:tc>
          <w:tcPr>
            <w:tcW w:w="6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w w:val="89"/>
              </w:rPr>
              <w:t>2011</w:t>
            </w:r>
          </w:p>
        </w:tc>
      </w:tr>
      <w:tr>
        <w:trPr>
          <w:trHeight w:val="339"/>
        </w:trPr>
        <w:tc>
          <w:tcPr>
            <w:tcW w:w="6540" w:type="dxa"/>
            <w:vAlign w:val="bottom"/>
          </w:tcPr>
          <w:p>
            <w:pPr>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1"/>
        </w:trPr>
        <w:tc>
          <w:tcPr>
            <w:tcW w:w="6540" w:type="dxa"/>
            <w:vAlign w:val="bottom"/>
          </w:tcPr>
          <w:p>
            <w:pPr>
              <w:ind w:left="100"/>
              <w:spacing w:after="0"/>
              <w:rPr>
                <w:sz w:val="20"/>
                <w:szCs w:val="20"/>
                <w:color w:val="auto"/>
              </w:rPr>
            </w:pPr>
            <w:r>
              <w:rPr>
                <w:rFonts w:ascii="Arial" w:cs="Arial" w:eastAsia="Arial" w:hAnsi="Arial"/>
                <w:sz w:val="14"/>
                <w:szCs w:val="14"/>
                <w:color w:val="auto"/>
              </w:rPr>
              <w:t>Net income including noncontrolling interest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45,025</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53,030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201,351</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199,202</w:t>
            </w:r>
          </w:p>
        </w:tc>
      </w:tr>
      <w:tr>
        <w:trPr>
          <w:trHeight w:val="164"/>
        </w:trPr>
        <w:tc>
          <w:tcPr>
            <w:tcW w:w="6540" w:type="dxa"/>
            <w:vAlign w:val="bottom"/>
          </w:tcPr>
          <w:p>
            <w:pPr>
              <w:ind w:left="100"/>
              <w:spacing w:after="0"/>
              <w:rPr>
                <w:sz w:val="20"/>
                <w:szCs w:val="20"/>
                <w:color w:val="auto"/>
              </w:rPr>
            </w:pPr>
            <w:r>
              <w:rPr>
                <w:rFonts w:ascii="Arial" w:cs="Arial" w:eastAsia="Arial" w:hAnsi="Arial"/>
                <w:sz w:val="14"/>
                <w:szCs w:val="14"/>
                <w:color w:val="auto"/>
              </w:rPr>
              <w:t>Adjustments to reconcile net income including</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noncontrolling interest to net cash provided by (used in)</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6540" w:type="dxa"/>
            <w:vAlign w:val="bottom"/>
          </w:tcPr>
          <w:p>
            <w:pPr>
              <w:ind w:left="220"/>
              <w:spacing w:after="0"/>
              <w:rPr>
                <w:sz w:val="20"/>
                <w:szCs w:val="20"/>
                <w:color w:val="auto"/>
              </w:rPr>
            </w:pPr>
            <w:r>
              <w:rPr>
                <w:rFonts w:ascii="Arial" w:cs="Arial" w:eastAsia="Arial" w:hAnsi="Arial"/>
                <w:sz w:val="14"/>
                <w:szCs w:val="14"/>
                <w:color w:val="auto"/>
              </w:rPr>
              <w:t>operating activities: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76"/>
        </w:trPr>
        <w:tc>
          <w:tcPr>
            <w:tcW w:w="654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9,914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11,419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36,714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40,530</w:t>
            </w:r>
          </w:p>
        </w:tc>
      </w:tr>
      <w:tr>
        <w:trPr>
          <w:trHeight w:val="176"/>
        </w:trPr>
        <w:tc>
          <w:tcPr>
            <w:tcW w:w="6540" w:type="dxa"/>
            <w:vAlign w:val="bottom"/>
          </w:tcPr>
          <w:p>
            <w:pPr>
              <w:ind w:left="460"/>
              <w:spacing w:after="0"/>
              <w:rPr>
                <w:sz w:val="20"/>
                <w:szCs w:val="20"/>
                <w:color w:val="auto"/>
              </w:rPr>
            </w:pPr>
            <w:r>
              <w:rPr>
                <w:rFonts w:ascii="Arial" w:cs="Arial" w:eastAsia="Arial" w:hAnsi="Arial"/>
                <w:sz w:val="14"/>
                <w:szCs w:val="14"/>
                <w:color w:val="auto"/>
              </w:rPr>
              <w:t>Provision for bad debt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4,790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8,173</w:t>
            </w:r>
          </w:p>
        </w:tc>
      </w:tr>
      <w:tr>
        <w:trPr>
          <w:trHeight w:val="176"/>
        </w:trPr>
        <w:tc>
          <w:tcPr>
            <w:tcW w:w="6540" w:type="dxa"/>
            <w:vAlign w:val="bottom"/>
          </w:tcPr>
          <w:p>
            <w:pPr>
              <w:ind w:left="460"/>
              <w:spacing w:after="0"/>
              <w:rPr>
                <w:sz w:val="20"/>
                <w:szCs w:val="20"/>
                <w:color w:val="auto"/>
              </w:rPr>
            </w:pPr>
            <w:r>
              <w:rPr>
                <w:rFonts w:ascii="Arial" w:cs="Arial" w:eastAsia="Arial" w:hAnsi="Arial"/>
                <w:sz w:val="14"/>
                <w:szCs w:val="14"/>
                <w:color w:val="auto"/>
              </w:rPr>
              <w:t>Share-based payment award compensation costs</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3,738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2,842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14,079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11,041</w:t>
            </w:r>
          </w:p>
        </w:tc>
      </w:tr>
      <w:tr>
        <w:trPr>
          <w:trHeight w:val="176"/>
        </w:trPr>
        <w:tc>
          <w:tcPr>
            <w:tcW w:w="6540" w:type="dxa"/>
            <w:vAlign w:val="bottom"/>
          </w:tcPr>
          <w:p>
            <w:pPr>
              <w:ind w:left="46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292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(7,193)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(3,276)</w:t>
            </w:r>
          </w:p>
        </w:tc>
      </w:tr>
      <w:tr>
        <w:trPr>
          <w:trHeight w:val="176"/>
        </w:trPr>
        <w:tc>
          <w:tcPr>
            <w:tcW w:w="6540" w:type="dxa"/>
            <w:vAlign w:val="bottom"/>
          </w:tcPr>
          <w:p>
            <w:pPr>
              <w:ind w:left="460"/>
              <w:spacing w:after="0"/>
              <w:rPr>
                <w:sz w:val="20"/>
                <w:szCs w:val="20"/>
                <w:color w:val="auto"/>
              </w:rPr>
            </w:pPr>
            <w:r>
              <w:rPr>
                <w:rFonts w:ascii="Arial" w:cs="Arial" w:eastAsia="Arial" w:hAnsi="Arial"/>
                <w:sz w:val="14"/>
                <w:szCs w:val="14"/>
                <w:color w:val="auto"/>
              </w:rPr>
              <w:t>Change in cash collateral deposits held by financial counterparties</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(18,000)</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5,252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(11,059)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4,957</w:t>
            </w:r>
          </w:p>
        </w:tc>
      </w:tr>
      <w:tr>
        <w:trPr>
          <w:trHeight w:val="181"/>
        </w:trPr>
        <w:tc>
          <w:tcPr>
            <w:tcW w:w="6540" w:type="dxa"/>
            <w:vAlign w:val="bottom"/>
          </w:tcPr>
          <w:p>
            <w:pPr>
              <w:ind w:left="460"/>
              <w:spacing w:after="0"/>
              <w:rPr>
                <w:sz w:val="20"/>
                <w:szCs w:val="20"/>
                <w:color w:val="auto"/>
              </w:rPr>
            </w:pPr>
            <w:r>
              <w:rPr>
                <w:rFonts w:ascii="Arial" w:cs="Arial" w:eastAsia="Arial" w:hAnsi="Arial"/>
                <w:sz w:val="14"/>
                <w:szCs w:val="14"/>
                <w:color w:val="auto"/>
              </w:rPr>
              <w:t>Changes in assets and liabilities, net of acquisitions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56,174</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(92,891)</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(403,163)</w:t>
            </w:r>
          </w:p>
        </w:tc>
      </w:tr>
      <w:tr>
        <w:trPr>
          <w:trHeight w:val="169"/>
        </w:trPr>
        <w:tc>
          <w:tcPr>
            <w:tcW w:w="6540" w:type="dxa"/>
            <w:vAlign w:val="bottom"/>
          </w:tcPr>
          <w:p>
            <w:pPr>
              <w:ind w:left="960"/>
              <w:spacing w:after="0"/>
              <w:rPr>
                <w:sz w:val="20"/>
                <w:szCs w:val="20"/>
                <w:color w:val="auto"/>
              </w:rPr>
            </w:pPr>
            <w:r>
              <w:rPr>
                <w:rFonts w:ascii="Arial" w:cs="Arial" w:eastAsia="Arial" w:hAnsi="Arial"/>
                <w:sz w:val="14"/>
                <w:szCs w:val="14"/>
                <w:color w:val="auto"/>
              </w:rPr>
              <w:t>Total adjustments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52,495</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21,297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(55,560)</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(341,738)</w:t>
            </w:r>
          </w:p>
        </w:tc>
      </w:tr>
      <w:tr>
        <w:trPr>
          <w:trHeight w:val="169"/>
        </w:trPr>
        <w:tc>
          <w:tcPr>
            <w:tcW w:w="6540" w:type="dxa"/>
            <w:vAlign w:val="bottom"/>
          </w:tcPr>
          <w:p>
            <w:pPr>
              <w:ind w:left="22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97,520</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74,327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145,791</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(142,536)</w:t>
            </w:r>
          </w:p>
        </w:tc>
      </w:tr>
      <w:tr>
        <w:trPr>
          <w:trHeight w:val="339"/>
        </w:trPr>
        <w:tc>
          <w:tcPr>
            <w:tcW w:w="6540" w:type="dxa"/>
            <w:vAlign w:val="bottom"/>
          </w:tcPr>
          <w:p>
            <w:pPr>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6"/>
        </w:trPr>
        <w:tc>
          <w:tcPr>
            <w:tcW w:w="6540" w:type="dxa"/>
            <w:vAlign w:val="bottom"/>
          </w:tcPr>
          <w:p>
            <w:pPr>
              <w:ind w:left="100"/>
              <w:spacing w:after="0"/>
              <w:rPr>
                <w:sz w:val="20"/>
                <w:szCs w:val="20"/>
                <w:color w:val="auto"/>
              </w:rPr>
            </w:pPr>
            <w:r>
              <w:rPr>
                <w:rFonts w:ascii="Arial" w:cs="Arial" w:eastAsia="Arial" w:hAnsi="Arial"/>
                <w:sz w:val="14"/>
                <w:szCs w:val="14"/>
                <w:color w:val="auto"/>
              </w:rPr>
              <w:t>Acquisition of businesses, net of cash acquired</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(146,445)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(10,387)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(217,782)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(122,702)</w:t>
            </w:r>
          </w:p>
        </w:tc>
      </w:tr>
      <w:tr>
        <w:trPr>
          <w:trHeight w:val="176"/>
        </w:trPr>
        <w:tc>
          <w:tcPr>
            <w:tcW w:w="6540" w:type="dxa"/>
            <w:vAlign w:val="bottom"/>
          </w:tcPr>
          <w:p>
            <w:pPr>
              <w:ind w:left="100"/>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(9,717)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(3,685)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(28,454)</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(19,492)</w:t>
            </w:r>
          </w:p>
        </w:tc>
      </w:tr>
      <w:tr>
        <w:trPr>
          <w:trHeight w:val="181"/>
        </w:trPr>
        <w:tc>
          <w:tcPr>
            <w:tcW w:w="6540" w:type="dxa"/>
            <w:vAlign w:val="bottom"/>
          </w:tcPr>
          <w:p>
            <w:pPr>
              <w:ind w:left="10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(2,438)</w:t>
            </w:r>
          </w:p>
        </w:tc>
      </w:tr>
      <w:tr>
        <w:trPr>
          <w:trHeight w:val="169"/>
        </w:trPr>
        <w:tc>
          <w:tcPr>
            <w:tcW w:w="6540" w:type="dxa"/>
            <w:vAlign w:val="bottom"/>
          </w:tcPr>
          <w:p>
            <w:pPr>
              <w:ind w:left="22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(156,162)</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(13,804)</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(246,622)</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(144,632)</w:t>
            </w:r>
          </w:p>
        </w:tc>
      </w:tr>
      <w:tr>
        <w:trPr>
          <w:trHeight w:val="339"/>
        </w:trPr>
        <w:tc>
          <w:tcPr>
            <w:tcW w:w="6540" w:type="dxa"/>
            <w:vAlign w:val="bottom"/>
          </w:tcPr>
          <w:p>
            <w:pPr>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6"/>
        </w:trPr>
        <w:tc>
          <w:tcPr>
            <w:tcW w:w="6540" w:type="dxa"/>
            <w:vAlign w:val="bottom"/>
          </w:tcPr>
          <w:p>
            <w:pPr>
              <w:ind w:left="100"/>
              <w:spacing w:after="0"/>
              <w:rPr>
                <w:sz w:val="20"/>
                <w:szCs w:val="20"/>
                <w:color w:val="auto"/>
              </w:rPr>
            </w:pPr>
            <w:r>
              <w:rPr>
                <w:rFonts w:ascii="Arial" w:cs="Arial" w:eastAsia="Arial" w:hAnsi="Arial"/>
                <w:sz w:val="14"/>
                <w:szCs w:val="14"/>
                <w:color w:val="auto"/>
              </w:rPr>
              <w:t>Borrowings (repayments) of debt, net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93,096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(4,794)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80,236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234,641</w:t>
            </w:r>
          </w:p>
        </w:tc>
      </w:tr>
      <w:tr>
        <w:trPr>
          <w:trHeight w:val="176"/>
        </w:trPr>
        <w:tc>
          <w:tcPr>
            <w:tcW w:w="6540" w:type="dxa"/>
            <w:vAlign w:val="bottom"/>
          </w:tcPr>
          <w:p>
            <w:pPr>
              <w:ind w:left="100"/>
              <w:spacing w:after="0"/>
              <w:rPr>
                <w:sz w:val="20"/>
                <w:szCs w:val="20"/>
                <w:color w:val="auto"/>
              </w:rPr>
            </w:pPr>
            <w:r>
              <w:rPr>
                <w:rFonts w:ascii="Arial" w:cs="Arial" w:eastAsia="Arial" w:hAnsi="Arial"/>
                <w:sz w:val="14"/>
                <w:szCs w:val="14"/>
                <w:color w:val="auto"/>
              </w:rPr>
              <w:t>Dividends paid on common stock</w:t>
            </w:r>
          </w:p>
        </w:tc>
        <w:tc>
          <w:tcPr>
            <w:tcW w:w="280" w:type="dxa"/>
            <w:vAlign w:val="bottom"/>
          </w:tcPr>
          <w:p>
            <w:pPr>
              <w:spacing w:after="0"/>
              <w:rPr>
                <w:sz w:val="15"/>
                <w:szCs w:val="15"/>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(2,666)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(2,654)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(10,685)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(10,603)</w:t>
            </w:r>
          </w:p>
        </w:tc>
      </w:tr>
      <w:tr>
        <w:trPr>
          <w:trHeight w:val="181"/>
        </w:trPr>
        <w:tc>
          <w:tcPr>
            <w:tcW w:w="6540" w:type="dxa"/>
            <w:vAlign w:val="bottom"/>
          </w:tcPr>
          <w:p>
            <w:pPr>
              <w:ind w:left="10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1,919</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(1,472)</w:t>
            </w:r>
          </w:p>
        </w:tc>
      </w:tr>
      <w:tr>
        <w:trPr>
          <w:trHeight w:val="169"/>
        </w:trPr>
        <w:tc>
          <w:tcPr>
            <w:tcW w:w="6540" w:type="dxa"/>
            <w:vAlign w:val="bottom"/>
          </w:tcPr>
          <w:p>
            <w:pPr>
              <w:ind w:left="22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92,349</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(7,810)</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66,858</w:t>
            </w:r>
          </w:p>
        </w:tc>
        <w:tc>
          <w:tcPr>
            <w:tcW w:w="1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222,566</w:t>
            </w:r>
          </w:p>
        </w:tc>
      </w:tr>
      <w:tr>
        <w:trPr>
          <w:trHeight w:val="339"/>
        </w:trPr>
        <w:tc>
          <w:tcPr>
            <w:tcW w:w="6540" w:type="dxa"/>
            <w:vAlign w:val="bottom"/>
          </w:tcPr>
          <w:p>
            <w:pPr>
              <w:spacing w:after="0"/>
              <w:rPr>
                <w:sz w:val="20"/>
                <w:szCs w:val="20"/>
                <w:color w:val="auto"/>
              </w:rPr>
            </w:pPr>
            <w:r>
              <w:rPr>
                <w:rFonts w:ascii="Arial" w:cs="Arial" w:eastAsia="Arial" w:hAnsi="Arial"/>
                <w:sz w:val="14"/>
                <w:szCs w:val="14"/>
                <w:color w:val="auto"/>
              </w:rPr>
              <w:t>Effect of exchange rate changes on cash and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1"/>
        </w:trPr>
        <w:tc>
          <w:tcPr>
            <w:tcW w:w="6540" w:type="dxa"/>
            <w:vAlign w:val="bottom"/>
          </w:tcPr>
          <w:p>
            <w:pPr>
              <w:ind w:left="100"/>
              <w:spacing w:after="0"/>
              <w:rPr>
                <w:sz w:val="20"/>
                <w:szCs w:val="20"/>
                <w:color w:val="auto"/>
              </w:rPr>
            </w:pPr>
            <w:r>
              <w:rPr>
                <w:rFonts w:ascii="Arial" w:cs="Arial" w:eastAsia="Arial" w:hAnsi="Arial"/>
                <w:sz w:val="14"/>
                <w:szCs w:val="14"/>
                <w:color w:val="auto"/>
              </w:rPr>
              <w:t>cash equivalents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1,298</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(2,876)</w:t>
            </w:r>
          </w:p>
        </w:tc>
      </w:tr>
      <w:tr>
        <w:trPr>
          <w:trHeight w:val="346"/>
        </w:trPr>
        <w:tc>
          <w:tcPr>
            <w:tcW w:w="6540" w:type="dxa"/>
            <w:vAlign w:val="bottom"/>
          </w:tcPr>
          <w:p>
            <w:pPr>
              <w:spacing w:after="0"/>
              <w:rPr>
                <w:sz w:val="20"/>
                <w:szCs w:val="20"/>
                <w:color w:val="auto"/>
              </w:rPr>
            </w:pPr>
            <w:r>
              <w:rPr>
                <w:rFonts w:ascii="Arial" w:cs="Arial" w:eastAsia="Arial" w:hAnsi="Arial"/>
                <w:sz w:val="14"/>
                <w:szCs w:val="14"/>
                <w:color w:val="auto"/>
              </w:rPr>
              <w:t>Net increase (decrease) in cash and cash equivalents</w:t>
            </w:r>
          </w:p>
        </w:tc>
        <w:tc>
          <w:tcPr>
            <w:tcW w:w="280" w:type="dxa"/>
            <w:vAlign w:val="bottom"/>
          </w:tcPr>
          <w:p>
            <w:pPr>
              <w:spacing w:after="0"/>
              <w:rPr>
                <w:sz w:val="24"/>
                <w:szCs w:val="2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33,339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53,561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(32,675)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(67,478)</w:t>
            </w:r>
          </w:p>
        </w:tc>
      </w:tr>
      <w:tr>
        <w:trPr>
          <w:trHeight w:val="350"/>
        </w:trPr>
        <w:tc>
          <w:tcPr>
            <w:tcW w:w="6540" w:type="dxa"/>
            <w:vAlign w:val="bottom"/>
          </w:tcPr>
          <w:p>
            <w:pPr>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139,401</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151,854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205,415</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272,893</w:t>
            </w:r>
          </w:p>
        </w:tc>
      </w:tr>
      <w:tr>
        <w:trPr>
          <w:trHeight w:val="345"/>
        </w:trPr>
        <w:tc>
          <w:tcPr>
            <w:tcW w:w="654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172,740</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205,415</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172,740</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205,415</w:t>
            </w:r>
          </w:p>
        </w:tc>
      </w:tr>
      <w:tr>
        <w:trPr>
          <w:trHeight w:val="20"/>
        </w:trPr>
        <w:tc>
          <w:tcPr>
            <w:tcW w:w="6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91"/>
        </w:trPr>
        <w:tc>
          <w:tcPr>
            <w:tcW w:w="6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r>
        <w:trPr>
          <w:trHeight w:val="21"/>
        </w:trPr>
        <w:tc>
          <w:tcPr>
            <w:tcW w:w="654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RECONCILIATION OF GAAP TO NON-GAAP FINANCIAL MEASURES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tcPr>
          <w:p>
            <w:pPr>
              <w:spacing w:after="0"/>
              <w:rPr>
                <w:sz w:val="15"/>
                <w:szCs w:val="15"/>
                <w:color w:val="auto"/>
              </w:rPr>
            </w:pPr>
          </w:p>
        </w:tc>
        <w:tc>
          <w:tcPr>
            <w:tcW w:w="3080" w:type="dxa"/>
            <w:vAlign w:val="bottom"/>
            <w:gridSpan w:val="4"/>
          </w:tcPr>
          <w:p>
            <w:pPr>
              <w:jc w:val="right"/>
              <w:ind w:right="408"/>
              <w:spacing w:after="0"/>
              <w:rPr>
                <w:sz w:val="20"/>
                <w:szCs w:val="20"/>
                <w:color w:val="auto"/>
              </w:rPr>
            </w:pPr>
            <w:r>
              <w:rPr>
                <w:rFonts w:ascii="Arial" w:cs="Arial" w:eastAsia="Arial" w:hAnsi="Arial"/>
                <w:sz w:val="14"/>
                <w:szCs w:val="14"/>
                <w:color w:val="auto"/>
              </w:rPr>
              <w:t>For the Three Months ended</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color w:val="auto"/>
              </w:rPr>
              <w:t>For the Year ended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506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4"/>
                <w:szCs w:val="14"/>
                <w:color w:val="auto"/>
              </w:rPr>
              <w:t>December 31,</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December 31,</w:t>
            </w: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69"/>
        </w:trPr>
        <w:tc>
          <w:tcPr>
            <w:tcW w:w="5060" w:type="dxa"/>
            <w:vAlign w:val="bottom"/>
          </w:tcPr>
          <w:p>
            <w:pPr>
              <w:spacing w:after="0"/>
              <w:rPr>
                <w:sz w:val="14"/>
                <w:szCs w:val="1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2012</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w w:val="89"/>
              </w:rPr>
              <w:t>2011</w:t>
            </w:r>
          </w:p>
        </w:tc>
        <w:tc>
          <w:tcPr>
            <w:tcW w:w="20" w:type="dxa"/>
            <w:vAlign w:val="bottom"/>
          </w:tcPr>
          <w:p>
            <w:pPr>
              <w:spacing w:after="0"/>
              <w:rPr>
                <w:sz w:val="14"/>
                <w:szCs w:val="14"/>
                <w:color w:val="auto"/>
              </w:rPr>
            </w:pPr>
          </w:p>
        </w:tc>
      </w:tr>
      <w:tr>
        <w:trPr>
          <w:trHeight w:val="346"/>
        </w:trPr>
        <w:tc>
          <w:tcPr>
            <w:tcW w:w="5060" w:type="dxa"/>
            <w:vAlign w:val="bottom"/>
          </w:tcPr>
          <w:p>
            <w:pPr>
              <w:spacing w:after="0"/>
              <w:rPr>
                <w:sz w:val="20"/>
                <w:szCs w:val="20"/>
                <w:color w:val="auto"/>
              </w:rPr>
            </w:pPr>
            <w:r>
              <w:rPr>
                <w:rFonts w:ascii="Arial" w:cs="Arial" w:eastAsia="Arial" w:hAnsi="Arial"/>
                <w:sz w:val="14"/>
                <w:szCs w:val="14"/>
                <w:color w:val="auto"/>
              </w:rPr>
              <w:t>Non-GAAP financial measures and reconciliation:</w:t>
            </w: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060" w:type="dxa"/>
            <w:vAlign w:val="bottom"/>
          </w:tcPr>
          <w:p>
            <w:pPr>
              <w:spacing w:after="0"/>
              <w:rPr>
                <w:sz w:val="20"/>
                <w:szCs w:val="20"/>
                <w:color w:val="auto"/>
              </w:rPr>
            </w:pPr>
            <w:r>
              <w:rPr>
                <w:rFonts w:ascii="Arial" w:cs="Arial" w:eastAsia="Arial" w:hAnsi="Arial"/>
                <w:sz w:val="14"/>
                <w:szCs w:val="14"/>
                <w:color w:val="auto"/>
              </w:rPr>
              <w:t>GAAP net income attributable to World Fuel</w:t>
            </w:r>
          </w:p>
        </w:tc>
        <w:tc>
          <w:tcPr>
            <w:tcW w:w="116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42,836</w:t>
            </w:r>
          </w:p>
        </w:tc>
        <w:tc>
          <w:tcPr>
            <w:tcW w:w="200" w:type="dxa"/>
            <w:vAlign w:val="bottom"/>
          </w:tcPr>
          <w:p>
            <w:pPr>
              <w:spacing w:after="0"/>
              <w:rPr>
                <w:sz w:val="24"/>
                <w:szCs w:val="24"/>
                <w:color w:val="auto"/>
              </w:rPr>
            </w:pPr>
          </w:p>
        </w:tc>
        <w:tc>
          <w:tcPr>
            <w:tcW w:w="124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50,062</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189,345</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194,029</w:t>
            </w:r>
          </w:p>
        </w:tc>
      </w:tr>
      <w:tr>
        <w:trPr>
          <w:trHeight w:val="219"/>
        </w:trPr>
        <w:tc>
          <w:tcPr>
            <w:tcW w:w="5060" w:type="dxa"/>
            <w:vAlign w:val="bottom"/>
          </w:tcPr>
          <w:p>
            <w:pPr>
              <w:ind w:left="280"/>
              <w:spacing w:after="0" w:line="219" w:lineRule="exact"/>
              <w:rPr>
                <w:sz w:val="20"/>
                <w:szCs w:val="20"/>
                <w:color w:val="auto"/>
              </w:rPr>
            </w:pPr>
            <w:r>
              <w:rPr>
                <w:rFonts w:ascii="Arial" w:cs="Arial" w:eastAsia="Arial" w:hAnsi="Arial"/>
                <w:sz w:val="14"/>
                <w:szCs w:val="14"/>
                <w:color w:val="auto"/>
              </w:rPr>
              <w:t xml:space="preserve">Share-based compensation expense, net of taxes </w:t>
            </w:r>
            <w:r>
              <w:rPr>
                <w:rFonts w:ascii="Arial" w:cs="Arial" w:eastAsia="Arial" w:hAnsi="Arial"/>
                <w:sz w:val="23"/>
                <w:szCs w:val="23"/>
                <w:color w:val="auto"/>
                <w:vertAlign w:val="superscript"/>
              </w:rPr>
              <w:t>(1)</w:t>
            </w: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3,054</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1,932</w:t>
            </w:r>
          </w:p>
        </w:tc>
        <w:tc>
          <w:tcPr>
            <w:tcW w:w="3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9,637</w:t>
            </w:r>
          </w:p>
        </w:tc>
        <w:tc>
          <w:tcPr>
            <w:tcW w:w="58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7,558</w:t>
            </w:r>
          </w:p>
        </w:tc>
      </w:tr>
      <w:tr>
        <w:trPr>
          <w:trHeight w:val="206"/>
        </w:trPr>
        <w:tc>
          <w:tcPr>
            <w:tcW w:w="5060" w:type="dxa"/>
            <w:vAlign w:val="bottom"/>
          </w:tcPr>
          <w:p>
            <w:pPr>
              <w:ind w:left="280"/>
              <w:spacing w:after="0" w:line="207" w:lineRule="exact"/>
              <w:rPr>
                <w:sz w:val="20"/>
                <w:szCs w:val="20"/>
                <w:color w:val="auto"/>
              </w:rPr>
            </w:pPr>
            <w:r>
              <w:rPr>
                <w:rFonts w:ascii="Arial" w:cs="Arial" w:eastAsia="Arial" w:hAnsi="Arial"/>
                <w:sz w:val="14"/>
                <w:szCs w:val="14"/>
                <w:color w:val="auto"/>
              </w:rPr>
              <w:t xml:space="preserve">Intangible asset amortization expense, net of taxes </w:t>
            </w:r>
            <w:r>
              <w:rPr>
                <w:rFonts w:ascii="Arial" w:cs="Arial" w:eastAsia="Arial" w:hAnsi="Arial"/>
                <w:sz w:val="23"/>
                <w:szCs w:val="23"/>
                <w:color w:val="auto"/>
                <w:vertAlign w:val="superscript"/>
              </w:rPr>
              <w:t>(2)</w:t>
            </w:r>
          </w:p>
        </w:tc>
        <w:tc>
          <w:tcPr>
            <w:tcW w:w="11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3,500</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5,443</w:t>
            </w:r>
          </w:p>
        </w:tc>
        <w:tc>
          <w:tcPr>
            <w:tcW w:w="36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14,037</w:t>
            </w:r>
          </w:p>
        </w:tc>
        <w:tc>
          <w:tcPr>
            <w:tcW w:w="58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19,546</w:t>
            </w:r>
          </w:p>
        </w:tc>
      </w:tr>
      <w:tr>
        <w:trPr>
          <w:trHeight w:val="182"/>
        </w:trPr>
        <w:tc>
          <w:tcPr>
            <w:tcW w:w="5060" w:type="dxa"/>
            <w:vAlign w:val="bottom"/>
          </w:tcPr>
          <w:p>
            <w:pPr>
              <w:ind w:left="280"/>
              <w:spacing w:after="0"/>
              <w:rPr>
                <w:sz w:val="20"/>
                <w:szCs w:val="20"/>
                <w:color w:val="auto"/>
              </w:rPr>
            </w:pPr>
            <w:r>
              <w:rPr>
                <w:rFonts w:ascii="Arial" w:cs="Arial" w:eastAsia="Arial" w:hAnsi="Arial"/>
                <w:sz w:val="14"/>
                <w:szCs w:val="14"/>
                <w:color w:val="auto"/>
              </w:rPr>
              <w:t>Expenses related to the Multi Service acquisition,</w:t>
            </w: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5"/>
        </w:trPr>
        <w:tc>
          <w:tcPr>
            <w:tcW w:w="5060" w:type="dxa"/>
            <w:vAlign w:val="bottom"/>
          </w:tcPr>
          <w:p>
            <w:pPr>
              <w:ind w:left="340"/>
              <w:spacing w:after="0" w:line="214" w:lineRule="exact"/>
              <w:rPr>
                <w:sz w:val="20"/>
                <w:szCs w:val="20"/>
                <w:color w:val="auto"/>
              </w:rPr>
            </w:pPr>
            <w:r>
              <w:rPr>
                <w:rFonts w:ascii="Arial" w:cs="Arial" w:eastAsia="Arial" w:hAnsi="Arial"/>
                <w:sz w:val="14"/>
                <w:szCs w:val="14"/>
                <w:color w:val="auto"/>
              </w:rPr>
              <w:t xml:space="preserve">net of taxes </w:t>
            </w:r>
            <w:r>
              <w:rPr>
                <w:rFonts w:ascii="Arial" w:cs="Arial" w:eastAsia="Arial" w:hAnsi="Arial"/>
                <w:sz w:val="23"/>
                <w:szCs w:val="23"/>
                <w:color w:val="auto"/>
                <w:vertAlign w:val="superscript"/>
              </w:rPr>
              <w:t>(3)</w:t>
            </w: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2,924</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2,924</w:t>
            </w:r>
          </w:p>
        </w:tc>
        <w:tc>
          <w:tcPr>
            <w:tcW w:w="5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5060" w:type="dxa"/>
            <w:vAlign w:val="bottom"/>
          </w:tcPr>
          <w:p>
            <w:pPr>
              <w:spacing w:after="0"/>
              <w:rPr>
                <w:sz w:val="20"/>
                <w:szCs w:val="20"/>
                <w:color w:val="auto"/>
              </w:rPr>
            </w:pPr>
            <w:r>
              <w:rPr>
                <w:rFonts w:ascii="Arial" w:cs="Arial" w:eastAsia="Arial" w:hAnsi="Arial"/>
                <w:sz w:val="14"/>
                <w:szCs w:val="14"/>
                <w:color w:val="auto"/>
              </w:rPr>
              <w:t>Non-GAAP net income attributable to World Fuel</w:t>
            </w:r>
          </w:p>
        </w:tc>
        <w:tc>
          <w:tcPr>
            <w:tcW w:w="116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52,314</w:t>
            </w:r>
          </w:p>
        </w:tc>
        <w:tc>
          <w:tcPr>
            <w:tcW w:w="2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57,437</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215,943</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221,133</w:t>
            </w:r>
          </w:p>
        </w:tc>
        <w:tc>
          <w:tcPr>
            <w:tcW w:w="20" w:type="dxa"/>
            <w:vAlign w:val="bottom"/>
          </w:tcPr>
          <w:p>
            <w:pPr>
              <w:spacing w:after="0"/>
              <w:rPr>
                <w:sz w:val="14"/>
                <w:szCs w:val="14"/>
                <w:color w:val="auto"/>
              </w:rPr>
            </w:pPr>
          </w:p>
        </w:tc>
      </w:tr>
      <w:tr>
        <w:trPr>
          <w:trHeight w:val="20"/>
        </w:trPr>
        <w:tc>
          <w:tcPr>
            <w:tcW w:w="5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26"/>
        </w:trPr>
        <w:tc>
          <w:tcPr>
            <w:tcW w:w="5060" w:type="dxa"/>
            <w:vAlign w:val="bottom"/>
          </w:tcPr>
          <w:p>
            <w:pPr>
              <w:spacing w:after="0"/>
              <w:rPr>
                <w:sz w:val="20"/>
                <w:szCs w:val="20"/>
                <w:color w:val="auto"/>
              </w:rPr>
            </w:pPr>
            <w:r>
              <w:rPr>
                <w:rFonts w:ascii="Arial" w:cs="Arial" w:eastAsia="Arial" w:hAnsi="Arial"/>
                <w:sz w:val="14"/>
                <w:szCs w:val="14"/>
                <w:color w:val="auto"/>
              </w:rPr>
              <w:t>GAAP diluted earnings per common share</w:t>
            </w:r>
          </w:p>
        </w:tc>
        <w:tc>
          <w:tcPr>
            <w:tcW w:w="116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0.60</w:t>
            </w:r>
          </w:p>
        </w:tc>
        <w:tc>
          <w:tcPr>
            <w:tcW w:w="200" w:type="dxa"/>
            <w:vAlign w:val="bottom"/>
          </w:tcPr>
          <w:p>
            <w:pPr>
              <w:spacing w:after="0"/>
              <w:rPr>
                <w:sz w:val="24"/>
                <w:szCs w:val="24"/>
                <w:color w:val="auto"/>
              </w:rPr>
            </w:pPr>
          </w:p>
        </w:tc>
        <w:tc>
          <w:tcPr>
            <w:tcW w:w="124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0.70</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2.64</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2.71</w:t>
            </w:r>
          </w:p>
        </w:tc>
      </w:tr>
      <w:tr>
        <w:trPr>
          <w:trHeight w:val="176"/>
        </w:trPr>
        <w:tc>
          <w:tcPr>
            <w:tcW w:w="5060" w:type="dxa"/>
            <w:vAlign w:val="bottom"/>
          </w:tcPr>
          <w:p>
            <w:pPr>
              <w:ind w:left="340"/>
              <w:spacing w:after="0"/>
              <w:rPr>
                <w:sz w:val="20"/>
                <w:szCs w:val="20"/>
                <w:color w:val="auto"/>
              </w:rPr>
            </w:pPr>
            <w:r>
              <w:rPr>
                <w:rFonts w:ascii="Arial" w:cs="Arial" w:eastAsia="Arial" w:hAnsi="Arial"/>
                <w:sz w:val="14"/>
                <w:szCs w:val="14"/>
                <w:color w:val="auto"/>
              </w:rPr>
              <w:t>Share-based compensation expense, net of taxes</w:t>
            </w: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0.03</w:t>
            </w:r>
          </w:p>
        </w:tc>
        <w:tc>
          <w:tcPr>
            <w:tcW w:w="3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0.13</w:t>
            </w:r>
          </w:p>
        </w:tc>
        <w:tc>
          <w:tcPr>
            <w:tcW w:w="5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0.11</w:t>
            </w:r>
          </w:p>
        </w:tc>
      </w:tr>
      <w:tr>
        <w:trPr>
          <w:trHeight w:val="176"/>
        </w:trPr>
        <w:tc>
          <w:tcPr>
            <w:tcW w:w="5060" w:type="dxa"/>
            <w:vAlign w:val="bottom"/>
          </w:tcPr>
          <w:p>
            <w:pPr>
              <w:ind w:left="340"/>
              <w:spacing w:after="0"/>
              <w:rPr>
                <w:sz w:val="20"/>
                <w:szCs w:val="20"/>
                <w:color w:val="auto"/>
              </w:rPr>
            </w:pPr>
            <w:r>
              <w:rPr>
                <w:rFonts w:ascii="Arial" w:cs="Arial" w:eastAsia="Arial" w:hAnsi="Arial"/>
                <w:sz w:val="14"/>
                <w:szCs w:val="14"/>
                <w:color w:val="auto"/>
              </w:rPr>
              <w:t>Intangible asset amortization expense, net of taxes</w:t>
            </w: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0.05</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0.08</w:t>
            </w:r>
          </w:p>
        </w:tc>
        <w:tc>
          <w:tcPr>
            <w:tcW w:w="3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0.20</w:t>
            </w:r>
          </w:p>
        </w:tc>
        <w:tc>
          <w:tcPr>
            <w:tcW w:w="5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0.27</w:t>
            </w:r>
          </w:p>
        </w:tc>
      </w:tr>
      <w:tr>
        <w:trPr>
          <w:trHeight w:val="176"/>
        </w:trPr>
        <w:tc>
          <w:tcPr>
            <w:tcW w:w="5060" w:type="dxa"/>
            <w:vAlign w:val="bottom"/>
          </w:tcPr>
          <w:p>
            <w:pPr>
              <w:ind w:left="340"/>
              <w:spacing w:after="0"/>
              <w:rPr>
                <w:sz w:val="20"/>
                <w:szCs w:val="20"/>
                <w:color w:val="auto"/>
              </w:rPr>
            </w:pPr>
            <w:r>
              <w:rPr>
                <w:rFonts w:ascii="Arial" w:cs="Arial" w:eastAsia="Arial" w:hAnsi="Arial"/>
                <w:sz w:val="14"/>
                <w:szCs w:val="14"/>
                <w:color w:val="auto"/>
              </w:rPr>
              <w:t>Expenses related to the Multi Service acquisition,</w:t>
            </w: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5060" w:type="dxa"/>
            <w:vAlign w:val="bottom"/>
          </w:tcPr>
          <w:p>
            <w:pPr>
              <w:ind w:left="420"/>
              <w:spacing w:after="0"/>
              <w:rPr>
                <w:sz w:val="20"/>
                <w:szCs w:val="20"/>
                <w:color w:val="auto"/>
              </w:rPr>
            </w:pPr>
            <w:r>
              <w:rPr>
                <w:rFonts w:ascii="Arial" w:cs="Arial" w:eastAsia="Arial" w:hAnsi="Arial"/>
                <w:sz w:val="14"/>
                <w:szCs w:val="14"/>
                <w:color w:val="auto"/>
              </w:rPr>
              <w:t>net of taxes</w:t>
            </w:r>
          </w:p>
        </w:tc>
        <w:tc>
          <w:tcPr>
            <w:tcW w:w="1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0.04</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0.04</w:t>
            </w:r>
          </w:p>
        </w:tc>
        <w:tc>
          <w:tcPr>
            <w:tcW w:w="580" w:type="dxa"/>
            <w:vAlign w:val="bottom"/>
          </w:tcPr>
          <w:p>
            <w:pPr>
              <w:spacing w:after="0"/>
              <w:rPr>
                <w:sz w:val="15"/>
                <w:szCs w:val="15"/>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r>
      <w:tr>
        <w:trPr>
          <w:trHeight w:val="169"/>
        </w:trPr>
        <w:tc>
          <w:tcPr>
            <w:tcW w:w="5060" w:type="dxa"/>
            <w:vAlign w:val="bottom"/>
          </w:tcPr>
          <w:p>
            <w:pPr>
              <w:spacing w:after="0"/>
              <w:rPr>
                <w:sz w:val="20"/>
                <w:szCs w:val="20"/>
                <w:color w:val="auto"/>
              </w:rPr>
            </w:pPr>
            <w:r>
              <w:rPr>
                <w:rFonts w:ascii="Arial" w:cs="Arial" w:eastAsia="Arial" w:hAnsi="Arial"/>
                <w:sz w:val="14"/>
                <w:szCs w:val="14"/>
                <w:color w:val="auto"/>
              </w:rPr>
              <w:t>Non-GAAP diluted earnings per common share</w:t>
            </w:r>
          </w:p>
        </w:tc>
        <w:tc>
          <w:tcPr>
            <w:tcW w:w="1160" w:type="dxa"/>
            <w:vAlign w:val="bottom"/>
            <w:tcBorders>
              <w:top w:val="single" w:sz="8" w:color="auto"/>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0.73</w:t>
            </w:r>
          </w:p>
        </w:tc>
        <w:tc>
          <w:tcPr>
            <w:tcW w:w="20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ind w:right="9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0.81</w:t>
            </w:r>
          </w:p>
        </w:tc>
        <w:tc>
          <w:tcPr>
            <w:tcW w:w="12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20" w:type="dxa"/>
            <w:vAlign w:val="bottom"/>
          </w:tcPr>
          <w:p>
            <w:pPr>
              <w:spacing w:after="0"/>
              <w:rPr>
                <w:sz w:val="14"/>
                <w:szCs w:val="14"/>
                <w:color w:val="auto"/>
              </w:rPr>
            </w:pPr>
          </w:p>
        </w:tc>
      </w:tr>
      <w:tr>
        <w:trPr>
          <w:trHeight w:val="20"/>
        </w:trPr>
        <w:tc>
          <w:tcPr>
            <w:tcW w:w="50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46" w:lineRule="exact"/>
        <w:rPr>
          <w:sz w:val="20"/>
          <w:szCs w:val="20"/>
          <w:color w:val="auto"/>
        </w:rPr>
      </w:pPr>
    </w:p>
    <w:p>
      <w:pPr>
        <w:ind w:left="1140" w:right="480" w:hanging="394"/>
        <w:spacing w:after="0" w:line="253" w:lineRule="auto"/>
        <w:tabs>
          <w:tab w:leader="none" w:pos="114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share-based compensation expense was $4,529 and $2,840 for the three months ended December 31, 2012 and 2011, respectively, and $14,079 and $11,038 for the year ended December 31, 2012 and 2011, respectively.</w:t>
      </w:r>
    </w:p>
    <w:p>
      <w:pPr>
        <w:spacing w:after="0" w:line="160" w:lineRule="exact"/>
        <w:rPr>
          <w:rFonts w:ascii="Arial" w:cs="Arial" w:eastAsia="Arial" w:hAnsi="Arial"/>
          <w:sz w:val="12"/>
          <w:szCs w:val="12"/>
          <w:color w:val="auto"/>
        </w:rPr>
      </w:pPr>
    </w:p>
    <w:p>
      <w:pPr>
        <w:ind w:left="1140" w:right="340" w:hanging="394"/>
        <w:spacing w:after="0" w:line="253" w:lineRule="auto"/>
        <w:tabs>
          <w:tab w:leader="none" w:pos="114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intangible asset amortization expense was $4,950 and $6,895 for the three months ended December 31, 2012 and 2011, respectively, and $18,127 and $25,011 for the year ended December 31, 2012 and 2011, respectively.</w:t>
      </w:r>
    </w:p>
    <w:p>
      <w:pPr>
        <w:spacing w:after="0" w:line="160" w:lineRule="exact"/>
        <w:rPr>
          <w:rFonts w:ascii="Arial" w:cs="Arial" w:eastAsia="Arial" w:hAnsi="Arial"/>
          <w:sz w:val="12"/>
          <w:szCs w:val="12"/>
          <w:color w:val="auto"/>
        </w:rPr>
      </w:pPr>
    </w:p>
    <w:p>
      <w:pPr>
        <w:ind w:left="1140" w:hanging="394"/>
        <w:spacing w:after="0"/>
        <w:tabs>
          <w:tab w:leader="none" w:pos="1140"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pre-tax amount of expenses related to the Multi Service acquisition was $4,498 for the three and twelve months ended 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93980</wp:posOffset>
            </wp:positionV>
            <wp:extent cx="7272020"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3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WORLD FUEL SERVICES CORPORATION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BUSINESS SEGMENT INFORMATION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 -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20" w:type="dxa"/>
            <w:vAlign w:val="bottom"/>
          </w:tcPr>
          <w:p>
            <w:pPr>
              <w:spacing w:after="0"/>
              <w:rPr>
                <w:sz w:val="15"/>
                <w:szCs w:val="15"/>
                <w:color w:val="auto"/>
              </w:rPr>
            </w:pPr>
          </w:p>
        </w:tc>
        <w:tc>
          <w:tcPr>
            <w:tcW w:w="2920" w:type="dxa"/>
            <w:vAlign w:val="bottom"/>
            <w:gridSpan w:val="4"/>
          </w:tcPr>
          <w:p>
            <w:pPr>
              <w:jc w:val="right"/>
              <w:ind w:right="248"/>
              <w:spacing w:after="0"/>
              <w:rPr>
                <w:sz w:val="20"/>
                <w:szCs w:val="20"/>
                <w:color w:val="auto"/>
              </w:rPr>
            </w:pPr>
            <w:r>
              <w:rPr>
                <w:rFonts w:ascii="Arial" w:cs="Arial" w:eastAsia="Arial" w:hAnsi="Arial"/>
                <w:sz w:val="14"/>
                <w:szCs w:val="14"/>
                <w:color w:val="auto"/>
              </w:rPr>
              <w:t>For the Three Months ended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80" w:type="dxa"/>
            <w:vAlign w:val="bottom"/>
            <w:gridSpan w:val="3"/>
          </w:tcPr>
          <w:p>
            <w:pPr>
              <w:jc w:val="right"/>
              <w:ind w:right="8"/>
              <w:spacing w:after="0"/>
              <w:rPr>
                <w:sz w:val="20"/>
                <w:szCs w:val="20"/>
                <w:color w:val="auto"/>
              </w:rPr>
            </w:pPr>
            <w:r>
              <w:rPr>
                <w:rFonts w:ascii="Arial" w:cs="Arial" w:eastAsia="Arial" w:hAnsi="Arial"/>
                <w:sz w:val="14"/>
                <w:szCs w:val="14"/>
                <w:color w:val="auto"/>
              </w:rPr>
              <w:t>For the Year ended</w:t>
            </w: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2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648"/>
              <w:spacing w:after="0"/>
              <w:rPr>
                <w:sz w:val="20"/>
                <w:szCs w:val="20"/>
                <w:color w:val="auto"/>
              </w:rPr>
            </w:pPr>
            <w:r>
              <w:rPr>
                <w:rFonts w:ascii="Arial" w:cs="Arial" w:eastAsia="Arial" w:hAnsi="Arial"/>
                <w:sz w:val="14"/>
                <w:szCs w:val="14"/>
                <w:color w:val="auto"/>
              </w:rPr>
              <w:t>December 31,</w:t>
            </w:r>
          </w:p>
        </w:tc>
        <w:tc>
          <w:tcPr>
            <w:tcW w:w="6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color w:val="auto"/>
              </w:rPr>
              <w:t>December 31,</w:t>
            </w: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2012</w:t>
            </w: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2011</w:t>
            </w:r>
          </w:p>
        </w:tc>
        <w:tc>
          <w:tcPr>
            <w:tcW w:w="6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2011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20"/>
                <w:szCs w:val="20"/>
                <w:color w:val="auto"/>
              </w:rPr>
            </w:pPr>
            <w:r>
              <w:rPr>
                <w:rFonts w:ascii="Arial" w:cs="Arial" w:eastAsia="Arial" w:hAnsi="Arial"/>
                <w:sz w:val="14"/>
                <w:szCs w:val="14"/>
                <w:color w:val="auto"/>
              </w:rPr>
              <w:t>Revenue:</w:t>
            </w: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3,909,286</w:t>
            </w:r>
          </w:p>
        </w:tc>
        <w:tc>
          <w:tcPr>
            <w:tcW w:w="160" w:type="dxa"/>
            <w:vAlign w:val="bottom"/>
          </w:tcPr>
          <w:p>
            <w:pPr>
              <w:spacing w:after="0"/>
              <w:rPr>
                <w:sz w:val="15"/>
                <w:szCs w:val="15"/>
                <w:color w:val="auto"/>
              </w:rPr>
            </w:pPr>
          </w:p>
        </w:tc>
        <w:tc>
          <w:tcPr>
            <w:tcW w:w="11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3,314,095</w:t>
            </w:r>
          </w:p>
        </w:tc>
        <w:tc>
          <w:tcPr>
            <w:tcW w:w="140" w:type="dxa"/>
            <w:vAlign w:val="bottom"/>
          </w:tcPr>
          <w:p>
            <w:pPr>
              <w:spacing w:after="0"/>
              <w:rPr>
                <w:sz w:val="15"/>
                <w:szCs w:val="15"/>
                <w:color w:val="auto"/>
              </w:rPr>
            </w:pP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14,692,042</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12,866,019</w:t>
            </w: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3,448,996</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3,987,508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14,750,425</w:t>
            </w:r>
          </w:p>
        </w:tc>
        <w:tc>
          <w:tcPr>
            <w:tcW w:w="5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14,565,086</w:t>
            </w:r>
          </w:p>
        </w:tc>
        <w:tc>
          <w:tcPr>
            <w:tcW w:w="0" w:type="dxa"/>
            <w:vAlign w:val="bottom"/>
          </w:tcPr>
          <w:p>
            <w:pPr>
              <w:spacing w:after="0"/>
              <w:rPr>
                <w:sz w:val="1"/>
                <w:szCs w:val="1"/>
                <w:color w:val="auto"/>
              </w:rPr>
            </w:pP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2,577,531</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2,022,344</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9,502,871</w:t>
            </w:r>
          </w:p>
        </w:tc>
        <w:tc>
          <w:tcPr>
            <w:tcW w:w="5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7,191,749</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9,935,813</w:t>
            </w:r>
          </w:p>
        </w:tc>
        <w:tc>
          <w:tcPr>
            <w:tcW w:w="1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9,323,947</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38,945,338</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34,622,854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4"/>
                <w:szCs w:val="14"/>
                <w:color w:val="auto"/>
              </w:rPr>
              <w:t>Gross profit:</w:t>
            </w: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76,319</w:t>
            </w:r>
          </w:p>
        </w:tc>
        <w:tc>
          <w:tcPr>
            <w:tcW w:w="160" w:type="dxa"/>
            <w:vAlign w:val="bottom"/>
          </w:tcPr>
          <w:p>
            <w:pPr>
              <w:spacing w:after="0"/>
              <w:rPr>
                <w:sz w:val="15"/>
                <w:szCs w:val="15"/>
                <w:color w:val="auto"/>
              </w:rPr>
            </w:pPr>
          </w:p>
        </w:tc>
        <w:tc>
          <w:tcPr>
            <w:tcW w:w="11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69,991</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294,601</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306,112</w:t>
            </w: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47,243</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54,151</w:t>
            </w:r>
          </w:p>
        </w:tc>
        <w:tc>
          <w:tcPr>
            <w:tcW w:w="4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208,028</w:t>
            </w:r>
          </w:p>
        </w:tc>
        <w:tc>
          <w:tcPr>
            <w:tcW w:w="5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195,109</w:t>
            </w:r>
          </w:p>
        </w:tc>
        <w:tc>
          <w:tcPr>
            <w:tcW w:w="0" w:type="dxa"/>
            <w:vAlign w:val="bottom"/>
          </w:tcPr>
          <w:p>
            <w:pPr>
              <w:spacing w:after="0"/>
              <w:rPr>
                <w:sz w:val="1"/>
                <w:szCs w:val="1"/>
                <w:color w:val="auto"/>
              </w:rPr>
            </w:pP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39,775</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38,144</w:t>
            </w:r>
          </w:p>
        </w:tc>
        <w:tc>
          <w:tcPr>
            <w:tcW w:w="4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170,818</w:t>
            </w:r>
          </w:p>
        </w:tc>
        <w:tc>
          <w:tcPr>
            <w:tcW w:w="5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133,782</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163,337</w:t>
            </w:r>
          </w:p>
        </w:tc>
        <w:tc>
          <w:tcPr>
            <w:tcW w:w="1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162,286</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673,447</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635,003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4"/>
                <w:szCs w:val="14"/>
                <w:color w:val="auto"/>
              </w:rPr>
              <w:t>Income from operations:</w:t>
            </w: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44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Aviation segment</w:t>
            </w:r>
          </w:p>
        </w:tc>
        <w:tc>
          <w:tcPr>
            <w:tcW w:w="10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35,552</w:t>
            </w:r>
          </w:p>
        </w:tc>
        <w:tc>
          <w:tcPr>
            <w:tcW w:w="160" w:type="dxa"/>
            <w:vAlign w:val="bottom"/>
          </w:tcPr>
          <w:p>
            <w:pPr>
              <w:spacing w:after="0"/>
              <w:rPr>
                <w:sz w:val="15"/>
                <w:szCs w:val="15"/>
                <w:color w:val="auto"/>
              </w:rPr>
            </w:pPr>
          </w:p>
        </w:tc>
        <w:tc>
          <w:tcPr>
            <w:tcW w:w="11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29,389</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128,153</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146,411</w:t>
            </w:r>
          </w:p>
        </w:tc>
        <w:tc>
          <w:tcPr>
            <w:tcW w:w="0" w:type="dxa"/>
            <w:vAlign w:val="bottom"/>
          </w:tcPr>
          <w:p>
            <w:pPr>
              <w:spacing w:after="0"/>
              <w:rPr>
                <w:sz w:val="1"/>
                <w:szCs w:val="1"/>
                <w:color w:val="auto"/>
              </w:rPr>
            </w:pPr>
          </w:p>
        </w:tc>
      </w:tr>
      <w:tr>
        <w:trPr>
          <w:trHeight w:val="176"/>
        </w:trPr>
        <w:tc>
          <w:tcPr>
            <w:tcW w:w="4420" w:type="dxa"/>
            <w:vAlign w:val="bottom"/>
          </w:tcPr>
          <w:p>
            <w:pPr>
              <w:ind w:left="140"/>
              <w:spacing w:after="0"/>
              <w:rPr>
                <w:sz w:val="20"/>
                <w:szCs w:val="20"/>
                <w:color w:val="auto"/>
              </w:rPr>
            </w:pPr>
            <w:r>
              <w:rPr>
                <w:rFonts w:ascii="Arial" w:cs="Arial" w:eastAsia="Arial" w:hAnsi="Arial"/>
                <w:sz w:val="14"/>
                <w:szCs w:val="14"/>
                <w:color w:val="auto"/>
              </w:rPr>
              <w:t>Marine segment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20,557</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27,965</w:t>
            </w:r>
          </w:p>
        </w:tc>
        <w:tc>
          <w:tcPr>
            <w:tcW w:w="4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103,229</w:t>
            </w:r>
          </w:p>
        </w:tc>
        <w:tc>
          <w:tcPr>
            <w:tcW w:w="5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95,982</w:t>
            </w:r>
          </w:p>
        </w:tc>
        <w:tc>
          <w:tcPr>
            <w:tcW w:w="0" w:type="dxa"/>
            <w:vAlign w:val="bottom"/>
          </w:tcPr>
          <w:p>
            <w:pPr>
              <w:spacing w:after="0"/>
              <w:rPr>
                <w:sz w:val="1"/>
                <w:szCs w:val="1"/>
                <w:color w:val="auto"/>
              </w:rPr>
            </w:pP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Land segment</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12,554</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18,707</w:t>
            </w:r>
          </w:p>
        </w:tc>
        <w:tc>
          <w:tcPr>
            <w:tcW w:w="4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75,291</w:t>
            </w:r>
          </w:p>
        </w:tc>
        <w:tc>
          <w:tcPr>
            <w:tcW w:w="5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62,049</w:t>
            </w: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68,663</w:t>
            </w:r>
          </w:p>
        </w:tc>
        <w:tc>
          <w:tcPr>
            <w:tcW w:w="160" w:type="dxa"/>
            <w:vAlign w:val="bottom"/>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ind w:left="260"/>
              <w:spacing w:after="0"/>
              <w:rPr>
                <w:sz w:val="20"/>
                <w:szCs w:val="20"/>
                <w:color w:val="auto"/>
              </w:rPr>
            </w:pPr>
            <w:r>
              <w:rPr>
                <w:rFonts w:ascii="Arial" w:cs="Arial" w:eastAsia="Arial" w:hAnsi="Arial"/>
                <w:sz w:val="14"/>
                <w:szCs w:val="14"/>
                <w:color w:val="auto"/>
                <w:w w:val="83"/>
              </w:rPr>
              <w:t>76,061</w:t>
            </w:r>
          </w:p>
        </w:tc>
        <w:tc>
          <w:tcPr>
            <w:tcW w:w="14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306,673</w:t>
            </w: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304,442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4420" w:type="dxa"/>
            <w:vAlign w:val="bottom"/>
          </w:tcPr>
          <w:p>
            <w:pPr>
              <w:ind w:left="140"/>
              <w:spacing w:after="0"/>
              <w:rPr>
                <w:sz w:val="20"/>
                <w:szCs w:val="20"/>
                <w:color w:val="auto"/>
              </w:rPr>
            </w:pPr>
            <w:r>
              <w:rPr>
                <w:rFonts w:ascii="Arial" w:cs="Arial" w:eastAsia="Arial" w:hAnsi="Arial"/>
                <w:sz w:val="14"/>
                <w:szCs w:val="14"/>
                <w:color w:val="auto"/>
              </w:rPr>
              <w:t>Corporate overhead - unallocated</w:t>
            </w:r>
          </w:p>
        </w:tc>
        <w:tc>
          <w:tcPr>
            <w:tcW w:w="10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14,302</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ind w:left="260"/>
              <w:spacing w:after="0"/>
              <w:rPr>
                <w:sz w:val="20"/>
                <w:szCs w:val="20"/>
                <w:color w:val="auto"/>
              </w:rPr>
            </w:pPr>
            <w:r>
              <w:rPr>
                <w:rFonts w:ascii="Arial" w:cs="Arial" w:eastAsia="Arial" w:hAnsi="Arial"/>
                <w:sz w:val="14"/>
                <w:szCs w:val="14"/>
                <w:color w:val="auto"/>
                <w:w w:val="83"/>
              </w:rPr>
              <w:t>11,642</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49,650</w:t>
            </w:r>
          </w:p>
        </w:tc>
        <w:tc>
          <w:tcPr>
            <w:tcW w:w="58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color w:val="auto"/>
              </w:rPr>
              <w:t>47,470</w:t>
            </w:r>
          </w:p>
        </w:tc>
        <w:tc>
          <w:tcPr>
            <w:tcW w:w="0" w:type="dxa"/>
            <w:vAlign w:val="bottom"/>
          </w:tcPr>
          <w:p>
            <w:pPr>
              <w:spacing w:after="0"/>
              <w:rPr>
                <w:sz w:val="1"/>
                <w:szCs w:val="1"/>
                <w:color w:val="auto"/>
              </w:rPr>
            </w:pPr>
          </w:p>
        </w:tc>
      </w:tr>
      <w:tr>
        <w:trPr>
          <w:trHeight w:val="169"/>
        </w:trPr>
        <w:tc>
          <w:tcPr>
            <w:tcW w:w="44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54,361</w:t>
            </w:r>
          </w:p>
        </w:tc>
        <w:tc>
          <w:tcPr>
            <w:tcW w:w="16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4"/>
                <w:szCs w:val="14"/>
                <w:color w:val="auto"/>
                <w:w w:val="83"/>
              </w:rPr>
              <w:t>64,419</w:t>
            </w:r>
          </w:p>
        </w:tc>
        <w:tc>
          <w:tcPr>
            <w:tcW w:w="14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257,023</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256,972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b w:val="1"/>
          <w:bCs w:val="1"/>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Jason Bewley</w:t>
      </w:r>
    </w:p>
    <w:p>
      <w:pPr>
        <w:spacing w:after="0" w:line="231" w:lineRule="auto"/>
        <w:rPr>
          <w:sz w:val="20"/>
          <w:szCs w:val="20"/>
          <w:color w:val="auto"/>
        </w:rPr>
      </w:pPr>
      <w:r>
        <w:rPr>
          <w:rFonts w:ascii="Arial" w:cs="Arial" w:eastAsia="Arial" w:hAnsi="Arial"/>
          <w:sz w:val="22"/>
          <w:szCs w:val="22"/>
          <w:color w:val="auto"/>
        </w:rPr>
        <w:t>Vice President Corporate Finance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2019-12-05T22:43:13Z</dcterms:created>
  <dcterms:modified xsi:type="dcterms:W3CDTF">2019-12-05T22:43:13Z</dcterms:modified>
</cp:coreProperties>
</file>