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7100" w:type="dxa"/>
            <w:vAlign w:val="bottom"/>
            <w:gridSpan w:val="3"/>
          </w:tcPr>
          <w:p>
            <w:pPr>
              <w:jc w:val="center"/>
              <w:ind w:left="27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Florida</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incorporation)</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8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Miami, Florida</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828"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ind w:right="40" w:firstLine="432"/>
        <w:spacing w:after="0" w:line="251" w:lineRule="auto"/>
        <w:rPr>
          <w:sz w:val="20"/>
          <w:szCs w:val="20"/>
          <w:color w:val="auto"/>
        </w:rPr>
      </w:pPr>
      <w:r>
        <w:rPr>
          <w:rFonts w:ascii="Arial" w:cs="Arial" w:eastAsia="Arial" w:hAnsi="Arial"/>
          <w:sz w:val="22"/>
          <w:szCs w:val="22"/>
          <w:color w:val="auto"/>
        </w:rPr>
        <w:t>The following information is provided pursuant to Item 7.01 of Form 8-K, “Regulation FD Disclosure” and Item 2.02 of Form 8-K, “Results of Operations and Financial Condition.”</w:t>
      </w:r>
    </w:p>
    <w:p>
      <w:pPr>
        <w:spacing w:after="0" w:line="18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August 1, 2012, World Fuel Services Corporation issued a press release reporting its financial results for the second quarter of 2012. A copy of the press release is attached hereto as Exhibit 99.1.</w:t>
      </w:r>
    </w:p>
    <w:p>
      <w:pPr>
        <w:spacing w:after="0" w:line="16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p>
      <w:pPr>
        <w:ind w:left="1080" w:hanging="606"/>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p>
      <w:pPr>
        <w:ind w:left="940"/>
        <w:spacing w:after="0"/>
        <w:tabs>
          <w:tab w:leader="none" w:pos="2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40" w:lineRule="exact"/>
        <w:rPr>
          <w:sz w:val="20"/>
          <w:szCs w:val="20"/>
          <w:color w:val="auto"/>
        </w:rPr>
      </w:pPr>
    </w:p>
    <w:p>
      <w:pPr>
        <w:ind w:left="1220"/>
        <w:spacing w:after="0"/>
        <w:tabs>
          <w:tab w:leader="none" w:pos="2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August 1, 2012</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August 1, 2012.</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Reports Second Quarter Results</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MIAMI--(BUSINESS WIRE)--August 1, 2012--World Fuel Services Corporation (NYSE:INT), a leading global fuel logistics company, principally engaged in the marketing, sale and distribution of aviation, marine and land fuel products and related services, today reported second quarter net income of $48.6 million or $0.68 diluted earnings per share compared to $50.2 million or $0.70 diluted earnings per share in the second quarter of 2011. Non-GAAP net income and diluted earnings per share for the second quarter, which exclude share-based compensation and amortization of acquired intangible assets, were $52.8 million and $0.74, respectively, compared to $57.7 million or $0.81 in 2011.</w:t>
      </w:r>
    </w:p>
    <w:p>
      <w:pPr>
        <w:spacing w:after="0" w:line="177"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“We are pleased with our second quarter performance, which demonstrates the effectiveness of our multi-faceted business model,” stated Michael J. Kasbar, president and chief executive officer of World Fuel Services Corporation. “We remain optimistic about our ability to deliver on our long-term growth strategy.”</w:t>
      </w:r>
    </w:p>
    <w:p>
      <w:pPr>
        <w:spacing w:after="0" w:line="18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company’s marine segment generated gross profit of $51.7 million, a decrease of approximately $3.3 million or 6% sequentially, but an increase of $1.1 million or 2% year-over-year. Our aviation segment generated gross profit of $69.2 million in the second quarter of 2012, an increase of $4.3 million or 7% sequentially, but a decrease of $12.9 million or 16% year-over-year. The company’s land segment posted gross profit of $51.2 million, an increase of $14 million or 38% sequentially and $18.8 million or 58% year-over-year.</w:t>
      </w:r>
    </w:p>
    <w:p>
      <w:pPr>
        <w:spacing w:after="0" w:line="188"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“The strength of our balance sheet remains a key differentiator for us in the current market environment,” said Ira M. Birns, executive vice president and chief financial officer. “Our solid liquidity profile should enable us to continue investing in organic and external growth opportunities, while we continue to maintain strong operating expense disciplines.”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This information includes non-GAAP net income and non-GAAP diluted earnings per share. The non-GAAP financial measures exclude costs associated with share-based compensation and amortization of acquired intangible assets, primarily because we do not believe they are reflective of the company’s core operating results. We believe that these non-GAAP financial measures, when considered in conjunction with our financial information prepared in accordance with GAAP, are useful for investors to evaluate our core operating results and trends.</w:t>
      </w:r>
    </w:p>
    <w:p>
      <w:pPr>
        <w:spacing w:after="0" w:line="151"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Non-GAAP financial measures should not be considered in isolation from, or as a substitute for, financial information prepared in accordance with GAAP. In addition, our presentation of non-GAAP net income and non-GAAP diluted earnings per share may not be comparable to the presentation of such metrics by other companies. Investors are encouraged to review the reconciliation of these non-GAAP measures to their most directly comparable GAAP financial measure. A reconciliation of GAAP to non-GAAP results has been provided in the financial statement tables included in this press release.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With the exception of historical information in this news release, this document includes forward-looking statements that involve risks and uncertainties, including, but not limited to, quarterly fluctuations in results, the creditworthiness of customers and counterparties and our ability to collect accounts receivable, fluctuations in world oil prices or foreign currency, changes in political, economic, regulatory, or environmental conditions, adverse conditions in the markets or industries in which we or our customers operate, our failure to effectively hedge certain financial risks associated with the use of derivatives, non-performance by counterparties or customers on derivatives contracts, the integration of acquired businesses, uninsured losses, our ability to retain and attract senior management and other key employees and other risks detailed from time to time in the company’s Securities and Exchange Commission filings. Actual results may differ materially from any forward-looking statements set forth herein.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6,000 locations in more than 200 countries and territories worldwide.</w:t>
      </w:r>
    </w:p>
    <w:p>
      <w:pPr>
        <w:spacing w:after="0" w:line="134"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0" w:type="dxa"/>
            <w:vAlign w:val="bottom"/>
            <w:gridSpan w:val="4"/>
          </w:tcPr>
          <w:p>
            <w:pPr>
              <w:jc w:val="right"/>
              <w:ind w:right="588"/>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4"/>
          </w:tcPr>
          <w:p>
            <w:pPr>
              <w:jc w:val="right"/>
              <w:ind w:right="708"/>
              <w:spacing w:after="0"/>
              <w:rPr>
                <w:sz w:val="20"/>
                <w:szCs w:val="20"/>
                <w:color w:val="auto"/>
              </w:rPr>
            </w:pPr>
            <w:r>
              <w:rPr>
                <w:rFonts w:ascii="Arial" w:cs="Arial" w:eastAsia="Arial" w:hAnsi="Arial"/>
                <w:sz w:val="14"/>
                <w:szCs w:val="14"/>
                <w:color w:val="auto"/>
              </w:rPr>
              <w:t>For the Six Months ended</w:t>
            </w:r>
          </w:p>
        </w:tc>
      </w:tr>
      <w:tr>
        <w:trPr>
          <w:trHeight w:val="181"/>
        </w:trPr>
        <w:tc>
          <w:tcPr>
            <w:tcW w:w="5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r>
      <w:tr>
        <w:trPr>
          <w:trHeight w:val="169"/>
        </w:trPr>
        <w:tc>
          <w:tcPr>
            <w:tcW w:w="5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2011</w:t>
            </w:r>
          </w:p>
        </w:tc>
      </w:tr>
      <w:tr>
        <w:trPr>
          <w:trHeight w:val="515"/>
        </w:trPr>
        <w:tc>
          <w:tcPr>
            <w:tcW w:w="5320" w:type="dxa"/>
            <w:vAlign w:val="bottom"/>
          </w:tcPr>
          <w:p>
            <w:pPr>
              <w:ind w:left="80"/>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9,618,797</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8,708,709</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19,097,852</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15,788,115</w:t>
            </w:r>
          </w:p>
        </w:tc>
      </w:tr>
      <w:tr>
        <w:trPr>
          <w:trHeight w:val="181"/>
        </w:trPr>
        <w:tc>
          <w:tcPr>
            <w:tcW w:w="5320" w:type="dxa"/>
            <w:vAlign w:val="bottom"/>
          </w:tcPr>
          <w:p>
            <w:pPr>
              <w:ind w:left="80"/>
              <w:spacing w:after="0"/>
              <w:rPr>
                <w:sz w:val="20"/>
                <w:szCs w:val="20"/>
                <w:color w:val="auto"/>
              </w:rPr>
            </w:pPr>
            <w:r>
              <w:rPr>
                <w:rFonts w:ascii="Arial" w:cs="Arial" w:eastAsia="Arial" w:hAnsi="Arial"/>
                <w:sz w:val="14"/>
                <w:szCs w:val="14"/>
                <w:color w:val="auto"/>
              </w:rPr>
              <w:t>Cost of revenue</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9,446,674</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8,543,607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18,768,494</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15,486,245</w:t>
            </w:r>
          </w:p>
        </w:tc>
      </w:tr>
      <w:tr>
        <w:trPr>
          <w:trHeight w:val="345"/>
        </w:trPr>
        <w:tc>
          <w:tcPr>
            <w:tcW w:w="5320" w:type="dxa"/>
            <w:vAlign w:val="bottom"/>
          </w:tcPr>
          <w:p>
            <w:pPr>
              <w:ind w:left="34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172,123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165,102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329,358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301,870</w:t>
            </w:r>
          </w:p>
        </w:tc>
      </w:tr>
      <w:tr>
        <w:trPr>
          <w:trHeight w:val="339"/>
        </w:trPr>
        <w:tc>
          <w:tcPr>
            <w:tcW w:w="5320" w:type="dxa"/>
            <w:vAlign w:val="bottom"/>
          </w:tcPr>
          <w:p>
            <w:pPr>
              <w:ind w:left="8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5320" w:type="dxa"/>
            <w:vAlign w:val="bottom"/>
          </w:tcPr>
          <w:p>
            <w:pPr>
              <w:ind w:left="180"/>
              <w:spacing w:after="0"/>
              <w:rPr>
                <w:sz w:val="20"/>
                <w:szCs w:val="20"/>
                <w:color w:val="auto"/>
              </w:rPr>
            </w:pPr>
            <w:r>
              <w:rPr>
                <w:rFonts w:ascii="Arial" w:cs="Arial" w:eastAsia="Arial" w:hAnsi="Arial"/>
                <w:sz w:val="14"/>
                <w:szCs w:val="14"/>
                <w:color w:val="auto"/>
              </w:rPr>
              <w:t>Compensation and employee benefits</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56,183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54,877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110,710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101,946</w:t>
            </w:r>
          </w:p>
        </w:tc>
      </w:tr>
      <w:tr>
        <w:trPr>
          <w:trHeight w:val="176"/>
        </w:trPr>
        <w:tc>
          <w:tcPr>
            <w:tcW w:w="532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3,531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4,327</w:t>
            </w:r>
          </w:p>
        </w:tc>
      </w:tr>
      <w:tr>
        <w:trPr>
          <w:trHeight w:val="181"/>
        </w:trPr>
        <w:tc>
          <w:tcPr>
            <w:tcW w:w="532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42,941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40,591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86,252</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73,969</w:t>
            </w:r>
          </w:p>
        </w:tc>
      </w:tr>
      <w:tr>
        <w:trPr>
          <w:trHeight w:val="345"/>
        </w:trPr>
        <w:tc>
          <w:tcPr>
            <w:tcW w:w="5320" w:type="dxa"/>
            <w:vAlign w:val="bottom"/>
          </w:tcPr>
          <w:p>
            <w:pPr>
              <w:ind w:left="3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99,765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98,999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197,744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180,242</w:t>
            </w:r>
          </w:p>
        </w:tc>
      </w:tr>
      <w:tr>
        <w:trPr>
          <w:trHeight w:val="339"/>
        </w:trPr>
        <w:tc>
          <w:tcPr>
            <w:tcW w:w="5320" w:type="dxa"/>
            <w:vAlign w:val="bottom"/>
          </w:tcPr>
          <w:p>
            <w:pPr>
              <w:ind w:left="340"/>
              <w:spacing w:after="0"/>
              <w:rPr>
                <w:sz w:val="20"/>
                <w:szCs w:val="20"/>
                <w:color w:val="auto"/>
              </w:rPr>
            </w:pPr>
            <w:r>
              <w:rPr>
                <w:rFonts w:ascii="Arial" w:cs="Arial" w:eastAsia="Arial" w:hAnsi="Arial"/>
                <w:sz w:val="14"/>
                <w:szCs w:val="14"/>
                <w:color w:val="auto"/>
              </w:rPr>
              <w:t>Income from operations</w:t>
            </w:r>
          </w:p>
        </w:tc>
        <w:tc>
          <w:tcPr>
            <w:tcW w:w="3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72,358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66,103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131,614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121,628</w:t>
            </w:r>
          </w:p>
        </w:tc>
      </w:tr>
      <w:tr>
        <w:trPr>
          <w:trHeight w:val="181"/>
        </w:trPr>
        <w:tc>
          <w:tcPr>
            <w:tcW w:w="5320" w:type="dxa"/>
            <w:vAlign w:val="bottom"/>
          </w:tcPr>
          <w:p>
            <w:pPr>
              <w:ind w:left="80"/>
              <w:spacing w:after="0"/>
              <w:rPr>
                <w:sz w:val="20"/>
                <w:szCs w:val="20"/>
                <w:color w:val="auto"/>
              </w:rPr>
            </w:pPr>
            <w:r>
              <w:rPr>
                <w:rFonts w:ascii="Arial" w:cs="Arial" w:eastAsia="Arial" w:hAnsi="Arial"/>
                <w:sz w:val="14"/>
                <w:szCs w:val="14"/>
                <w:color w:val="auto"/>
              </w:rPr>
              <w:t>Non-operating expenses, net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(5,525)</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(7,834)</w:t>
            </w:r>
          </w:p>
        </w:tc>
      </w:tr>
      <w:tr>
        <w:trPr>
          <w:trHeight w:val="339"/>
        </w:trPr>
        <w:tc>
          <w:tcPr>
            <w:tcW w:w="5320" w:type="dxa"/>
            <w:vAlign w:val="bottom"/>
          </w:tcPr>
          <w:p>
            <w:pPr>
              <w:ind w:left="80"/>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66,833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61,722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121,994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113,794</w:t>
            </w:r>
          </w:p>
        </w:tc>
      </w:tr>
      <w:tr>
        <w:trPr>
          <w:trHeight w:val="181"/>
        </w:trPr>
        <w:tc>
          <w:tcPr>
            <w:tcW w:w="5320" w:type="dxa"/>
            <w:vAlign w:val="bottom"/>
          </w:tcPr>
          <w:p>
            <w:pPr>
              <w:ind w:left="8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11,951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11,049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18,566</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21,464</w:t>
            </w:r>
          </w:p>
        </w:tc>
      </w:tr>
      <w:tr>
        <w:trPr>
          <w:trHeight w:val="339"/>
        </w:trPr>
        <w:tc>
          <w:tcPr>
            <w:tcW w:w="5320" w:type="dxa"/>
            <w:vAlign w:val="bottom"/>
          </w:tcPr>
          <w:p>
            <w:pPr>
              <w:ind w:left="80"/>
              <w:spacing w:after="0"/>
              <w:rPr>
                <w:sz w:val="20"/>
                <w:szCs w:val="20"/>
                <w:color w:val="auto"/>
              </w:rPr>
            </w:pPr>
            <w:r>
              <w:rPr>
                <w:rFonts w:ascii="Arial" w:cs="Arial" w:eastAsia="Arial" w:hAnsi="Arial"/>
                <w:sz w:val="14"/>
                <w:szCs w:val="14"/>
                <w:color w:val="auto"/>
              </w:rPr>
              <w:t>Net income including noncontrolling interest</w:t>
            </w:r>
          </w:p>
        </w:tc>
        <w:tc>
          <w:tcPr>
            <w:tcW w:w="3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54,882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50,673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103,428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92,330</w:t>
            </w:r>
          </w:p>
        </w:tc>
      </w:tr>
      <w:tr>
        <w:trPr>
          <w:trHeight w:val="181"/>
        </w:trPr>
        <w:tc>
          <w:tcPr>
            <w:tcW w:w="5320" w:type="dxa"/>
            <w:vAlign w:val="bottom"/>
          </w:tcPr>
          <w:p>
            <w:pPr>
              <w:ind w:left="80"/>
              <w:spacing w:after="0"/>
              <w:rPr>
                <w:sz w:val="20"/>
                <w:szCs w:val="20"/>
                <w:color w:val="auto"/>
              </w:rPr>
            </w:pPr>
            <w:r>
              <w:rPr>
                <w:rFonts w:ascii="Arial" w:cs="Arial" w:eastAsia="Arial" w:hAnsi="Arial"/>
                <w:sz w:val="14"/>
                <w:szCs w:val="14"/>
                <w:color w:val="auto"/>
              </w:rPr>
              <w:t>Net income attributable to noncontrolling interest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8,413</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1,018</w:t>
            </w:r>
          </w:p>
        </w:tc>
      </w:tr>
      <w:tr>
        <w:trPr>
          <w:trHeight w:val="345"/>
        </w:trPr>
        <w:tc>
          <w:tcPr>
            <w:tcW w:w="5320" w:type="dxa"/>
            <w:vAlign w:val="bottom"/>
          </w:tcPr>
          <w:p>
            <w:pPr>
              <w:ind w:left="80"/>
              <w:spacing w:after="0"/>
              <w:rPr>
                <w:sz w:val="20"/>
                <w:szCs w:val="20"/>
                <w:color w:val="auto"/>
              </w:rPr>
            </w:pPr>
            <w:r>
              <w:rPr>
                <w:rFonts w:ascii="Arial" w:cs="Arial" w:eastAsia="Arial" w:hAnsi="Arial"/>
                <w:sz w:val="14"/>
                <w:szCs w:val="14"/>
                <w:color w:val="auto"/>
              </w:rPr>
              <w:t>Net income attributable to World Fuel</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48,600</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50,203</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95,015</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91,312</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32"/>
        </w:trPr>
        <w:tc>
          <w:tcPr>
            <w:tcW w:w="5320" w:type="dxa"/>
            <w:vAlign w:val="bottom"/>
          </w:tcPr>
          <w:p>
            <w:pPr>
              <w:ind w:left="80"/>
              <w:spacing w:after="0"/>
              <w:rPr>
                <w:sz w:val="20"/>
                <w:szCs w:val="20"/>
                <w:color w:val="auto"/>
              </w:rPr>
            </w:pPr>
            <w:r>
              <w:rPr>
                <w:rFonts w:ascii="Arial" w:cs="Arial" w:eastAsia="Arial" w:hAnsi="Arial"/>
                <w:sz w:val="14"/>
                <w:szCs w:val="14"/>
                <w:color w:val="auto"/>
              </w:rPr>
              <w:t>Basic earnings per common share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0.68</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0.71</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1.30</w:t>
            </w:r>
          </w:p>
        </w:tc>
      </w:tr>
      <w:tr>
        <w:trPr>
          <w:trHeight w:val="20"/>
        </w:trPr>
        <w:tc>
          <w:tcPr>
            <w:tcW w:w="5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320" w:type="dxa"/>
            <w:vAlign w:val="bottom"/>
          </w:tcPr>
          <w:p>
            <w:pPr>
              <w:ind w:left="80"/>
              <w:spacing w:after="0"/>
              <w:rPr>
                <w:sz w:val="20"/>
                <w:szCs w:val="20"/>
                <w:color w:val="auto"/>
              </w:rPr>
            </w:pPr>
            <w:r>
              <w:rPr>
                <w:rFonts w:ascii="Arial" w:cs="Arial" w:eastAsia="Arial" w:hAnsi="Arial"/>
                <w:sz w:val="14"/>
                <w:szCs w:val="14"/>
                <w:color w:val="auto"/>
              </w:rPr>
              <w:t>Basic weighted average common shares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71,173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70,856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71,083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70,400</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32"/>
        </w:trPr>
        <w:tc>
          <w:tcPr>
            <w:tcW w:w="5320" w:type="dxa"/>
            <w:vAlign w:val="bottom"/>
          </w:tcPr>
          <w:p>
            <w:pPr>
              <w:ind w:left="80"/>
              <w:spacing w:after="0"/>
              <w:rPr>
                <w:sz w:val="20"/>
                <w:szCs w:val="20"/>
                <w:color w:val="auto"/>
              </w:rPr>
            </w:pPr>
            <w:r>
              <w:rPr>
                <w:rFonts w:ascii="Arial" w:cs="Arial" w:eastAsia="Arial" w:hAnsi="Arial"/>
                <w:sz w:val="14"/>
                <w:szCs w:val="14"/>
                <w:color w:val="auto"/>
              </w:rPr>
              <w:t>Diluted earnings per common share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0.68</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0.70</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1.28</w:t>
            </w:r>
          </w:p>
        </w:tc>
      </w:tr>
      <w:tr>
        <w:trPr>
          <w:trHeight w:val="20"/>
        </w:trPr>
        <w:tc>
          <w:tcPr>
            <w:tcW w:w="5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320" w:type="dxa"/>
            <w:vAlign w:val="bottom"/>
          </w:tcPr>
          <w:p>
            <w:pPr>
              <w:ind w:left="80"/>
              <w:spacing w:after="0"/>
              <w:rPr>
                <w:sz w:val="20"/>
                <w:szCs w:val="20"/>
                <w:color w:val="auto"/>
              </w:rPr>
            </w:pPr>
            <w:r>
              <w:rPr>
                <w:rFonts w:ascii="Arial" w:cs="Arial" w:eastAsia="Arial" w:hAnsi="Arial"/>
                <w:sz w:val="14"/>
                <w:szCs w:val="14"/>
                <w:color w:val="auto"/>
              </w:rPr>
              <w:t>Diluted weighted average common shares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71,767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71,558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71,773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71,299</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1"/>
        </w:trPr>
        <w:tc>
          <w:tcPr>
            <w:tcW w:w="5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r>
        <w:trPr>
          <w:trHeight w:val="21"/>
        </w:trPr>
        <w:tc>
          <w:tcPr>
            <w:tcW w:w="53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As of</w:t>
            </w: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ind w:right="44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8020" w:type="dxa"/>
            <w:vAlign w:val="bottom"/>
          </w:tcPr>
          <w:p>
            <w:pPr>
              <w:ind w:left="80"/>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136,676</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205,415</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2,124,645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2,160,561</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557,390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472,584</w:t>
            </w:r>
          </w:p>
        </w:tc>
        <w:tc>
          <w:tcPr>
            <w:tcW w:w="0" w:type="dxa"/>
            <w:vAlign w:val="bottom"/>
          </w:tcPr>
          <w:p>
            <w:pPr>
              <w:spacing w:after="0"/>
              <w:rPr>
                <w:sz w:val="1"/>
                <w:szCs w:val="1"/>
                <w:color w:val="auto"/>
              </w:rPr>
            </w:pPr>
          </w:p>
        </w:tc>
      </w:tr>
      <w:tr>
        <w:trPr>
          <w:trHeight w:val="181"/>
        </w:trPr>
        <w:tc>
          <w:tcPr>
            <w:tcW w:w="80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478,134</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283,667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8020" w:type="dxa"/>
            <w:vAlign w:val="bottom"/>
          </w:tcPr>
          <w:p>
            <w:pPr>
              <w:ind w:left="60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3,296,845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3,122,227</w:t>
            </w:r>
          </w:p>
        </w:tc>
        <w:tc>
          <w:tcPr>
            <w:tcW w:w="0" w:type="dxa"/>
            <w:vAlign w:val="bottom"/>
          </w:tcPr>
          <w:p>
            <w:pPr>
              <w:spacing w:after="0"/>
              <w:rPr>
                <w:sz w:val="1"/>
                <w:szCs w:val="1"/>
                <w:color w:val="auto"/>
              </w:rPr>
            </w:pPr>
          </w:p>
        </w:tc>
      </w:tr>
      <w:tr>
        <w:trPr>
          <w:trHeight w:val="351"/>
        </w:trPr>
        <w:tc>
          <w:tcPr>
            <w:tcW w:w="8020" w:type="dxa"/>
            <w:vAlign w:val="bottom"/>
          </w:tcPr>
          <w:p>
            <w:pPr>
              <w:ind w:left="8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92,597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90,710</w:t>
            </w:r>
          </w:p>
        </w:tc>
        <w:tc>
          <w:tcPr>
            <w:tcW w:w="0" w:type="dxa"/>
            <w:vAlign w:val="bottom"/>
          </w:tcPr>
          <w:p>
            <w:pPr>
              <w:spacing w:after="0"/>
              <w:rPr>
                <w:sz w:val="1"/>
                <w:szCs w:val="1"/>
                <w:color w:val="auto"/>
              </w:rPr>
            </w:pPr>
          </w:p>
        </w:tc>
      </w:tr>
      <w:tr>
        <w:trPr>
          <w:trHeight w:val="350"/>
        </w:trPr>
        <w:tc>
          <w:tcPr>
            <w:tcW w:w="8020" w:type="dxa"/>
            <w:vAlign w:val="bottom"/>
          </w:tcPr>
          <w:p>
            <w:pPr>
              <w:ind w:left="80"/>
              <w:spacing w:after="0"/>
              <w:rPr>
                <w:sz w:val="20"/>
                <w:szCs w:val="20"/>
                <w:color w:val="auto"/>
              </w:rPr>
            </w:pPr>
            <w:r>
              <w:rPr>
                <w:rFonts w:ascii="Arial" w:cs="Arial" w:eastAsia="Arial" w:hAnsi="Arial"/>
                <w:sz w:val="14"/>
                <w:szCs w:val="14"/>
                <w:color w:val="auto"/>
              </w:rPr>
              <w:t>Goodwill, identifiable intangible and non-current other assets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498,452</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484,309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20" w:type="dxa"/>
            <w:vAlign w:val="bottom"/>
          </w:tcPr>
          <w:p>
            <w:pPr>
              <w:ind w:left="1280"/>
              <w:spacing w:after="0"/>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3,887,894</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3,697,246</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80"/>
              <w:spacing w:after="0"/>
              <w:rPr>
                <w:sz w:val="20"/>
                <w:szCs w:val="20"/>
                <w:color w:val="auto"/>
              </w:rPr>
            </w:pPr>
            <w:r>
              <w:rPr>
                <w:rFonts w:ascii="Arial" w:cs="Arial" w:eastAsia="Arial" w:hAnsi="Arial"/>
                <w:sz w:val="14"/>
                <w:szCs w:val="14"/>
                <w:color w:val="auto"/>
              </w:rPr>
              <w:t>Liabilities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8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80"/>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Arial" w:cs="Arial" w:eastAsia="Arial" w:hAnsi="Arial"/>
                <w:sz w:val="14"/>
                <w:szCs w:val="14"/>
                <w:color w:val="auto"/>
              </w:rPr>
              <w:t>Short-term debt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23,780</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17,800</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1,774,508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1,739,678</w:t>
            </w:r>
          </w:p>
        </w:tc>
        <w:tc>
          <w:tcPr>
            <w:tcW w:w="0" w:type="dxa"/>
            <w:vAlign w:val="bottom"/>
          </w:tcPr>
          <w:p>
            <w:pPr>
              <w:spacing w:after="0"/>
              <w:rPr>
                <w:sz w:val="1"/>
                <w:szCs w:val="1"/>
                <w:color w:val="auto"/>
              </w:rPr>
            </w:pPr>
          </w:p>
        </w:tc>
      </w:tr>
      <w:tr>
        <w:trPr>
          <w:trHeight w:val="181"/>
        </w:trPr>
        <w:tc>
          <w:tcPr>
            <w:tcW w:w="802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289,456</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8020" w:type="dxa"/>
            <w:vAlign w:val="bottom"/>
          </w:tcPr>
          <w:p>
            <w:pPr>
              <w:ind w:left="60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2,087,744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2,026,142</w:t>
            </w:r>
          </w:p>
        </w:tc>
        <w:tc>
          <w:tcPr>
            <w:tcW w:w="0" w:type="dxa"/>
            <w:vAlign w:val="bottom"/>
          </w:tcPr>
          <w:p>
            <w:pPr>
              <w:spacing w:after="0"/>
              <w:rPr>
                <w:sz w:val="1"/>
                <w:szCs w:val="1"/>
                <w:color w:val="auto"/>
              </w:rPr>
            </w:pPr>
          </w:p>
        </w:tc>
      </w:tr>
      <w:tr>
        <w:trPr>
          <w:trHeight w:val="344"/>
        </w:trPr>
        <w:tc>
          <w:tcPr>
            <w:tcW w:w="8020" w:type="dxa"/>
            <w:vAlign w:val="bottom"/>
          </w:tcPr>
          <w:p>
            <w:pPr>
              <w:ind w:left="80"/>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308,212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269,348</w:t>
            </w:r>
          </w:p>
        </w:tc>
        <w:tc>
          <w:tcPr>
            <w:tcW w:w="0" w:type="dxa"/>
            <w:vAlign w:val="bottom"/>
          </w:tcPr>
          <w:p>
            <w:pPr>
              <w:spacing w:after="0"/>
              <w:rPr>
                <w:sz w:val="1"/>
                <w:szCs w:val="1"/>
                <w:color w:val="auto"/>
              </w:rPr>
            </w:pPr>
          </w:p>
        </w:tc>
      </w:tr>
      <w:tr>
        <w:trPr>
          <w:trHeight w:val="181"/>
        </w:trPr>
        <w:tc>
          <w:tcPr>
            <w:tcW w:w="8020" w:type="dxa"/>
            <w:vAlign w:val="bottom"/>
          </w:tcPr>
          <w:p>
            <w:pPr>
              <w:ind w:left="80"/>
              <w:spacing w:after="0"/>
              <w:rPr>
                <w:sz w:val="20"/>
                <w:szCs w:val="20"/>
                <w:color w:val="auto"/>
              </w:rPr>
            </w:pPr>
            <w:r>
              <w:rPr>
                <w:rFonts w:ascii="Arial" w:cs="Arial" w:eastAsia="Arial" w:hAnsi="Arial"/>
                <w:sz w:val="14"/>
                <w:szCs w:val="14"/>
                <w:color w:val="auto"/>
              </w:rPr>
              <w:t>Other long-term liabilities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52,870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55,038</w:t>
            </w:r>
          </w:p>
        </w:tc>
        <w:tc>
          <w:tcPr>
            <w:tcW w:w="0" w:type="dxa"/>
            <w:vAlign w:val="bottom"/>
          </w:tcPr>
          <w:p>
            <w:pPr>
              <w:spacing w:after="0"/>
              <w:rPr>
                <w:sz w:val="1"/>
                <w:szCs w:val="1"/>
                <w:color w:val="auto"/>
              </w:rPr>
            </w:pPr>
          </w:p>
        </w:tc>
      </w:tr>
      <w:tr>
        <w:trPr>
          <w:trHeight w:val="169"/>
        </w:trPr>
        <w:tc>
          <w:tcPr>
            <w:tcW w:w="8020" w:type="dxa"/>
            <w:vAlign w:val="bottom"/>
          </w:tcPr>
          <w:p>
            <w:pPr>
              <w:ind w:left="128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2,448,826</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2,350,528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8020" w:type="dxa"/>
            <w:vAlign w:val="bottom"/>
          </w:tcPr>
          <w:p>
            <w:pPr>
              <w:ind w:left="80"/>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Arial" w:cs="Arial" w:eastAsia="Arial" w:hAnsi="Arial"/>
                <w:sz w:val="14"/>
                <w:szCs w:val="14"/>
                <w:color w:val="auto"/>
              </w:rPr>
              <w:t>World Fuel shareholders' equity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1,418,218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1,332,961</w:t>
            </w:r>
          </w:p>
        </w:tc>
        <w:tc>
          <w:tcPr>
            <w:tcW w:w="0" w:type="dxa"/>
            <w:vAlign w:val="bottom"/>
          </w:tcPr>
          <w:p>
            <w:pPr>
              <w:spacing w:after="0"/>
              <w:rPr>
                <w:sz w:val="1"/>
                <w:szCs w:val="1"/>
                <w:color w:val="auto"/>
              </w:rPr>
            </w:pPr>
          </w:p>
        </w:tc>
      </w:tr>
      <w:tr>
        <w:trPr>
          <w:trHeight w:val="181"/>
        </w:trPr>
        <w:tc>
          <w:tcPr>
            <w:tcW w:w="8020" w:type="dxa"/>
            <w:vAlign w:val="bottom"/>
          </w:tcPr>
          <w:p>
            <w:pPr>
              <w:ind w:left="260"/>
              <w:spacing w:after="0"/>
              <w:rPr>
                <w:sz w:val="20"/>
                <w:szCs w:val="20"/>
                <w:color w:val="auto"/>
              </w:rPr>
            </w:pPr>
            <w:r>
              <w:rPr>
                <w:rFonts w:ascii="Arial" w:cs="Arial" w:eastAsia="Arial" w:hAnsi="Arial"/>
                <w:sz w:val="14"/>
                <w:szCs w:val="14"/>
                <w:color w:val="auto"/>
              </w:rPr>
              <w:t>Noncontrolling interest equity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20,850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13,757</w:t>
            </w:r>
          </w:p>
        </w:tc>
        <w:tc>
          <w:tcPr>
            <w:tcW w:w="0" w:type="dxa"/>
            <w:vAlign w:val="bottom"/>
          </w:tcPr>
          <w:p>
            <w:pPr>
              <w:spacing w:after="0"/>
              <w:rPr>
                <w:sz w:val="1"/>
                <w:szCs w:val="1"/>
                <w:color w:val="auto"/>
              </w:rPr>
            </w:pPr>
          </w:p>
        </w:tc>
      </w:tr>
      <w:tr>
        <w:trPr>
          <w:trHeight w:val="169"/>
        </w:trPr>
        <w:tc>
          <w:tcPr>
            <w:tcW w:w="8020" w:type="dxa"/>
            <w:vAlign w:val="bottom"/>
          </w:tcPr>
          <w:p>
            <w:pPr>
              <w:ind w:left="1280"/>
              <w:spacing w:after="0"/>
              <w:rPr>
                <w:sz w:val="20"/>
                <w:szCs w:val="20"/>
                <w:color w:val="auto"/>
              </w:rPr>
            </w:pPr>
            <w:r>
              <w:rPr>
                <w:rFonts w:ascii="Arial" w:cs="Arial" w:eastAsia="Arial" w:hAnsi="Arial"/>
                <w:sz w:val="14"/>
                <w:szCs w:val="14"/>
                <w:color w:val="auto"/>
              </w:rPr>
              <w:t>Total equity</w:t>
            </w: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1,439,068</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1,346,718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020" w:type="dxa"/>
            <w:vAlign w:val="bottom"/>
          </w:tcPr>
          <w:p>
            <w:pPr>
              <w:ind w:left="1280"/>
              <w:spacing w:after="0"/>
              <w:rPr>
                <w:sz w:val="20"/>
                <w:szCs w:val="20"/>
                <w:color w:val="auto"/>
              </w:rPr>
            </w:pPr>
            <w:r>
              <w:rPr>
                <w:rFonts w:ascii="Arial" w:cs="Arial" w:eastAsia="Arial" w:hAnsi="Arial"/>
                <w:sz w:val="14"/>
                <w:szCs w:val="14"/>
                <w:color w:val="auto"/>
              </w:rPr>
              <w:t>Total liabilities and equity</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3,887,894</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3,697,246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0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4"/>
          </w:tcPr>
          <w:p>
            <w:pPr>
              <w:jc w:val="right"/>
              <w:ind w:right="368"/>
              <w:spacing w:after="0"/>
              <w:rPr>
                <w:sz w:val="20"/>
                <w:szCs w:val="20"/>
                <w:color w:val="auto"/>
              </w:rPr>
            </w:pPr>
            <w:r>
              <w:rPr>
                <w:rFonts w:ascii="Arial" w:cs="Arial" w:eastAsia="Arial" w:hAnsi="Arial"/>
                <w:sz w:val="14"/>
                <w:szCs w:val="14"/>
                <w:color w:val="auto"/>
              </w:rPr>
              <w:t>For the Three Months ended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4"/>
          </w:tcPr>
          <w:p>
            <w:pPr>
              <w:jc w:val="right"/>
              <w:ind w:right="388"/>
              <w:spacing w:after="0"/>
              <w:rPr>
                <w:sz w:val="20"/>
                <w:szCs w:val="20"/>
                <w:color w:val="auto"/>
              </w:rPr>
            </w:pPr>
            <w:r>
              <w:rPr>
                <w:rFonts w:ascii="Arial" w:cs="Arial" w:eastAsia="Arial" w:hAnsi="Arial"/>
                <w:sz w:val="14"/>
                <w:szCs w:val="14"/>
                <w:color w:val="auto"/>
              </w:rPr>
              <w:t>For the Six Months ended</w:t>
            </w:r>
          </w:p>
        </w:tc>
      </w:tr>
      <w:tr>
        <w:trPr>
          <w:trHeight w:val="181"/>
        </w:trPr>
        <w:tc>
          <w:tcPr>
            <w:tcW w:w="6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5"/>
                <w:szCs w:val="15"/>
                <w:color w:val="auto"/>
              </w:rPr>
            </w:pPr>
          </w:p>
        </w:tc>
      </w:tr>
      <w:tr>
        <w:trPr>
          <w:trHeight w:val="169"/>
        </w:trPr>
        <w:tc>
          <w:tcPr>
            <w:tcW w:w="6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2011</w:t>
            </w:r>
          </w:p>
        </w:tc>
      </w:tr>
      <w:tr>
        <w:trPr>
          <w:trHeight w:val="339"/>
        </w:trPr>
        <w:tc>
          <w:tcPr>
            <w:tcW w:w="64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1"/>
        </w:trPr>
        <w:tc>
          <w:tcPr>
            <w:tcW w:w="6420" w:type="dxa"/>
            <w:vAlign w:val="bottom"/>
          </w:tcPr>
          <w:p>
            <w:pPr>
              <w:ind w:left="140"/>
              <w:spacing w:after="0"/>
              <w:rPr>
                <w:sz w:val="20"/>
                <w:szCs w:val="20"/>
                <w:color w:val="auto"/>
              </w:rPr>
            </w:pPr>
            <w:r>
              <w:rPr>
                <w:rFonts w:ascii="Arial" w:cs="Arial" w:eastAsia="Arial" w:hAnsi="Arial"/>
                <w:sz w:val="14"/>
                <w:szCs w:val="14"/>
                <w:color w:val="auto"/>
              </w:rPr>
              <w:t>Net income including noncontrolling interest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54,882</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50,673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103,428</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92,330</w:t>
            </w:r>
          </w:p>
        </w:tc>
      </w:tr>
      <w:tr>
        <w:trPr>
          <w:trHeight w:val="164"/>
        </w:trPr>
        <w:tc>
          <w:tcPr>
            <w:tcW w:w="6420" w:type="dxa"/>
            <w:vAlign w:val="bottom"/>
          </w:tcPr>
          <w:p>
            <w:pPr>
              <w:ind w:left="140"/>
              <w:spacing w:after="0"/>
              <w:rPr>
                <w:sz w:val="20"/>
                <w:szCs w:val="20"/>
                <w:color w:val="auto"/>
              </w:rPr>
            </w:pPr>
            <w:r>
              <w:rPr>
                <w:rFonts w:ascii="Arial" w:cs="Arial" w:eastAsia="Arial" w:hAnsi="Arial"/>
                <w:sz w:val="14"/>
                <w:szCs w:val="14"/>
                <w:color w:val="auto"/>
              </w:rPr>
              <w:t>Adjustments to reconcile net income including</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176"/>
        </w:trPr>
        <w:tc>
          <w:tcPr>
            <w:tcW w:w="6420" w:type="dxa"/>
            <w:vAlign w:val="bottom"/>
          </w:tcPr>
          <w:p>
            <w:pPr>
              <w:ind w:left="220"/>
              <w:spacing w:after="0"/>
              <w:rPr>
                <w:sz w:val="20"/>
                <w:szCs w:val="20"/>
                <w:color w:val="auto"/>
              </w:rPr>
            </w:pPr>
            <w:r>
              <w:rPr>
                <w:rFonts w:ascii="Arial" w:cs="Arial" w:eastAsia="Arial" w:hAnsi="Arial"/>
                <w:sz w:val="14"/>
                <w:szCs w:val="14"/>
                <w:color w:val="auto"/>
              </w:rPr>
              <w:t>noncontrolling interest to net cash (used in) provided by</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6420" w:type="dxa"/>
            <w:vAlign w:val="bottom"/>
          </w:tcPr>
          <w:p>
            <w:pPr>
              <w:ind w:left="220"/>
              <w:spacing w:after="0"/>
              <w:rPr>
                <w:sz w:val="20"/>
                <w:szCs w:val="20"/>
                <w:color w:val="auto"/>
              </w:rPr>
            </w:pPr>
            <w:r>
              <w:rPr>
                <w:rFonts w:ascii="Arial" w:cs="Arial" w:eastAsia="Arial" w:hAnsi="Arial"/>
                <w:sz w:val="14"/>
                <w:szCs w:val="14"/>
                <w:color w:val="auto"/>
              </w:rPr>
              <w:t>operating activities: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64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8,009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10,573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17,668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18,740</w:t>
            </w:r>
          </w:p>
        </w:tc>
      </w:tr>
      <w:tr>
        <w:trPr>
          <w:trHeight w:val="176"/>
        </w:trPr>
        <w:tc>
          <w:tcPr>
            <w:tcW w:w="6420" w:type="dxa"/>
            <w:vAlign w:val="bottom"/>
          </w:tcPr>
          <w:p>
            <w:pPr>
              <w:ind w:left="340"/>
              <w:spacing w:after="0"/>
              <w:rPr>
                <w:sz w:val="20"/>
                <w:szCs w:val="20"/>
                <w:color w:val="auto"/>
              </w:rPr>
            </w:pPr>
            <w:r>
              <w:rPr>
                <w:rFonts w:ascii="Arial" w:cs="Arial" w:eastAsia="Arial" w:hAnsi="Arial"/>
                <w:sz w:val="14"/>
                <w:szCs w:val="14"/>
                <w:color w:val="auto"/>
              </w:rPr>
              <w:t>Provision for bad debt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4,327</w:t>
            </w:r>
          </w:p>
        </w:tc>
      </w:tr>
      <w:tr>
        <w:trPr>
          <w:trHeight w:val="176"/>
        </w:trPr>
        <w:tc>
          <w:tcPr>
            <w:tcW w:w="6420" w:type="dxa"/>
            <w:vAlign w:val="bottom"/>
          </w:tcPr>
          <w:p>
            <w:pPr>
              <w:ind w:left="340"/>
              <w:spacing w:after="0"/>
              <w:rPr>
                <w:sz w:val="20"/>
                <w:szCs w:val="20"/>
                <w:color w:val="auto"/>
              </w:rPr>
            </w:pPr>
            <w:r>
              <w:rPr>
                <w:rFonts w:ascii="Arial" w:cs="Arial" w:eastAsia="Arial" w:hAnsi="Arial"/>
                <w:sz w:val="14"/>
                <w:szCs w:val="14"/>
                <w:color w:val="auto"/>
              </w:rPr>
              <w:t>Share-based payment award compensation costs</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5,957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5,658</w:t>
            </w:r>
          </w:p>
        </w:tc>
      </w:tr>
      <w:tr>
        <w:trPr>
          <w:trHeight w:val="176"/>
        </w:trPr>
        <w:tc>
          <w:tcPr>
            <w:tcW w:w="6420" w:type="dxa"/>
            <w:vAlign w:val="bottom"/>
          </w:tcPr>
          <w:p>
            <w:pPr>
              <w:ind w:left="34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(9,794)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4,948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3,880</w:t>
            </w:r>
          </w:p>
        </w:tc>
      </w:tr>
      <w:tr>
        <w:trPr>
          <w:trHeight w:val="176"/>
        </w:trPr>
        <w:tc>
          <w:tcPr>
            <w:tcW w:w="6420" w:type="dxa"/>
            <w:vAlign w:val="bottom"/>
          </w:tcPr>
          <w:p>
            <w:pPr>
              <w:ind w:left="340"/>
              <w:spacing w:after="0"/>
              <w:rPr>
                <w:sz w:val="20"/>
                <w:szCs w:val="20"/>
                <w:color w:val="auto"/>
              </w:rPr>
            </w:pPr>
            <w:r>
              <w:rPr>
                <w:rFonts w:ascii="Arial" w:cs="Arial" w:eastAsia="Arial" w:hAnsi="Arial"/>
                <w:sz w:val="14"/>
                <w:szCs w:val="14"/>
                <w:color w:val="auto"/>
              </w:rPr>
              <w:t>Change in cash collateral deposits held by financial counterparties</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(139,637)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(128,058)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(650)</w:t>
            </w:r>
          </w:p>
        </w:tc>
      </w:tr>
      <w:tr>
        <w:trPr>
          <w:trHeight w:val="181"/>
        </w:trPr>
        <w:tc>
          <w:tcPr>
            <w:tcW w:w="6420" w:type="dxa"/>
            <w:vAlign w:val="bottom"/>
          </w:tcPr>
          <w:p>
            <w:pPr>
              <w:ind w:left="340"/>
              <w:spacing w:after="0"/>
              <w:rPr>
                <w:sz w:val="20"/>
                <w:szCs w:val="20"/>
                <w:color w:val="auto"/>
              </w:rPr>
            </w:pPr>
            <w:r>
              <w:rPr>
                <w:rFonts w:ascii="Arial" w:cs="Arial" w:eastAsia="Arial" w:hAnsi="Arial"/>
                <w:sz w:val="14"/>
                <w:szCs w:val="14"/>
                <w:color w:val="auto"/>
              </w:rPr>
              <w:t>Changes in other assets and liabilities, net of acquisitions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(22,869)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(67,180)</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(55,677)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(261,984)</w:t>
            </w:r>
          </w:p>
        </w:tc>
      </w:tr>
      <w:tr>
        <w:trPr>
          <w:trHeight w:val="169"/>
        </w:trPr>
        <w:tc>
          <w:tcPr>
            <w:tcW w:w="6420" w:type="dxa"/>
            <w:vAlign w:val="bottom"/>
          </w:tcPr>
          <w:p>
            <w:pPr>
              <w:ind w:left="480"/>
              <w:spacing w:after="0"/>
              <w:rPr>
                <w:sz w:val="20"/>
                <w:szCs w:val="20"/>
                <w:color w:val="auto"/>
              </w:rPr>
            </w:pPr>
            <w:r>
              <w:rPr>
                <w:rFonts w:ascii="Arial" w:cs="Arial" w:eastAsia="Arial" w:hAnsi="Arial"/>
                <w:sz w:val="14"/>
                <w:szCs w:val="14"/>
                <w:color w:val="auto"/>
              </w:rPr>
              <w:t>Total adjustments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(160,597)</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(43,886)</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(160,351)</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(230,029)</w:t>
            </w:r>
          </w:p>
        </w:tc>
      </w:tr>
      <w:tr>
        <w:trPr>
          <w:trHeight w:val="169"/>
        </w:trPr>
        <w:tc>
          <w:tcPr>
            <w:tcW w:w="6420" w:type="dxa"/>
            <w:vAlign w:val="bottom"/>
          </w:tcPr>
          <w:p>
            <w:pPr>
              <w:ind w:left="140"/>
              <w:spacing w:after="0"/>
              <w:rPr>
                <w:sz w:val="20"/>
                <w:szCs w:val="20"/>
                <w:color w:val="auto"/>
              </w:rPr>
            </w:pPr>
            <w:r>
              <w:rPr>
                <w:rFonts w:ascii="Arial" w:cs="Arial" w:eastAsia="Arial" w:hAnsi="Arial"/>
                <w:sz w:val="14"/>
                <w:szCs w:val="14"/>
                <w:color w:val="auto"/>
              </w:rPr>
              <w:t>Net cash (used in) provided by operating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(105,715)</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6,787</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(56,923)</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(137,699)</w:t>
            </w:r>
          </w:p>
        </w:tc>
      </w:tr>
      <w:tr>
        <w:trPr>
          <w:trHeight w:val="339"/>
        </w:trPr>
        <w:tc>
          <w:tcPr>
            <w:tcW w:w="64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6420" w:type="dxa"/>
            <w:vAlign w:val="bottom"/>
          </w:tcPr>
          <w:p>
            <w:pPr>
              <w:ind w:left="140"/>
              <w:spacing w:after="0"/>
              <w:rPr>
                <w:sz w:val="20"/>
                <w:szCs w:val="20"/>
                <w:color w:val="auto"/>
              </w:rPr>
            </w:pPr>
            <w:r>
              <w:rPr>
                <w:rFonts w:ascii="Arial" w:cs="Arial" w:eastAsia="Arial" w:hAnsi="Arial"/>
                <w:sz w:val="14"/>
                <w:szCs w:val="14"/>
                <w:color w:val="auto"/>
              </w:rPr>
              <w:t>Acquisitions and other investments, net of cash acquired</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(28,948)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(39,013)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(106,013)</w:t>
            </w:r>
          </w:p>
        </w:tc>
      </w:tr>
      <w:tr>
        <w:trPr>
          <w:trHeight w:val="176"/>
        </w:trPr>
        <w:tc>
          <w:tcPr>
            <w:tcW w:w="642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(5,619)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(4,766)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(9,567)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(7,394)</w:t>
            </w:r>
          </w:p>
        </w:tc>
      </w:tr>
      <w:tr>
        <w:trPr>
          <w:trHeight w:val="181"/>
        </w:trPr>
        <w:tc>
          <w:tcPr>
            <w:tcW w:w="6420" w:type="dxa"/>
            <w:vAlign w:val="bottom"/>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169"/>
        </w:trPr>
        <w:tc>
          <w:tcPr>
            <w:tcW w:w="642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(34,452)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(43,779)</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(38,605)</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(113,407)</w:t>
            </w:r>
          </w:p>
        </w:tc>
      </w:tr>
      <w:tr>
        <w:trPr>
          <w:trHeight w:val="339"/>
        </w:trPr>
        <w:tc>
          <w:tcPr>
            <w:tcW w:w="64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6420" w:type="dxa"/>
            <w:vAlign w:val="bottom"/>
          </w:tcPr>
          <w:p>
            <w:pPr>
              <w:ind w:left="140"/>
              <w:spacing w:after="0"/>
              <w:rPr>
                <w:sz w:val="20"/>
                <w:szCs w:val="20"/>
                <w:color w:val="auto"/>
              </w:rPr>
            </w:pPr>
            <w:r>
              <w:rPr>
                <w:rFonts w:ascii="Arial" w:cs="Arial" w:eastAsia="Arial" w:hAnsi="Arial"/>
                <w:sz w:val="14"/>
                <w:szCs w:val="14"/>
                <w:color w:val="auto"/>
              </w:rPr>
              <w:t>Borrowings of debt, net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39,085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92,340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37,593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131,877</w:t>
            </w:r>
          </w:p>
        </w:tc>
      </w:tr>
      <w:tr>
        <w:trPr>
          <w:trHeight w:val="176"/>
        </w:trPr>
        <w:tc>
          <w:tcPr>
            <w:tcW w:w="6420" w:type="dxa"/>
            <w:vAlign w:val="bottom"/>
          </w:tcPr>
          <w:p>
            <w:pPr>
              <w:ind w:left="140"/>
              <w:spacing w:after="0"/>
              <w:rPr>
                <w:sz w:val="20"/>
                <w:szCs w:val="20"/>
                <w:color w:val="auto"/>
              </w:rPr>
            </w:pPr>
            <w:r>
              <w:rPr>
                <w:rFonts w:ascii="Arial" w:cs="Arial" w:eastAsia="Arial" w:hAnsi="Arial"/>
                <w:sz w:val="14"/>
                <w:szCs w:val="14"/>
                <w:color w:val="auto"/>
              </w:rPr>
              <w:t>Dividends paid on common stock</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(2,686)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(2,696)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(5,294)</w:t>
            </w:r>
          </w:p>
        </w:tc>
      </w:tr>
      <w:tr>
        <w:trPr>
          <w:trHeight w:val="181"/>
        </w:trPr>
        <w:tc>
          <w:tcPr>
            <w:tcW w:w="6420" w:type="dxa"/>
            <w:vAlign w:val="bottom"/>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3,236</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w:t>
            </w:r>
          </w:p>
        </w:tc>
      </w:tr>
      <w:tr>
        <w:trPr>
          <w:trHeight w:val="169"/>
        </w:trPr>
        <w:tc>
          <w:tcPr>
            <w:tcW w:w="6420" w:type="dxa"/>
            <w:vAlign w:val="bottom"/>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35,447</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92,880</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26,296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126,318</w:t>
            </w:r>
          </w:p>
        </w:tc>
      </w:tr>
      <w:tr>
        <w:trPr>
          <w:trHeight w:val="339"/>
        </w:trPr>
        <w:tc>
          <w:tcPr>
            <w:tcW w:w="6420" w:type="dxa"/>
            <w:vAlign w:val="bottom"/>
          </w:tcPr>
          <w:p>
            <w:pPr>
              <w:spacing w:after="0"/>
              <w:rPr>
                <w:sz w:val="20"/>
                <w:szCs w:val="20"/>
                <w:color w:val="auto"/>
              </w:rPr>
            </w:pPr>
            <w:r>
              <w:rPr>
                <w:rFonts w:ascii="Arial" w:cs="Arial" w:eastAsia="Arial" w:hAnsi="Arial"/>
                <w:sz w:val="14"/>
                <w:szCs w:val="14"/>
                <w:color w:val="auto"/>
              </w:rPr>
              <w:t>Effect of exchange rate changes on cash and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1"/>
        </w:trPr>
        <w:tc>
          <w:tcPr>
            <w:tcW w:w="6420" w:type="dxa"/>
            <w:vAlign w:val="bottom"/>
          </w:tcPr>
          <w:p>
            <w:pPr>
              <w:ind w:left="80"/>
              <w:spacing w:after="0"/>
              <w:rPr>
                <w:sz w:val="20"/>
                <w:szCs w:val="20"/>
                <w:color w:val="auto"/>
              </w:rPr>
            </w:pPr>
            <w:r>
              <w:rPr>
                <w:rFonts w:ascii="Arial" w:cs="Arial" w:eastAsia="Arial" w:hAnsi="Arial"/>
                <w:sz w:val="14"/>
                <w:szCs w:val="14"/>
                <w:color w:val="auto"/>
              </w:rPr>
              <w:t>cash equivalents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1,630</w:t>
            </w:r>
          </w:p>
        </w:tc>
      </w:tr>
      <w:tr>
        <w:trPr>
          <w:trHeight w:val="346"/>
        </w:trPr>
        <w:tc>
          <w:tcPr>
            <w:tcW w:w="642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2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(105,917)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56,361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(68,739)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(123,158)</w:t>
            </w:r>
          </w:p>
        </w:tc>
      </w:tr>
      <w:tr>
        <w:trPr>
          <w:trHeight w:val="350"/>
        </w:trPr>
        <w:tc>
          <w:tcPr>
            <w:tcW w:w="6420" w:type="dxa"/>
            <w:vAlign w:val="bottom"/>
          </w:tcPr>
          <w:p>
            <w:pPr>
              <w:spacing w:after="0"/>
              <w:rPr>
                <w:sz w:val="20"/>
                <w:szCs w:val="20"/>
                <w:color w:val="auto"/>
              </w:rPr>
            </w:pPr>
            <w:r>
              <w:rPr>
                <w:rFonts w:ascii="Arial" w:cs="Arial" w:eastAsia="Arial" w:hAnsi="Arial"/>
                <w:sz w:val="14"/>
                <w:szCs w:val="14"/>
                <w:color w:val="auto"/>
              </w:rPr>
              <w:t>Cash and cash equivalents, as of beginning of period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242,593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93,374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205,415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272,893</w:t>
            </w:r>
          </w:p>
        </w:tc>
      </w:tr>
      <w:tr>
        <w:trPr>
          <w:trHeight w:val="345"/>
        </w:trPr>
        <w:tc>
          <w:tcPr>
            <w:tcW w:w="6420" w:type="dxa"/>
            <w:vAlign w:val="bottom"/>
          </w:tcPr>
          <w:p>
            <w:pPr>
              <w:spacing w:after="0"/>
              <w:rPr>
                <w:sz w:val="20"/>
                <w:szCs w:val="20"/>
                <w:color w:val="auto"/>
              </w:rPr>
            </w:pPr>
            <w:r>
              <w:rPr>
                <w:rFonts w:ascii="Arial" w:cs="Arial" w:eastAsia="Arial" w:hAnsi="Arial"/>
                <w:sz w:val="14"/>
                <w:szCs w:val="14"/>
                <w:color w:val="auto"/>
              </w:rPr>
              <w:t>Cash and cash equivalents, as of end of period</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136,676</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149,735</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136,676</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149,735</w:t>
            </w:r>
          </w:p>
        </w:tc>
      </w:tr>
      <w:tr>
        <w:trPr>
          <w:trHeight w:val="20"/>
        </w:trPr>
        <w:tc>
          <w:tcPr>
            <w:tcW w:w="6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6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r>
        <w:trPr>
          <w:trHeight w:val="21"/>
        </w:trPr>
        <w:tc>
          <w:tcPr>
            <w:tcW w:w="64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2520" w:type="dxa"/>
            <w:vAlign w:val="bottom"/>
            <w:gridSpan w:val="5"/>
          </w:tcPr>
          <w:p>
            <w:pPr>
              <w:jc w:val="right"/>
              <w:ind w:right="128"/>
              <w:spacing w:after="0"/>
              <w:rPr>
                <w:sz w:val="20"/>
                <w:szCs w:val="20"/>
                <w:color w:val="auto"/>
              </w:rPr>
            </w:pPr>
            <w:r>
              <w:rPr>
                <w:rFonts w:ascii="Arial" w:cs="Arial" w:eastAsia="Arial" w:hAnsi="Arial"/>
                <w:sz w:val="14"/>
                <w:szCs w:val="14"/>
                <w:color w:val="auto"/>
              </w:rPr>
              <w:t>For the Three Months ended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4"/>
                <w:szCs w:val="14"/>
                <w:color w:val="auto"/>
              </w:rPr>
              <w:t>For the Six Months ended</w:t>
            </w:r>
          </w:p>
        </w:tc>
      </w:tr>
      <w:tr>
        <w:trPr>
          <w:trHeight w:val="181"/>
        </w:trPr>
        <w:tc>
          <w:tcPr>
            <w:tcW w:w="5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50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r>
      <w:tr>
        <w:trPr>
          <w:trHeight w:val="346"/>
        </w:trPr>
        <w:tc>
          <w:tcPr>
            <w:tcW w:w="5500" w:type="dxa"/>
            <w:vAlign w:val="bottom"/>
          </w:tcPr>
          <w:p>
            <w:pPr>
              <w:spacing w:after="0"/>
              <w:rPr>
                <w:sz w:val="20"/>
                <w:szCs w:val="20"/>
                <w:color w:val="auto"/>
              </w:rPr>
            </w:pPr>
            <w:r>
              <w:rPr>
                <w:rFonts w:ascii="Arial" w:cs="Arial" w:eastAsia="Arial" w:hAnsi="Arial"/>
                <w:sz w:val="14"/>
                <w:szCs w:val="14"/>
                <w:color w:val="auto"/>
              </w:rPr>
              <w:t>Non-GAAP financial measures and reconciliation:</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5500" w:type="dxa"/>
            <w:vAlign w:val="bottom"/>
          </w:tcPr>
          <w:p>
            <w:pPr>
              <w:spacing w:after="0"/>
              <w:rPr>
                <w:sz w:val="20"/>
                <w:szCs w:val="20"/>
                <w:color w:val="auto"/>
              </w:rPr>
            </w:pPr>
            <w:r>
              <w:rPr>
                <w:rFonts w:ascii="Arial" w:cs="Arial" w:eastAsia="Arial" w:hAnsi="Arial"/>
                <w:sz w:val="14"/>
                <w:szCs w:val="14"/>
                <w:color w:val="auto"/>
              </w:rPr>
              <w:t>GAAP net income attributable to World Fuel</w:t>
            </w:r>
          </w:p>
        </w:tc>
        <w:tc>
          <w:tcPr>
            <w:tcW w:w="9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48,600</w:t>
            </w:r>
          </w:p>
        </w:tc>
        <w:tc>
          <w:tcPr>
            <w:tcW w:w="180" w:type="dxa"/>
            <w:vAlign w:val="bottom"/>
          </w:tcPr>
          <w:p>
            <w:pPr>
              <w:spacing w:after="0"/>
              <w:rPr>
                <w:sz w:val="24"/>
                <w:szCs w:val="24"/>
                <w:color w:val="auto"/>
              </w:rPr>
            </w:pPr>
          </w:p>
        </w:tc>
        <w:tc>
          <w:tcPr>
            <w:tcW w:w="9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50,203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95,015</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91,312</w:t>
            </w:r>
          </w:p>
        </w:tc>
      </w:tr>
      <w:tr>
        <w:trPr>
          <w:trHeight w:val="176"/>
        </w:trPr>
        <w:tc>
          <w:tcPr>
            <w:tcW w:w="5500" w:type="dxa"/>
            <w:vAlign w:val="bottom"/>
          </w:tcPr>
          <w:p>
            <w:pPr>
              <w:ind w:left="120"/>
              <w:spacing w:after="0"/>
              <w:rPr>
                <w:sz w:val="20"/>
                <w:szCs w:val="20"/>
                <w:color w:val="auto"/>
              </w:rPr>
            </w:pPr>
            <w:r>
              <w:rPr>
                <w:rFonts w:ascii="Arial" w:cs="Arial" w:eastAsia="Arial" w:hAnsi="Arial"/>
                <w:sz w:val="14"/>
                <w:szCs w:val="14"/>
                <w:color w:val="auto"/>
              </w:rPr>
              <w:t>Share-based compensation expense, net of taxes</w:t>
            </w:r>
          </w:p>
        </w:tc>
        <w:tc>
          <w:tcPr>
            <w:tcW w:w="9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2,107</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1,879</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4,108</w:t>
            </w:r>
          </w:p>
        </w:tc>
        <w:tc>
          <w:tcPr>
            <w:tcW w:w="3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3,888</w:t>
            </w:r>
          </w:p>
        </w:tc>
      </w:tr>
      <w:tr>
        <w:trPr>
          <w:trHeight w:val="181"/>
        </w:trPr>
        <w:tc>
          <w:tcPr>
            <w:tcW w:w="5500" w:type="dxa"/>
            <w:vAlign w:val="bottom"/>
          </w:tcPr>
          <w:p>
            <w:pPr>
              <w:ind w:left="120"/>
              <w:spacing w:after="0"/>
              <w:rPr>
                <w:sz w:val="20"/>
                <w:szCs w:val="20"/>
                <w:color w:val="auto"/>
              </w:rPr>
            </w:pPr>
            <w:r>
              <w:rPr>
                <w:rFonts w:ascii="Arial" w:cs="Arial" w:eastAsia="Arial" w:hAnsi="Arial"/>
                <w:sz w:val="14"/>
                <w:szCs w:val="14"/>
                <w:color w:val="auto"/>
              </w:rPr>
              <w:t>Intangible asset amortization expense, net of taxes</w:t>
            </w: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2,118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5,571</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6,584</w:t>
            </w:r>
          </w:p>
        </w:tc>
        <w:tc>
          <w:tcPr>
            <w:tcW w:w="3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9,233</w:t>
            </w:r>
          </w:p>
        </w:tc>
      </w:tr>
      <w:tr>
        <w:trPr>
          <w:trHeight w:val="169"/>
        </w:trPr>
        <w:tc>
          <w:tcPr>
            <w:tcW w:w="5500" w:type="dxa"/>
            <w:vAlign w:val="bottom"/>
          </w:tcPr>
          <w:p>
            <w:pPr>
              <w:spacing w:after="0"/>
              <w:rPr>
                <w:sz w:val="20"/>
                <w:szCs w:val="20"/>
                <w:color w:val="auto"/>
              </w:rPr>
            </w:pPr>
            <w:r>
              <w:rPr>
                <w:rFonts w:ascii="Arial" w:cs="Arial" w:eastAsia="Arial" w:hAnsi="Arial"/>
                <w:sz w:val="14"/>
                <w:szCs w:val="14"/>
                <w:color w:val="auto"/>
              </w:rPr>
              <w:t>Non-GAAP net income attributable to World Fuel</w:t>
            </w:r>
          </w:p>
        </w:tc>
        <w:tc>
          <w:tcPr>
            <w:tcW w:w="92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52,825</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57,653</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105,707</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104,433</w:t>
            </w:r>
          </w:p>
        </w:tc>
        <w:tc>
          <w:tcPr>
            <w:tcW w:w="20" w:type="dxa"/>
            <w:vAlign w:val="bottom"/>
          </w:tcPr>
          <w:p>
            <w:pPr>
              <w:spacing w:after="0"/>
              <w:rPr>
                <w:sz w:val="14"/>
                <w:szCs w:val="14"/>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6"/>
        </w:trPr>
        <w:tc>
          <w:tcPr>
            <w:tcW w:w="5500" w:type="dxa"/>
            <w:vAlign w:val="bottom"/>
          </w:tcPr>
          <w:p>
            <w:pPr>
              <w:spacing w:after="0"/>
              <w:rPr>
                <w:sz w:val="20"/>
                <w:szCs w:val="20"/>
                <w:color w:val="auto"/>
              </w:rPr>
            </w:pPr>
            <w:r>
              <w:rPr>
                <w:rFonts w:ascii="Arial" w:cs="Arial" w:eastAsia="Arial" w:hAnsi="Arial"/>
                <w:sz w:val="14"/>
                <w:szCs w:val="14"/>
                <w:color w:val="auto"/>
              </w:rPr>
              <w:t>GAAP diluted earnings per common share</w:t>
            </w:r>
          </w:p>
        </w:tc>
        <w:tc>
          <w:tcPr>
            <w:tcW w:w="9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0.68</w:t>
            </w:r>
          </w:p>
        </w:tc>
        <w:tc>
          <w:tcPr>
            <w:tcW w:w="180" w:type="dxa"/>
            <w:vAlign w:val="bottom"/>
          </w:tcPr>
          <w:p>
            <w:pPr>
              <w:spacing w:after="0"/>
              <w:rPr>
                <w:sz w:val="24"/>
                <w:szCs w:val="24"/>
                <w:color w:val="auto"/>
              </w:rPr>
            </w:pPr>
          </w:p>
        </w:tc>
        <w:tc>
          <w:tcPr>
            <w:tcW w:w="9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0.70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1.32</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1.28</w:t>
            </w:r>
          </w:p>
        </w:tc>
      </w:tr>
      <w:tr>
        <w:trPr>
          <w:trHeight w:val="176"/>
        </w:trPr>
        <w:tc>
          <w:tcPr>
            <w:tcW w:w="5500" w:type="dxa"/>
            <w:vAlign w:val="bottom"/>
          </w:tcPr>
          <w:p>
            <w:pPr>
              <w:ind w:left="120"/>
              <w:spacing w:after="0"/>
              <w:rPr>
                <w:sz w:val="20"/>
                <w:szCs w:val="20"/>
                <w:color w:val="auto"/>
              </w:rPr>
            </w:pPr>
            <w:r>
              <w:rPr>
                <w:rFonts w:ascii="Arial" w:cs="Arial" w:eastAsia="Arial" w:hAnsi="Arial"/>
                <w:sz w:val="14"/>
                <w:szCs w:val="14"/>
                <w:color w:val="auto"/>
              </w:rPr>
              <w:t>Share-based compensation expense, net of taxes</w:t>
            </w:r>
          </w:p>
        </w:tc>
        <w:tc>
          <w:tcPr>
            <w:tcW w:w="9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0.03</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0.06</w:t>
            </w:r>
          </w:p>
        </w:tc>
        <w:tc>
          <w:tcPr>
            <w:tcW w:w="3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0.05</w:t>
            </w:r>
          </w:p>
        </w:tc>
      </w:tr>
      <w:tr>
        <w:trPr>
          <w:trHeight w:val="181"/>
        </w:trPr>
        <w:tc>
          <w:tcPr>
            <w:tcW w:w="5500" w:type="dxa"/>
            <w:vAlign w:val="bottom"/>
          </w:tcPr>
          <w:p>
            <w:pPr>
              <w:ind w:left="120"/>
              <w:spacing w:after="0"/>
              <w:rPr>
                <w:sz w:val="20"/>
                <w:szCs w:val="20"/>
                <w:color w:val="auto"/>
              </w:rPr>
            </w:pPr>
            <w:r>
              <w:rPr>
                <w:rFonts w:ascii="Arial" w:cs="Arial" w:eastAsia="Arial" w:hAnsi="Arial"/>
                <w:sz w:val="14"/>
                <w:szCs w:val="14"/>
                <w:color w:val="auto"/>
              </w:rPr>
              <w:t>Intangible asset amortization expense, net of taxes</w:t>
            </w:r>
          </w:p>
        </w:tc>
        <w:tc>
          <w:tcPr>
            <w:tcW w:w="9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0.08</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0.09</w:t>
            </w:r>
          </w:p>
        </w:tc>
        <w:tc>
          <w:tcPr>
            <w:tcW w:w="3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0.13</w:t>
            </w:r>
          </w:p>
        </w:tc>
      </w:tr>
      <w:tr>
        <w:trPr>
          <w:trHeight w:val="169"/>
        </w:trPr>
        <w:tc>
          <w:tcPr>
            <w:tcW w:w="5500" w:type="dxa"/>
            <w:vAlign w:val="bottom"/>
          </w:tcPr>
          <w:p>
            <w:pPr>
              <w:spacing w:after="0"/>
              <w:rPr>
                <w:sz w:val="20"/>
                <w:szCs w:val="20"/>
                <w:color w:val="auto"/>
              </w:rPr>
            </w:pPr>
            <w:r>
              <w:rPr>
                <w:rFonts w:ascii="Arial" w:cs="Arial" w:eastAsia="Arial" w:hAnsi="Arial"/>
                <w:sz w:val="14"/>
                <w:szCs w:val="14"/>
                <w:color w:val="auto"/>
              </w:rPr>
              <w:t>Non-GAAP diluted earnings per common share</w:t>
            </w:r>
          </w:p>
        </w:tc>
        <w:tc>
          <w:tcPr>
            <w:tcW w:w="92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0.74</w:t>
            </w:r>
          </w:p>
        </w:tc>
        <w:tc>
          <w:tcPr>
            <w:tcW w:w="1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4"/>
                <w:szCs w:val="14"/>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55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SEGMENT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gridSpan w:val="5"/>
          </w:tcPr>
          <w:p>
            <w:pPr>
              <w:ind w:left="380"/>
              <w:spacing w:after="0"/>
              <w:rPr>
                <w:sz w:val="20"/>
                <w:szCs w:val="20"/>
                <w:color w:val="auto"/>
              </w:rPr>
            </w:pPr>
            <w:r>
              <w:rPr>
                <w:rFonts w:ascii="Arial" w:cs="Arial" w:eastAsia="Arial" w:hAnsi="Arial"/>
                <w:sz w:val="14"/>
                <w:szCs w:val="14"/>
                <w:color w:val="auto"/>
              </w:rPr>
              <w:t>For the Three Months ended</w:t>
            </w:r>
          </w:p>
        </w:tc>
        <w:tc>
          <w:tcPr>
            <w:tcW w:w="400" w:type="dxa"/>
            <w:vAlign w:val="bottom"/>
          </w:tcPr>
          <w:p>
            <w:pPr>
              <w:spacing w:after="0"/>
              <w:rPr>
                <w:sz w:val="15"/>
                <w:szCs w:val="15"/>
                <w:color w:val="auto"/>
              </w:rPr>
            </w:pPr>
          </w:p>
        </w:tc>
        <w:tc>
          <w:tcPr>
            <w:tcW w:w="2660" w:type="dxa"/>
            <w:vAlign w:val="bottom"/>
            <w:gridSpan w:val="5"/>
          </w:tcPr>
          <w:p>
            <w:pPr>
              <w:jc w:val="right"/>
              <w:ind w:right="80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Arial" w:cs="Arial" w:eastAsia="Arial" w:hAnsi="Arial"/>
                <w:sz w:val="14"/>
                <w:szCs w:val="14"/>
                <w:color w:val="auto"/>
              </w:rPr>
              <w:t>Revenue:</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110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3,547,871</w:t>
            </w:r>
          </w:p>
        </w:tc>
        <w:tc>
          <w:tcPr>
            <w:tcW w:w="140" w:type="dxa"/>
            <w:vAlign w:val="bottom"/>
          </w:tcPr>
          <w:p>
            <w:pPr>
              <w:spacing w:after="0"/>
              <w:rPr>
                <w:sz w:val="15"/>
                <w:szCs w:val="15"/>
                <w:color w:val="auto"/>
              </w:rPr>
            </w:pP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3,364,829</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6,959,418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6,011,421</w:t>
            </w:r>
          </w:p>
        </w:tc>
        <w:tc>
          <w:tcPr>
            <w:tcW w:w="0" w:type="dxa"/>
            <w:vAlign w:val="bottom"/>
          </w:tcPr>
          <w:p>
            <w:pPr>
              <w:spacing w:after="0"/>
              <w:rPr>
                <w:sz w:val="1"/>
                <w:szCs w:val="1"/>
                <w:color w:val="auto"/>
              </w:rPr>
            </w:pPr>
          </w:p>
        </w:tc>
      </w:tr>
      <w:tr>
        <w:trPr>
          <w:trHeight w:val="176"/>
        </w:trPr>
        <w:tc>
          <w:tcPr>
            <w:tcW w:w="5000" w:type="dxa"/>
            <w:vAlign w:val="bottom"/>
          </w:tcPr>
          <w:p>
            <w:pPr>
              <w:ind w:left="110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3,767,144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3,532,983</w:t>
            </w:r>
          </w:p>
        </w:tc>
        <w:tc>
          <w:tcPr>
            <w:tcW w:w="4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7,671,335</w:t>
            </w:r>
          </w:p>
        </w:tc>
        <w:tc>
          <w:tcPr>
            <w:tcW w:w="4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6,532,402</w:t>
            </w:r>
          </w:p>
        </w:tc>
        <w:tc>
          <w:tcPr>
            <w:tcW w:w="0" w:type="dxa"/>
            <w:vAlign w:val="bottom"/>
          </w:tcPr>
          <w:p>
            <w:pPr>
              <w:spacing w:after="0"/>
              <w:rPr>
                <w:sz w:val="1"/>
                <w:szCs w:val="1"/>
                <w:color w:val="auto"/>
              </w:rPr>
            </w:pPr>
          </w:p>
        </w:tc>
      </w:tr>
      <w:tr>
        <w:trPr>
          <w:trHeight w:val="181"/>
        </w:trPr>
        <w:tc>
          <w:tcPr>
            <w:tcW w:w="5000" w:type="dxa"/>
            <w:vAlign w:val="bottom"/>
          </w:tcPr>
          <w:p>
            <w:pPr>
              <w:ind w:left="110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2,303,782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1,810,897</w:t>
            </w:r>
          </w:p>
        </w:tc>
        <w:tc>
          <w:tcPr>
            <w:tcW w:w="4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4,467,099</w:t>
            </w:r>
          </w:p>
        </w:tc>
        <w:tc>
          <w:tcPr>
            <w:tcW w:w="4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3,244,292</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9,618,797</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8,708,709</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19,097,852</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15,788,115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110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69,171</w:t>
            </w:r>
          </w:p>
        </w:tc>
        <w:tc>
          <w:tcPr>
            <w:tcW w:w="140" w:type="dxa"/>
            <w:vAlign w:val="bottom"/>
          </w:tcPr>
          <w:p>
            <w:pPr>
              <w:spacing w:after="0"/>
              <w:rPr>
                <w:sz w:val="15"/>
                <w:szCs w:val="15"/>
                <w:color w:val="auto"/>
              </w:rPr>
            </w:pP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82,027</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134,085</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152,155</w:t>
            </w:r>
          </w:p>
        </w:tc>
        <w:tc>
          <w:tcPr>
            <w:tcW w:w="0" w:type="dxa"/>
            <w:vAlign w:val="bottom"/>
          </w:tcPr>
          <w:p>
            <w:pPr>
              <w:spacing w:after="0"/>
              <w:rPr>
                <w:sz w:val="1"/>
                <w:szCs w:val="1"/>
                <w:color w:val="auto"/>
              </w:rPr>
            </w:pPr>
          </w:p>
        </w:tc>
      </w:tr>
      <w:tr>
        <w:trPr>
          <w:trHeight w:val="176"/>
        </w:trPr>
        <w:tc>
          <w:tcPr>
            <w:tcW w:w="5000" w:type="dxa"/>
            <w:vAlign w:val="bottom"/>
          </w:tcPr>
          <w:p>
            <w:pPr>
              <w:ind w:left="110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51,748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50,674</w:t>
            </w:r>
          </w:p>
        </w:tc>
        <w:tc>
          <w:tcPr>
            <w:tcW w:w="4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106,825</w:t>
            </w:r>
          </w:p>
        </w:tc>
        <w:tc>
          <w:tcPr>
            <w:tcW w:w="4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90,889</w:t>
            </w:r>
          </w:p>
        </w:tc>
        <w:tc>
          <w:tcPr>
            <w:tcW w:w="0" w:type="dxa"/>
            <w:vAlign w:val="bottom"/>
          </w:tcPr>
          <w:p>
            <w:pPr>
              <w:spacing w:after="0"/>
              <w:rPr>
                <w:sz w:val="1"/>
                <w:szCs w:val="1"/>
                <w:color w:val="auto"/>
              </w:rPr>
            </w:pPr>
          </w:p>
        </w:tc>
      </w:tr>
      <w:tr>
        <w:trPr>
          <w:trHeight w:val="181"/>
        </w:trPr>
        <w:tc>
          <w:tcPr>
            <w:tcW w:w="5000" w:type="dxa"/>
            <w:vAlign w:val="bottom"/>
          </w:tcPr>
          <w:p>
            <w:pPr>
              <w:ind w:left="110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51,204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32,401</w:t>
            </w:r>
          </w:p>
        </w:tc>
        <w:tc>
          <w:tcPr>
            <w:tcW w:w="4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88,448</w:t>
            </w:r>
          </w:p>
        </w:tc>
        <w:tc>
          <w:tcPr>
            <w:tcW w:w="4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58,826</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172,123</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165,102</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329,358</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301,870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110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25,960</w:t>
            </w:r>
          </w:p>
        </w:tc>
        <w:tc>
          <w:tcPr>
            <w:tcW w:w="140" w:type="dxa"/>
            <w:vAlign w:val="bottom"/>
          </w:tcPr>
          <w:p>
            <w:pPr>
              <w:spacing w:after="0"/>
              <w:rPr>
                <w:sz w:val="15"/>
                <w:szCs w:val="15"/>
                <w:color w:val="auto"/>
              </w:rPr>
            </w:pP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37,624</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52,793</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75,794</w:t>
            </w:r>
          </w:p>
        </w:tc>
        <w:tc>
          <w:tcPr>
            <w:tcW w:w="0" w:type="dxa"/>
            <w:vAlign w:val="bottom"/>
          </w:tcPr>
          <w:p>
            <w:pPr>
              <w:spacing w:after="0"/>
              <w:rPr>
                <w:sz w:val="1"/>
                <w:szCs w:val="1"/>
                <w:color w:val="auto"/>
              </w:rPr>
            </w:pPr>
          </w:p>
        </w:tc>
      </w:tr>
      <w:tr>
        <w:trPr>
          <w:trHeight w:val="176"/>
        </w:trPr>
        <w:tc>
          <w:tcPr>
            <w:tcW w:w="5000" w:type="dxa"/>
            <w:vAlign w:val="bottom"/>
          </w:tcPr>
          <w:p>
            <w:pPr>
              <w:ind w:left="110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27,931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25,763</w:t>
            </w:r>
          </w:p>
        </w:tc>
        <w:tc>
          <w:tcPr>
            <w:tcW w:w="4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55,376</w:t>
            </w:r>
          </w:p>
        </w:tc>
        <w:tc>
          <w:tcPr>
            <w:tcW w:w="4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43,118</w:t>
            </w:r>
          </w:p>
        </w:tc>
        <w:tc>
          <w:tcPr>
            <w:tcW w:w="0" w:type="dxa"/>
            <w:vAlign w:val="bottom"/>
          </w:tcPr>
          <w:p>
            <w:pPr>
              <w:spacing w:after="0"/>
              <w:rPr>
                <w:sz w:val="1"/>
                <w:szCs w:val="1"/>
                <w:color w:val="auto"/>
              </w:rPr>
            </w:pPr>
          </w:p>
        </w:tc>
      </w:tr>
      <w:tr>
        <w:trPr>
          <w:trHeight w:val="181"/>
        </w:trPr>
        <w:tc>
          <w:tcPr>
            <w:tcW w:w="5000" w:type="dxa"/>
            <w:vAlign w:val="bottom"/>
          </w:tcPr>
          <w:p>
            <w:pPr>
              <w:ind w:left="110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28,352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14,026</w:t>
            </w:r>
          </w:p>
        </w:tc>
        <w:tc>
          <w:tcPr>
            <w:tcW w:w="4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44,552</w:t>
            </w:r>
          </w:p>
        </w:tc>
        <w:tc>
          <w:tcPr>
            <w:tcW w:w="4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24,689</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82,243</w:t>
            </w:r>
          </w:p>
        </w:tc>
        <w:tc>
          <w:tcPr>
            <w:tcW w:w="1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77,413</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152,721</w:t>
            </w:r>
          </w:p>
        </w:tc>
        <w:tc>
          <w:tcPr>
            <w:tcW w:w="1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143,601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00" w:type="dxa"/>
            <w:vAlign w:val="bottom"/>
          </w:tcPr>
          <w:p>
            <w:pPr>
              <w:ind w:left="1100"/>
              <w:spacing w:after="0"/>
              <w:rPr>
                <w:sz w:val="20"/>
                <w:szCs w:val="20"/>
                <w:color w:val="auto"/>
              </w:rPr>
            </w:pPr>
            <w:r>
              <w:rPr>
                <w:rFonts w:ascii="Arial" w:cs="Arial" w:eastAsia="Arial" w:hAnsi="Arial"/>
                <w:sz w:val="14"/>
                <w:szCs w:val="14"/>
                <w:color w:val="auto"/>
              </w:rPr>
              <w:t>Corporate overhead - unallocated</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9,885</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11,310</w:t>
            </w:r>
          </w:p>
        </w:tc>
        <w:tc>
          <w:tcPr>
            <w:tcW w:w="4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21,107</w:t>
            </w:r>
          </w:p>
        </w:tc>
        <w:tc>
          <w:tcPr>
            <w:tcW w:w="4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21,973</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72,358</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66,103</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131,614</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121,628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2019-12-09T08:08:37Z</dcterms:created>
  <dcterms:modified xsi:type="dcterms:W3CDTF">2019-12-09T08:08:37Z</dcterms:modified>
</cp:coreProperties>
</file>