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57"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Date of Report (Date of earliest event reported): July 25, 2019</w:t>
      </w: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39"/>
          <w:szCs w:val="39"/>
          <w:b w:val="1"/>
          <w:bCs w:val="1"/>
          <w:color w:val="auto"/>
        </w:rPr>
        <w:t>WORLD FUEL SERVICES CORPORATION</w:t>
      </w:r>
    </w:p>
    <w:p>
      <w:pPr>
        <w:spacing w:after="0" w:line="5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380"/>
          </w:cols>
          <w:pgMar w:left="240" w:top="679"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260"/>
        <w:spacing w:after="0"/>
        <w:rPr>
          <w:sz w:val="20"/>
          <w:szCs w:val="20"/>
          <w:color w:val="auto"/>
        </w:rPr>
      </w:pPr>
      <w:r>
        <w:rPr>
          <w:rFonts w:ascii="Arial" w:cs="Arial" w:eastAsia="Arial" w:hAnsi="Arial"/>
          <w:sz w:val="17"/>
          <w:szCs w:val="17"/>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2740"/>
        <w:spacing w:after="0"/>
        <w:rPr>
          <w:sz w:val="20"/>
          <w:szCs w:val="20"/>
          <w:color w:val="auto"/>
        </w:rPr>
      </w:pPr>
      <w:r>
        <w:rPr>
          <w:rFonts w:ascii="Arial" w:cs="Arial" w:eastAsia="Arial" w:hAnsi="Arial"/>
          <w:sz w:val="16"/>
          <w:szCs w:val="16"/>
          <w:b w:val="1"/>
          <w:bCs w:val="1"/>
          <w:color w:val="auto"/>
        </w:rPr>
        <w:t>1-9533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59-2459427</w:t>
      </w:r>
    </w:p>
    <w:p>
      <w:pPr>
        <w:spacing w:after="0" w:line="50" w:lineRule="exact"/>
        <w:rPr>
          <w:sz w:val="24"/>
          <w:szCs w:val="24"/>
          <w:color w:val="auto"/>
        </w:rPr>
      </w:pPr>
    </w:p>
    <w:p>
      <w:pPr>
        <w:sectPr>
          <w:pgSz w:w="11900" w:h="16838" w:orient="portrait"/>
          <w:cols w:equalWidth="0" w:num="3">
            <w:col w:w="4920" w:space="720"/>
            <w:col w:w="3260" w:space="720"/>
            <w:col w:w="1760"/>
          </w:cols>
          <w:pgMar w:left="240" w:top="679" w:right="279" w:bottom="1440" w:gutter="0" w:footer="0" w:header="0"/>
          <w:type w:val="continuous"/>
        </w:sectPr>
      </w:pPr>
    </w:p>
    <w:p>
      <w:pPr>
        <w:ind w:left="18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340" w:space="720"/>
            <w:col w:w="3180" w:space="720"/>
            <w:col w:w="2420"/>
          </w:cols>
          <w:pgMar w:left="240" w:top="679"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tbl>
      <w:tblPr>
        <w:tblLayout w:type="fixed"/>
        <w:tblInd w:w="1000" w:type="dxa"/>
        <w:tblCellMar>
          <w:top w:w="0" w:type="dxa"/>
          <w:left w:w="0" w:type="dxa"/>
          <w:bottom w:w="0" w:type="dxa"/>
          <w:right w:w="0" w:type="dxa"/>
        </w:tblCellMar>
      </w:tblPr>
      <w:tr>
        <w:trPr>
          <w:trHeight w:val="216"/>
        </w:trPr>
        <w:tc>
          <w:tcPr>
            <w:tcW w:w="7760" w:type="dxa"/>
            <w:vAlign w:val="bottom"/>
          </w:tcPr>
          <w:p>
            <w:pPr>
              <w:jc w:val="center"/>
              <w:ind w:right="5294"/>
              <w:spacing w:after="0"/>
              <w:rPr>
                <w:sz w:val="20"/>
                <w:szCs w:val="20"/>
                <w:color w:val="auto"/>
              </w:rPr>
            </w:pPr>
            <w:r>
              <w:rPr>
                <w:rFonts w:ascii="Arial" w:cs="Arial" w:eastAsia="Arial" w:hAnsi="Arial"/>
                <w:sz w:val="18"/>
                <w:szCs w:val="18"/>
                <w:b w:val="1"/>
                <w:bCs w:val="1"/>
                <w:color w:val="auto"/>
                <w:w w:val="91"/>
              </w:rPr>
              <w:t>9800 N.W. 41</w:t>
            </w:r>
            <w:r>
              <w:rPr>
                <w:rFonts w:ascii="Arial" w:cs="Arial" w:eastAsia="Arial" w:hAnsi="Arial"/>
                <w:sz w:val="8"/>
                <w:szCs w:val="8"/>
                <w:b w:val="1"/>
                <w:bCs w:val="1"/>
                <w:color w:val="auto"/>
                <w:w w:val="91"/>
              </w:rPr>
              <w:t>st</w:t>
            </w:r>
            <w:r>
              <w:rPr>
                <w:rFonts w:ascii="Arial" w:cs="Arial" w:eastAsia="Arial" w:hAnsi="Arial"/>
                <w:sz w:val="18"/>
                <w:szCs w:val="18"/>
                <w:b w:val="1"/>
                <w:bCs w:val="1"/>
                <w:color w:val="auto"/>
                <w:w w:val="91"/>
              </w:rPr>
              <w:t xml:space="preserve"> Street</w:t>
            </w: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b w:val="1"/>
                <w:bCs w:val="1"/>
                <w:color w:val="auto"/>
              </w:rPr>
              <w:t>33178</w:t>
            </w:r>
          </w:p>
        </w:tc>
        <w:tc>
          <w:tcPr>
            <w:tcW w:w="0" w:type="dxa"/>
            <w:vAlign w:val="bottom"/>
          </w:tcPr>
          <w:p>
            <w:pPr>
              <w:spacing w:after="0"/>
              <w:rPr>
                <w:sz w:val="1"/>
                <w:szCs w:val="1"/>
                <w:color w:val="auto"/>
              </w:rPr>
            </w:pPr>
          </w:p>
        </w:tc>
      </w:tr>
      <w:tr>
        <w:trPr>
          <w:trHeight w:val="180"/>
        </w:trPr>
        <w:tc>
          <w:tcPr>
            <w:tcW w:w="7760" w:type="dxa"/>
            <w:vAlign w:val="bottom"/>
          </w:tcPr>
          <w:p>
            <w:pPr>
              <w:jc w:val="center"/>
              <w:ind w:right="5314"/>
              <w:spacing w:after="0" w:line="181" w:lineRule="exact"/>
              <w:rPr>
                <w:sz w:val="20"/>
                <w:szCs w:val="20"/>
                <w:color w:val="auto"/>
              </w:rPr>
            </w:pPr>
            <w:r>
              <w:rPr>
                <w:rFonts w:ascii="Arial" w:cs="Arial" w:eastAsia="Arial" w:hAnsi="Arial"/>
                <w:sz w:val="18"/>
                <w:szCs w:val="18"/>
                <w:b w:val="1"/>
                <w:bCs w:val="1"/>
                <w:color w:val="auto"/>
                <w:w w:val="95"/>
              </w:rPr>
              <w:t>Miami, Florida</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7760" w:type="dxa"/>
            <w:vAlign w:val="bottom"/>
          </w:tcPr>
          <w:p>
            <w:pPr>
              <w:jc w:val="center"/>
              <w:ind w:right="529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374"/>
              <w:spacing w:after="0"/>
              <w:rPr>
                <w:sz w:val="20"/>
                <w:szCs w:val="20"/>
                <w:color w:val="auto"/>
              </w:rPr>
            </w:pPr>
            <w:r>
              <w:rPr>
                <w:rFonts w:ascii="Arial" w:cs="Arial" w:eastAsia="Arial" w:hAnsi="Arial"/>
                <w:sz w:val="16"/>
                <w:szCs w:val="16"/>
                <w:b w:val="1"/>
                <w:bCs w:val="1"/>
                <w:color w:val="auto"/>
                <w:w w:val="96"/>
              </w:rPr>
              <w:t>(Zip Code)</w:t>
            </w:r>
          </w:p>
        </w:tc>
        <w:tc>
          <w:tcPr>
            <w:tcW w:w="0" w:type="dxa"/>
            <w:vAlign w:val="bottom"/>
          </w:tcPr>
          <w:p>
            <w:pPr>
              <w:spacing w:after="0"/>
              <w:rPr>
                <w:sz w:val="1"/>
                <w:szCs w:val="1"/>
                <w:color w:val="auto"/>
              </w:rPr>
            </w:pPr>
          </w:p>
        </w:tc>
      </w:tr>
      <w:tr>
        <w:trPr>
          <w:trHeight w:val="444"/>
        </w:trPr>
        <w:tc>
          <w:tcPr>
            <w:tcW w:w="7760" w:type="dxa"/>
            <w:vAlign w:val="bottom"/>
          </w:tcPr>
          <w:p>
            <w:pPr>
              <w:ind w:left="2120"/>
              <w:spacing w:after="0"/>
              <w:rPr>
                <w:sz w:val="20"/>
                <w:szCs w:val="20"/>
                <w:color w:val="auto"/>
              </w:rPr>
            </w:pPr>
            <w:r>
              <w:rPr>
                <w:rFonts w:ascii="Arial" w:cs="Arial" w:eastAsia="Arial" w:hAnsi="Arial"/>
                <w:sz w:val="18"/>
                <w:szCs w:val="18"/>
                <w:b w:val="1"/>
                <w:bCs w:val="1"/>
                <w:color w:val="auto"/>
                <w:w w:val="97"/>
              </w:rPr>
              <w:t>Registrant’s telephone number, including area code: (305) 428-8000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Arial" w:cs="Arial" w:eastAsia="Arial" w:hAnsi="Arial"/>
                <w:sz w:val="18"/>
                <w:szCs w:val="18"/>
                <w:color w:val="auto"/>
                <w:w w:val="88"/>
              </w:rPr>
              <w:t>Title of each class</w:t>
            </w:r>
          </w:p>
        </w:tc>
        <w:tc>
          <w:tcPr>
            <w:tcW w:w="2300" w:type="dxa"/>
            <w:vAlign w:val="bottom"/>
          </w:tcPr>
          <w:p>
            <w:pPr>
              <w:spacing w:after="0"/>
              <w:rPr>
                <w:sz w:val="18"/>
                <w:szCs w:val="18"/>
                <w:color w:val="auto"/>
              </w:rPr>
            </w:pPr>
          </w:p>
        </w:tc>
        <w:tc>
          <w:tcPr>
            <w:tcW w:w="2440" w:type="dxa"/>
            <w:vAlign w:val="bottom"/>
            <w:gridSpan w:val="3"/>
          </w:tcPr>
          <w:p>
            <w:pPr>
              <w:ind w:left="580"/>
              <w:spacing w:after="0"/>
              <w:rPr>
                <w:sz w:val="20"/>
                <w:szCs w:val="20"/>
                <w:color w:val="auto"/>
              </w:rPr>
            </w:pPr>
            <w:r>
              <w:rPr>
                <w:rFonts w:ascii="Arial" w:cs="Arial" w:eastAsia="Arial" w:hAnsi="Arial"/>
                <w:sz w:val="18"/>
                <w:szCs w:val="18"/>
                <w:color w:val="auto"/>
              </w:rPr>
              <w:t>Trading Symbol(s)</w:t>
            </w:r>
          </w:p>
        </w:tc>
        <w:tc>
          <w:tcPr>
            <w:tcW w:w="3180" w:type="dxa"/>
            <w:vAlign w:val="bottom"/>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480"/>
        </w:trPr>
        <w:tc>
          <w:tcPr>
            <w:tcW w:w="360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580" w:type="dxa"/>
            <w:vAlign w:val="bottom"/>
          </w:tcPr>
          <w:p>
            <w:pPr>
              <w:spacing w:after="0"/>
              <w:rPr>
                <w:sz w:val="24"/>
                <w:szCs w:val="24"/>
                <w:color w:val="auto"/>
              </w:rPr>
            </w:pPr>
          </w:p>
        </w:tc>
        <w:tc>
          <w:tcPr>
            <w:tcW w:w="1860" w:type="dxa"/>
            <w:vAlign w:val="bottom"/>
            <w:gridSpan w:val="2"/>
          </w:tcPr>
          <w:p>
            <w:pPr>
              <w:ind w:left="740"/>
              <w:spacing w:after="0"/>
              <w:rPr>
                <w:sz w:val="20"/>
                <w:szCs w:val="20"/>
                <w:color w:val="auto"/>
              </w:rPr>
            </w:pPr>
            <w:r>
              <w:rPr>
                <w:rFonts w:ascii="Arial" w:cs="Arial" w:eastAsia="Arial" w:hAnsi="Arial"/>
                <w:sz w:val="18"/>
                <w:szCs w:val="18"/>
                <w:color w:val="auto"/>
              </w:rPr>
              <w:t>INT</w:t>
            </w:r>
          </w:p>
        </w:tc>
        <w:tc>
          <w:tcPr>
            <w:tcW w:w="3180" w:type="dxa"/>
            <w:vAlign w:val="bottom"/>
          </w:tcPr>
          <w:p>
            <w:pPr>
              <w:ind w:left="1180"/>
              <w:spacing w:after="0"/>
              <w:rPr>
                <w:sz w:val="20"/>
                <w:szCs w:val="20"/>
                <w:color w:val="auto"/>
              </w:rPr>
            </w:pPr>
            <w:r>
              <w:rPr>
                <w:rFonts w:ascii="Arial" w:cs="Arial" w:eastAsia="Arial" w:hAnsi="Arial"/>
                <w:sz w:val="18"/>
                <w:szCs w:val="18"/>
                <w:color w:val="auto"/>
                <w:w w:val="92"/>
              </w:rPr>
              <w:t>New York Stock Exchange</w:t>
            </w:r>
          </w:p>
        </w:tc>
      </w:tr>
    </w:tbl>
    <w:p>
      <w:pPr>
        <w:spacing w:after="0" w:line="26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679"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information is provided pursuant to Item 7.01 of Form 8-K, “Regulation FD Disclosure” and Item 2.02 of Form 8-K, “Results of Operations and Financial Condition.”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July 25, 2019, World Fuel Services Corporation (the “Company”) issued a press release reporting its financial results for the second quarter ended June 30, 2019.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2100" w:type="dxa"/>
            <w:vAlign w:val="bottom"/>
          </w:tcPr>
          <w:p>
            <w:pPr>
              <w:spacing w:after="0"/>
              <w:rPr>
                <w:sz w:val="17"/>
                <w:szCs w:val="17"/>
                <w:color w:val="auto"/>
              </w:rPr>
            </w:pPr>
          </w:p>
        </w:tc>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w w:val="86"/>
              </w:rPr>
              <w:t>Press Release, dated July 25, 2019</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SIGNATURES</w:t>
      </w:r>
    </w:p>
    <w:p>
      <w:pPr>
        <w:spacing w:after="0" w:line="1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July 25, 2019</w:t>
      </w:r>
      <w:r>
        <w:rPr>
          <w:sz w:val="20"/>
          <w:szCs w:val="20"/>
          <w:color w:val="auto"/>
        </w:rPr>
        <w:tab/>
      </w:r>
      <w:r>
        <w:rPr>
          <w:rFonts w:ascii="Arial" w:cs="Arial" w:eastAsia="Arial" w:hAnsi="Arial"/>
          <w:sz w:val="16"/>
          <w:szCs w:val="16"/>
          <w:b w:val="1"/>
          <w:bCs w:val="1"/>
          <w:color w:val="auto"/>
        </w:rPr>
        <w:t>World Fuel Services Corporation</w:t>
      </w:r>
    </w:p>
    <w:p>
      <w:pPr>
        <w:spacing w:after="0" w:line="3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90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80" w:type="dxa"/>
            <w:vAlign w:val="bottom"/>
          </w:tcPr>
          <w:p>
            <w:pPr>
              <w:ind w:left="1580"/>
              <w:spacing w:after="0"/>
              <w:rPr>
                <w:sz w:val="20"/>
                <w:szCs w:val="20"/>
                <w:color w:val="auto"/>
              </w:rPr>
            </w:pPr>
            <w:r>
              <w:rPr>
                <w:rFonts w:ascii="Arial" w:cs="Arial" w:eastAsia="Arial" w:hAnsi="Arial"/>
                <w:sz w:val="22"/>
                <w:szCs w:val="22"/>
                <w:color w:val="auto"/>
              </w:rPr>
              <w:t>EXHIBIT INDEX</w:t>
            </w:r>
          </w:p>
        </w:tc>
      </w:tr>
      <w:tr>
        <w:trPr>
          <w:trHeight w:val="625"/>
        </w:trPr>
        <w:tc>
          <w:tcPr>
            <w:tcW w:w="4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80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196"/>
        </w:trPr>
        <w:tc>
          <w:tcPr>
            <w:tcW w:w="360" w:type="dxa"/>
            <w:vAlign w:val="bottom"/>
            <w:gridSpan w:val="2"/>
          </w:tcPr>
          <w:p>
            <w:pPr>
              <w:ind w:left="40"/>
              <w:spacing w:after="0" w:line="182"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80" w:type="dxa"/>
            <w:vAlign w:val="bottom"/>
          </w:tcPr>
          <w:p>
            <w:pPr>
              <w:ind w:left="20"/>
              <w:spacing w:after="0" w:line="182" w:lineRule="exact"/>
              <w:rPr>
                <w:sz w:val="20"/>
                <w:szCs w:val="20"/>
                <w:color w:val="auto"/>
              </w:rPr>
            </w:pPr>
            <w:r>
              <w:rPr>
                <w:rFonts w:ascii="Arial" w:cs="Arial" w:eastAsia="Arial" w:hAnsi="Arial"/>
                <w:sz w:val="18"/>
                <w:szCs w:val="18"/>
                <w:color w:val="auto"/>
              </w:rPr>
              <w:t>Press Release, dated July 25, 2019</w:t>
            </w: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bl>
    <w:p>
      <w:pPr>
        <w:sectPr>
          <w:pgSz w:w="11900" w:h="16838" w:orient="portrait"/>
          <w:cols w:equalWidth="0" w:num="1">
            <w:col w:w="11420"/>
          </w:cols>
          <w:pgMar w:left="240" w:top="5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332" w:lineRule="exact"/>
        <w:rPr>
          <w:sz w:val="20"/>
          <w:szCs w:val="20"/>
          <w:color w:val="auto"/>
        </w:rPr>
      </w:pPr>
    </w:p>
    <w:p>
      <w:pPr>
        <w:ind w:left="7660"/>
        <w:spacing w:after="0"/>
        <w:rPr>
          <w:sz w:val="20"/>
          <w:szCs w:val="20"/>
          <w:color w:val="auto"/>
        </w:rPr>
      </w:pPr>
      <w:r>
        <w:rPr>
          <w:rFonts w:ascii="Arial" w:cs="Arial" w:eastAsia="Arial" w:hAnsi="Arial"/>
          <w:sz w:val="20"/>
          <w:szCs w:val="20"/>
          <w:u w:val="single" w:color="auto"/>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2324100" cy="977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977900"/>
                    </a:xfrm>
                    <a:prstGeom prst="rect">
                      <a:avLst/>
                    </a:prstGeom>
                    <a:noFill/>
                  </pic:spPr>
                </pic:pic>
              </a:graphicData>
            </a:graphic>
          </wp:anchor>
        </w:drawing>
      </w:r>
    </w:p>
    <w:p>
      <w:pPr>
        <w:ind w:left="7660"/>
        <w:spacing w:after="0"/>
        <w:rPr>
          <w:sz w:val="20"/>
          <w:szCs w:val="20"/>
          <w:color w:val="auto"/>
        </w:rPr>
      </w:pPr>
      <w:r>
        <w:rPr>
          <w:rFonts w:ascii="Arial" w:cs="Arial" w:eastAsia="Arial" w:hAnsi="Arial"/>
          <w:sz w:val="20"/>
          <w:szCs w:val="20"/>
          <w:color w:val="auto"/>
        </w:rPr>
        <w:t>Ira M. Birns, Executive Vice President &amp;</w:t>
      </w:r>
    </w:p>
    <w:p>
      <w:pPr>
        <w:ind w:left="766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Glenn Klevitz</w:t>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Vice President, Treasurer &amp; Investor Relations</w:t>
      </w:r>
    </w:p>
    <w:p>
      <w:pPr>
        <w:spacing w:after="0" w:line="23" w:lineRule="exact"/>
        <w:rPr>
          <w:sz w:val="20"/>
          <w:szCs w:val="20"/>
          <w:color w:val="auto"/>
        </w:rPr>
      </w:pPr>
    </w:p>
    <w:p>
      <w:pPr>
        <w:ind w:left="7660"/>
        <w:spacing w:after="0"/>
        <w:rPr>
          <w:sz w:val="20"/>
          <w:szCs w:val="20"/>
          <w:color w:val="auto"/>
        </w:rPr>
      </w:pPr>
      <w:r>
        <w:rPr>
          <w:rFonts w:ascii="Arial" w:cs="Arial" w:eastAsia="Arial" w:hAnsi="Arial"/>
          <w:sz w:val="20"/>
          <w:szCs w:val="20"/>
          <w:color w:val="auto"/>
        </w:rPr>
        <w:t>305-428-8000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Reports Second Quarter 2019 Results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MIAMI—July 25, 2019-- World Fuel Services Corporation (NYSE: INT)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Second-Quarter 2019 Highlights</w:t>
      </w:r>
    </w:p>
    <w:p>
      <w:pPr>
        <w:spacing w:after="0" w:line="23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gross profit of $268.6 million, up 9% year-over-year</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GAAP net income of $37.0 million, or $0.55 per diluted share</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net income of $38.8 million, or $0.58 per diluted share</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of $98.3 million, up 17% year-over-year</w:t>
      </w:r>
    </w:p>
    <w:p>
      <w:pPr>
        <w:spacing w:after="0" w:line="213"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“We delivered strong results in the second quarter, benefiting from our actions to drive improvements in operating efficiencies and profitability,” stated Michael J. Kasbar, chairman and chief executive officer of World Fuel Services Corporation. “Our priority is to leverage our diversified business model and industry expertise to provide our customers with innovative solutions that deliver value today and in the future.”</w:t>
      </w:r>
    </w:p>
    <w:p>
      <w:pPr>
        <w:spacing w:after="0" w:line="205"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Our aviation segment generated gross profit of $140.5 million in the second quarter, an increase of 10% year-over-year, primarily driven by continued strength in our core commercial and government-related activities. Our marine segment generated gross profit of $36.4 million, an increase of 20% year-over-year, principally related to improved performance in our core resale operations. Our land segment generated gross profit of $91.7 million, an increase of 3.5%, principally related to the continued expansion of our Kinect global energy services platform and our MultiService payment solutions business.</w:t>
      </w:r>
    </w:p>
    <w:p>
      <w:pPr>
        <w:spacing w:after="0" w:line="208"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“Our strengthening EBITDA performance combined with the amendment of our bank facility has further improved our liquidity profile, providing us with greater financial flexibility to continue executing on organic growth and strategic investment opportunities,” said Ira M. Birns, executive vice president and chief financial officer. “During the quarter, we repurchased $65 million of common stock, which combined with our recently announced dividend increase, demonstrates our commitment to returning capital to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Financial Information</w:t>
      </w:r>
    </w:p>
    <w:p>
      <w:pPr>
        <w:spacing w:after="0" w:line="26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Cash flow generated by operating activities was $125.0 million for the second quarter of 2019 compared to cash flow generated of $0.3 million in the second quarter of 2018, which was negatively impacted by approximately $121.8 million resulting from a statement of cash flows accounting standard adopted in 2018.</w:t>
      </w:r>
    </w:p>
    <w:p>
      <w:pPr>
        <w:spacing w:after="0" w:line="308"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Our operating expense ratio improved from 73.8% to 71.1% year-over year, reflecting our focus on continuous cost management and we remain on track to meet our goal of a 250 basis point improvement compared to last year.</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auto"/>
        </w:rPr>
        <w:t>Non-GAAP Financial Measures</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This press release contains non-GAAP financial measures, including adjusted net income, adjusted diluted earnings per share, adjusted earnings before interest, taxes, depreciation and amortization (“EBITDA”), and net debt (collectively, the “Non-GAAP Measures”). The Non-GAAP Measures exclude acquisition related charges and restructuring costs primarily because we do not believe they are reflective of the Company’s core operating results. We believe that the Non-GAAP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97" w:lineRule="exact"/>
        <w:rPr>
          <w:sz w:val="20"/>
          <w:szCs w:val="20"/>
          <w:color w:val="auto"/>
        </w:rPr>
      </w:pPr>
    </w:p>
    <w:p>
      <w:pPr>
        <w:ind w:right="100"/>
        <w:spacing w:after="0" w:line="295" w:lineRule="auto"/>
        <w:rPr>
          <w:sz w:val="20"/>
          <w:szCs w:val="20"/>
          <w:color w:val="auto"/>
        </w:rPr>
      </w:pPr>
      <w:r>
        <w:rPr>
          <w:rFonts w:ascii="Arial" w:cs="Arial" w:eastAsia="Arial" w:hAnsi="Arial"/>
          <w:sz w:val="14"/>
          <w:szCs w:val="14"/>
          <w:color w:val="auto"/>
        </w:rPr>
        <w:t>Non-GAAP financial measures should not be considered in isolation from, or as a substitute for, financial information prepared in accordance with GAAP. In addition, our presentation of the Non-GAAP Measures may not be comparable to the presentation of such metrics by other companies. Non-GAAP diluted earnings per common share is computed by dividing non-GAAP net income attributable to World Fuel Services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 in this press release and on our website.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Information Relating to Forward-Looking Statements</w:t>
      </w:r>
    </w:p>
    <w:p>
      <w:pPr>
        <w:spacing w:after="0" w:line="132"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This release includes forward-looking statements within the meaning of the Private Securities Litigation Reform Act of 1995, including statements regarding our beliefs and expectations with respect to our ability to leverage our business model to deliver value, our liquidity profile and financial flexibility, our expectations about our ability to execute on organic growth and strategic investment opportunities, our focus on cost management and its impact on our operating expense ratio, as well as our expectations about meeting our goal of a 250 basis point improvement in our operating expense ratio. These forward-looking statements are qualified in their entirety by cautionary statements and risk factor disclosures contained in the Company’s Securities and Exchange Commission (“SEC”) filings, including the Company’s most recent Annual Report on Form 10-K filed with the SEC. Actual results may differ materially from any forward-looking statements due to risks and uncertainties, including, but not limited to: our ability to effectively leverage technology and operating systems and realize the anticipated benefits, our ability to successfully execute and achieve efficiencies and other benefits related to our transformation initiatives, our ability to achieve the expected level of benefit from our restructuring activities and cost reduction initiatives, unanticipated tax liabilities or adverse results of tax audits, assessments, or disputes, the loss of, or reduced sales, to a significant government customer such as the North Atlantic Treaty Organization, our ability to successfully implement our growth strategy, our ability to effectively integrate acquired businesses and recognize the anticipated benefits, risks related to the complexity of U.S. Tax Reform and our ability to accurately predict its impact on our returns and future earnings, our ability to capitalize on new market opportunities and changes in supply and other market dynamics in the regions where we operate, potential liabilities and the extent of any insurance coverage, the outcome of pending litigation and other proceedings, the impact of quarterly fluctuations in results, particularly as a result of seasonality,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supply disruptions, border closures and other logistical difficulties that can arise when sourcing and delivering fuel in areas that are actively engaged in war or other military conflicts, our failure to effectively hedge certain financial risks associated with the use of derivatives, non-performance by counterparties or customers on derivatives contracts, uninsured losses, the impact of natural disasters, adverse results in legal disputes, our ability to retain and attract senior management and other key employees and other risks detailed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About World Fuel Services Corporation</w:t>
      </w:r>
    </w:p>
    <w:p>
      <w:pPr>
        <w:spacing w:after="0" w:line="132" w:lineRule="exact"/>
        <w:rPr>
          <w:sz w:val="20"/>
          <w:szCs w:val="20"/>
          <w:color w:val="auto"/>
        </w:rPr>
      </w:pPr>
    </w:p>
    <w:p>
      <w:pPr>
        <w:ind w:right="180"/>
        <w:spacing w:after="0" w:line="286" w:lineRule="auto"/>
        <w:rPr>
          <w:sz w:val="20"/>
          <w:szCs w:val="20"/>
          <w:color w:val="auto"/>
        </w:rPr>
      </w:pPr>
      <w:r>
        <w:rPr>
          <w:rFonts w:ascii="Arial" w:cs="Arial" w:eastAsia="Arial" w:hAnsi="Arial"/>
          <w:sz w:val="15"/>
          <w:szCs w:val="15"/>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call 305-428-8000 or visit </w:t>
      </w:r>
      <w:r>
        <w:rPr>
          <w:rFonts w:ascii="Arial" w:cs="Arial" w:eastAsia="Arial" w:hAnsi="Arial"/>
          <w:sz w:val="16"/>
          <w:szCs w:val="16"/>
          <w:u w:val="single" w:color="auto"/>
          <w:color w:val="auto"/>
        </w:rPr>
        <w:t>www.wfscorp.com</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Some amounts in this press release may not add due to rounding. All percentages have been calculated using unrounded amounts --</w:t>
      </w:r>
    </w:p>
    <w:p>
      <w:pPr>
        <w:sectPr>
          <w:pgSz w:w="11900" w:h="16838" w:orient="portrait"/>
          <w:cols w:equalWidth="0" w:num="1">
            <w:col w:w="11400"/>
          </w:cols>
          <w:pgMar w:left="240" w:top="580" w:right="259" w:bottom="1440" w:gutter="0" w:footer="0" w:header="0"/>
        </w:sectPr>
      </w:pPr>
    </w:p>
    <w:bookmarkStart w:id="6" w:name="page7"/>
    <w:bookmarkEnd w:id="6"/>
    <w:p>
      <w:pPr>
        <w:ind w:left="39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(Unaudited -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58"/>
        </w:trPr>
        <w:tc>
          <w:tcPr>
            <w:tcW w:w="7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Assets:</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assets:</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Cash and cash equivalents</w:t>
            </w:r>
          </w:p>
        </w:tc>
        <w:tc>
          <w:tcPr>
            <w:tcW w:w="1240" w:type="dxa"/>
            <w:vAlign w:val="bottom"/>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218.1</w:t>
            </w:r>
          </w:p>
        </w:tc>
        <w:tc>
          <w:tcPr>
            <w:tcW w:w="500" w:type="dxa"/>
            <w:vAlign w:val="bottom"/>
            <w:gridSpan w:val="3"/>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211.7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Accounts receivable, net</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2,739.6</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Inventories</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523.1</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Prepaid expenses</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Short-term derivative assets, net</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155.2</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288.9</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279.5</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1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3,925.0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3,974.8</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350.3</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850.6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852.7</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499.0</w:t>
            </w:r>
          </w:p>
        </w:tc>
      </w:tr>
      <w:tr>
        <w:trPr>
          <w:trHeight w:val="277"/>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5,751.2</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5,676.9</w:t>
            </w:r>
          </w:p>
        </w:tc>
      </w:tr>
      <w:tr>
        <w:trPr>
          <w:trHeight w:val="27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12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 and finance leases</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Accounts payable</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2,441.4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2,399.6</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Customer deposits</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118.2</w:t>
            </w:r>
          </w:p>
        </w:tc>
      </w:tr>
      <w:tr>
        <w:trPr>
          <w:trHeight w:val="264"/>
        </w:trPr>
        <w:tc>
          <w:tcPr>
            <w:tcW w:w="75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377.0</w:t>
            </w:r>
          </w:p>
        </w:tc>
      </w:tr>
      <w:tr>
        <w:trPr>
          <w:trHeight w:val="256"/>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12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2,935.9</w:t>
            </w:r>
          </w:p>
        </w:tc>
      </w:tr>
      <w:tr>
        <w:trPr>
          <w:trHeight w:val="264"/>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659.9</w:t>
            </w:r>
          </w:p>
        </w:tc>
      </w:tr>
      <w:tr>
        <w:trPr>
          <w:trHeight w:val="276"/>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income tax liabilities, net</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194.6</w:t>
            </w:r>
          </w:p>
        </w:tc>
      </w:tr>
      <w:tr>
        <w:trPr>
          <w:trHeight w:val="264"/>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w:t>
            </w:r>
          </w:p>
        </w:tc>
      </w:tr>
      <w:tr>
        <w:trPr>
          <w:trHeight w:val="250"/>
        </w:trPr>
        <w:tc>
          <w:tcPr>
            <w:tcW w:w="7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3,935.6</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3,845.3</w:t>
            </w:r>
          </w:p>
        </w:tc>
      </w:tr>
      <w:tr>
        <w:trPr>
          <w:trHeight w:val="277"/>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Commitments and contingencies</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0"/>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78"/>
        </w:trPr>
        <w:tc>
          <w:tcPr>
            <w:tcW w:w="7660" w:type="dxa"/>
            <w:vAlign w:val="bottom"/>
            <w:gridSpan w:val="2"/>
          </w:tcPr>
          <w:p>
            <w:pPr>
              <w:ind w:left="40"/>
              <w:spacing w:after="0"/>
              <w:rPr>
                <w:sz w:val="20"/>
                <w:szCs w:val="20"/>
                <w:color w:val="auto"/>
              </w:rPr>
            </w:pPr>
            <w:r>
              <w:rPr>
                <w:rFonts w:ascii="Arial" w:cs="Arial" w:eastAsia="Arial" w:hAnsi="Arial"/>
                <w:sz w:val="14"/>
                <w:szCs w:val="14"/>
                <w:color w:val="auto"/>
              </w:rPr>
              <w:t>World Fuel shareholders' equity:</w:t>
            </w: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57"/>
        </w:trPr>
        <w:tc>
          <w:tcPr>
            <w:tcW w:w="766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9"/>
              </w:rPr>
              <w:t>Common stock, $0.01 par value; 100.0 shares authorized, 65.2 and 67.0 issued and outstanding as of June 30, 2019 and</w:t>
            </w:r>
          </w:p>
        </w:tc>
        <w:tc>
          <w:tcPr>
            <w:tcW w:w="1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December 31, 2018, respectively</w:t>
            </w:r>
          </w:p>
        </w:tc>
        <w:tc>
          <w:tcPr>
            <w:tcW w:w="1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6"/>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in excess of par value</w:t>
            </w:r>
          </w:p>
        </w:tc>
        <w:tc>
          <w:tcPr>
            <w:tcW w:w="12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340.4</w:t>
            </w:r>
          </w:p>
        </w:tc>
      </w:tr>
      <w:tr>
        <w:trPr>
          <w:trHeight w:val="264"/>
        </w:trPr>
        <w:tc>
          <w:tcPr>
            <w:tcW w:w="7660" w:type="dxa"/>
            <w:vAlign w:val="bottom"/>
            <w:gridSpan w:val="2"/>
          </w:tcPr>
          <w:p>
            <w:pPr>
              <w:ind w:left="180"/>
              <w:spacing w:after="0"/>
              <w:rPr>
                <w:sz w:val="20"/>
                <w:szCs w:val="20"/>
                <w:color w:val="auto"/>
              </w:rPr>
            </w:pPr>
            <w:r>
              <w:rPr>
                <w:rFonts w:ascii="Arial" w:cs="Arial" w:eastAsia="Arial" w:hAnsi="Arial"/>
                <w:sz w:val="14"/>
                <w:szCs w:val="14"/>
                <w:color w:val="auto"/>
              </w:rPr>
              <w:t>Retained earnings</w:t>
            </w:r>
          </w:p>
        </w:tc>
        <w:tc>
          <w:tcPr>
            <w:tcW w:w="1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1,669.7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1,606.1</w:t>
            </w:r>
          </w:p>
        </w:tc>
      </w:tr>
      <w:tr>
        <w:trPr>
          <w:trHeight w:val="270"/>
        </w:trPr>
        <w:tc>
          <w:tcPr>
            <w:tcW w:w="7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w:t>
            </w:r>
          </w:p>
        </w:tc>
      </w:tr>
      <w:tr>
        <w:trPr>
          <w:trHeight w:val="250"/>
        </w:trPr>
        <w:tc>
          <w:tcPr>
            <w:tcW w:w="7660" w:type="dxa"/>
            <w:vAlign w:val="bottom"/>
            <w:gridSpan w:val="2"/>
          </w:tcPr>
          <w:p>
            <w:pPr>
              <w:ind w:left="280"/>
              <w:spacing w:after="0"/>
              <w:rPr>
                <w:sz w:val="20"/>
                <w:szCs w:val="20"/>
                <w:color w:val="auto"/>
              </w:rPr>
            </w:pPr>
            <w:r>
              <w:rPr>
                <w:rFonts w:ascii="Arial" w:cs="Arial" w:eastAsia="Arial" w:hAnsi="Arial"/>
                <w:sz w:val="14"/>
                <w:szCs w:val="14"/>
                <w:color w:val="auto"/>
              </w:rPr>
              <w:t>Total World Fuel shareholders' equity</w:t>
            </w:r>
          </w:p>
        </w:tc>
        <w:tc>
          <w:tcPr>
            <w:tcW w:w="1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1,799.4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1,815.4</w:t>
            </w:r>
          </w:p>
        </w:tc>
      </w:tr>
      <w:tr>
        <w:trPr>
          <w:trHeight w:val="270"/>
        </w:trPr>
        <w:tc>
          <w:tcPr>
            <w:tcW w:w="7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r>
      <w:tr>
        <w:trPr>
          <w:trHeight w:val="250"/>
        </w:trPr>
        <w:tc>
          <w:tcPr>
            <w:tcW w:w="75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equity</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1,815.6</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1,831.6</w:t>
            </w:r>
          </w:p>
        </w:tc>
      </w:tr>
      <w:tr>
        <w:trPr>
          <w:trHeight w:val="237"/>
        </w:trPr>
        <w:tc>
          <w:tcPr>
            <w:tcW w:w="7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equity</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5,751.2</w:t>
            </w:r>
          </w:p>
        </w:tc>
        <w:tc>
          <w:tcPr>
            <w:tcW w:w="50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5,676.9</w:t>
            </w:r>
          </w:p>
        </w:tc>
      </w:tr>
      <w:tr>
        <w:trPr>
          <w:trHeight w:val="20"/>
        </w:trPr>
        <w:tc>
          <w:tcPr>
            <w:tcW w:w="7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 xml:space="preserve">WORLD FUEL SERVICES CORPORATION CONSOLIDATED STATEMENTS OF INCOME AND COMPREHENSIVE INCOME </w:t>
      </w:r>
      <w:r>
        <w:rPr>
          <w:rFonts w:ascii="Arial" w:cs="Arial" w:eastAsia="Arial" w:hAnsi="Arial"/>
          <w:sz w:val="18"/>
          <w:szCs w:val="18"/>
          <w:color w:val="auto"/>
        </w:rPr>
        <w:t>(Unaudited – In millions,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23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5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9,459.4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10,150.8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18,138.2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19,332.2</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9,190.8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9,904.7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17,618.5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18,842.6</w:t>
            </w:r>
          </w:p>
        </w:tc>
      </w:tr>
      <w:tr>
        <w:trPr>
          <w:trHeight w:val="250"/>
        </w:trPr>
        <w:tc>
          <w:tcPr>
            <w:tcW w:w="59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268.6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519.7</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489.6</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224.1</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147.2</w:t>
            </w:r>
          </w:p>
        </w:tc>
      </w:tr>
      <w:tr>
        <w:trPr>
          <w:trHeight w:val="250"/>
        </w:trPr>
        <w:tc>
          <w:tcPr>
            <w:tcW w:w="59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193.4</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185.1</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374.1</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371.3</w:t>
            </w:r>
          </w:p>
        </w:tc>
      </w:tr>
      <w:tr>
        <w:trPr>
          <w:trHeight w:val="250"/>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from operations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118.3</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Non-operating expenses,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(34.2)</w:t>
            </w:r>
          </w:p>
        </w:tc>
      </w:tr>
      <w:tr>
        <w:trPr>
          <w:trHeight w:val="27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50"/>
        </w:trPr>
        <w:tc>
          <w:tcPr>
            <w:tcW w:w="59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0.89</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0.88</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1"/>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weighted average common shares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84"/>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74.9</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60.5</w:t>
            </w:r>
          </w:p>
        </w:tc>
      </w:tr>
      <w:tr>
        <w:trPr>
          <w:trHeight w:val="29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w:t>
            </w:r>
          </w:p>
        </w:tc>
      </w:tr>
      <w:tr>
        <w:trPr>
          <w:trHeight w:val="163"/>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7"/>
              </w:rPr>
              <w:t>Cash flow hedges, net of income tax benefit of $1.1 and net of income tax expense of $3.1 for the</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49"/>
        </w:trPr>
        <w:tc>
          <w:tcPr>
            <w:tcW w:w="60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5"/>
              </w:rPr>
              <w:t>three months ended June 30, 2019 and 2018 respectively and net of income tax benefit of $5.2 and</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88"/>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$1.1 for the six months ended June 30, 2019 and 2018, respectively</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r>
      <w:tr>
        <w:trPr>
          <w:trHeight w:val="256"/>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w:t>
            </w: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6"/>
                <w:szCs w:val="16"/>
                <w:color w:val="auto"/>
              </w:rPr>
            </w:pPr>
          </w:p>
        </w:tc>
        <w:tc>
          <w:tcPr>
            <w:tcW w:w="23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5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8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608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income (loss) including noncontrolling interest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60.5</w:t>
            </w:r>
          </w:p>
        </w:tc>
      </w:tr>
      <w:tr>
        <w:trPr>
          <w:trHeight w:val="143"/>
        </w:trPr>
        <w:tc>
          <w:tcPr>
            <w:tcW w:w="6080" w:type="dxa"/>
            <w:vAlign w:val="bottom"/>
            <w:gridSpan w:val="2"/>
            <w:shd w:val="clear" w:color="auto" w:fill="CCEEFF"/>
          </w:tcPr>
          <w:p>
            <w:pPr>
              <w:ind w:left="180"/>
              <w:spacing w:after="0" w:line="143" w:lineRule="exact"/>
              <w:rPr>
                <w:sz w:val="20"/>
                <w:szCs w:val="20"/>
                <w:color w:val="auto"/>
              </w:rPr>
            </w:pPr>
            <w:r>
              <w:rPr>
                <w:rFonts w:ascii="Arial" w:cs="Arial" w:eastAsia="Arial" w:hAnsi="Arial"/>
                <w:sz w:val="14"/>
                <w:szCs w:val="14"/>
                <w:color w:val="auto"/>
              </w:rPr>
              <w:t>Adjustments to reconcile net income including noncontrolling interest to net cash provided by</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94"/>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operating activities: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38.4</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 expense (benefit)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Foreign currency losses,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78"/>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3"/>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receivable, net (reduced by beneficial interests received in exchange for accounts</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49"/>
        </w:trPr>
        <w:tc>
          <w:tcPr>
            <w:tcW w:w="60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receivables sold of $121.8 and $241.9 for the three and six months ended June 30, 2018,</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194"/>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respectively.)</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(499.7)</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(56.7)</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Short-term derivative assets, net</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167.6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41.7</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351.8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301.0</w:t>
            </w:r>
          </w:p>
        </w:tc>
      </w:tr>
      <w:tr>
        <w:trPr>
          <w:trHeight w:val="276"/>
        </w:trPr>
        <w:tc>
          <w:tcPr>
            <w:tcW w:w="60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264"/>
        </w:trPr>
        <w:tc>
          <w:tcPr>
            <w:tcW w:w="6080" w:type="dxa"/>
            <w:vAlign w:val="bottom"/>
            <w:gridSpan w:val="2"/>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270"/>
        </w:trPr>
        <w:tc>
          <w:tcPr>
            <w:tcW w:w="59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50"/>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receipts of retained beneficial interests in receivable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264"/>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w:t>
            </w:r>
          </w:p>
        </w:tc>
      </w:tr>
      <w:tr>
        <w:trPr>
          <w:trHeight w:val="25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199.5</w:t>
            </w:r>
          </w:p>
        </w:tc>
      </w:tr>
      <w:tr>
        <w:trPr>
          <w:trHeight w:val="277"/>
        </w:trPr>
        <w:tc>
          <w:tcPr>
            <w:tcW w:w="608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Borrowings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1,406.1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3,197.6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2,875.0</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Repayments of debt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(1,671.1)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(1,474.5)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(3,218.6)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(3,019.5)</w:t>
            </w:r>
          </w:p>
        </w:tc>
      </w:tr>
      <w:tr>
        <w:trPr>
          <w:trHeight w:val="27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264"/>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financing activities, net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50"/>
        </w:trPr>
        <w:tc>
          <w:tcPr>
            <w:tcW w:w="59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financing activities</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w:t>
            </w:r>
          </w:p>
        </w:tc>
      </w:tr>
      <w:tr>
        <w:trPr>
          <w:trHeight w:val="25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50"/>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(184.8)</w:t>
            </w:r>
          </w:p>
        </w:tc>
      </w:tr>
      <w:tr>
        <w:trPr>
          <w:trHeight w:val="270"/>
        </w:trPr>
        <w:tc>
          <w:tcPr>
            <w:tcW w:w="5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as of the beginning of the period</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194.0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372.3</w:t>
            </w: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4"/>
                <w:szCs w:val="14"/>
                <w:b w:val="1"/>
                <w:bCs w:val="1"/>
                <w:color w:val="auto"/>
              </w:rPr>
              <w:t>Cash and cash equivalents, as of the end of the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218.1</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187.6</w:t>
            </w:r>
          </w:p>
        </w:tc>
        <w:tc>
          <w:tcPr>
            <w:tcW w:w="10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218.1</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187.6</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60" w:firstLine="8"/>
        <w:spacing w:after="0" w:line="273"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adoption of ASU 2016-15 resulted in operating cash flow decreases and investing cash flow increases of $121.8 million and $241.9 million for the three and six months ended June 30, 2018 respectively.</w:t>
      </w:r>
    </w:p>
    <w:p>
      <w:pPr>
        <w:sectPr>
          <w:pgSz w:w="11900" w:h="16838" w:orient="portrait"/>
          <w:cols w:equalWidth="0" w:num="1">
            <w:col w:w="11420"/>
          </w:cols>
          <w:pgMar w:left="240" w:top="918" w:right="239" w:bottom="1440" w:gutter="0" w:footer="0" w:header="0"/>
        </w:sectPr>
      </w:pPr>
    </w:p>
    <w:bookmarkStart w:id="9" w:name="page10"/>
    <w:bookmarkEnd w:id="9"/>
    <w:p>
      <w:pPr>
        <w:jc w:val="center"/>
        <w:ind w:left="2760" w:right="2760"/>
        <w:spacing w:after="0" w:line="266" w:lineRule="auto"/>
        <w:rPr>
          <w:sz w:val="20"/>
          <w:szCs w:val="20"/>
          <w:color w:val="auto"/>
        </w:rPr>
      </w:pPr>
      <w:r>
        <w:rPr>
          <w:rFonts w:ascii="Arial" w:cs="Arial" w:eastAsia="Arial" w:hAnsi="Arial"/>
          <w:sz w:val="18"/>
          <w:szCs w:val="18"/>
          <w:b w:val="1"/>
          <w:bCs w:val="1"/>
          <w:color w:val="auto"/>
        </w:rPr>
        <w:t xml:space="preserve">WORLD FUEL SERVICES CORPORATION RECONCILIATION OF GAAP TO NON-GAAP FINANCIAL MEASURES </w:t>
      </w:r>
      <w:r>
        <w:rPr>
          <w:rFonts w:ascii="Arial" w:cs="Arial" w:eastAsia="Arial" w:hAnsi="Arial"/>
          <w:sz w:val="18"/>
          <w:szCs w:val="18"/>
          <w:color w:val="auto"/>
        </w:rPr>
        <w:t>(Unaudited - In millions, except per share data)</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Non-GAAP financial measures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World Fuel</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 related charges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Restructuring-related costs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tax impacts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net income attributable to World Fuel</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440" w:type="dxa"/>
            <w:vAlign w:val="bottom"/>
          </w:tcPr>
          <w:p>
            <w:pPr>
              <w:spacing w:after="0"/>
              <w:rPr>
                <w:sz w:val="19"/>
                <w:szCs w:val="19"/>
                <w:color w:val="auto"/>
              </w:rPr>
            </w:pPr>
          </w:p>
        </w:tc>
      </w:tr>
      <w:tr>
        <w:trPr>
          <w:trHeight w:val="276"/>
        </w:trPr>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24"/>
                <w:szCs w:val="24"/>
                <w:color w:val="auto"/>
              </w:rPr>
            </w:pPr>
          </w:p>
        </w:tc>
      </w:tr>
      <w:tr>
        <w:trPr>
          <w:trHeight w:val="264"/>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r>
      <w:tr>
        <w:trPr>
          <w:trHeight w:val="244"/>
        </w:trPr>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120" w:type="dxa"/>
            <w:vAlign w:val="bottom"/>
          </w:tcPr>
          <w:p>
            <w:pPr>
              <w:spacing w:after="0"/>
              <w:rPr>
                <w:sz w:val="21"/>
                <w:szCs w:val="21"/>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28.7</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74.2</w:t>
            </w:r>
          </w:p>
        </w:tc>
        <w:tc>
          <w:tcPr>
            <w:tcW w:w="120" w:type="dxa"/>
            <w:vAlign w:val="bottom"/>
          </w:tcPr>
          <w:p>
            <w:pPr>
              <w:spacing w:after="0"/>
              <w:rPr>
                <w:sz w:val="21"/>
                <w:szCs w:val="21"/>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59.9</w:t>
            </w:r>
          </w:p>
        </w:tc>
      </w:tr>
      <w:tr>
        <w:trPr>
          <w:trHeight w:val="270"/>
        </w:trPr>
        <w:tc>
          <w:tcPr>
            <w:tcW w:w="84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0"/>
        </w:trPr>
        <w:tc>
          <w:tcPr>
            <w:tcW w:w="84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7.0</w:t>
            </w:r>
          </w:p>
        </w:tc>
      </w:tr>
      <w:tr>
        <w:trPr>
          <w:trHeight w:val="276"/>
        </w:trPr>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44"/>
        </w:trPr>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21"/>
                <w:szCs w:val="21"/>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31.7</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77.7</w:t>
            </w:r>
          </w:p>
        </w:tc>
        <w:tc>
          <w:tcPr>
            <w:tcW w:w="120" w:type="dxa"/>
            <w:vAlign w:val="bottom"/>
          </w:tcPr>
          <w:p>
            <w:pPr>
              <w:spacing w:after="0"/>
              <w:rPr>
                <w:sz w:val="21"/>
                <w:szCs w:val="21"/>
                <w:color w:val="auto"/>
              </w:rPr>
            </w:pP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-849630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-506095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-163195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796" w:right="23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0.88</w:t>
            </w:r>
          </w:p>
        </w:tc>
      </w:tr>
      <w:tr>
        <w:trPr>
          <w:trHeight w:val="264"/>
        </w:trPr>
        <w:tc>
          <w:tcPr>
            <w:tcW w:w="6080" w:type="dxa"/>
            <w:vAlign w:val="bottom"/>
            <w:gridSpan w:val="2"/>
          </w:tcPr>
          <w:p>
            <w:pPr>
              <w:ind w:left="280"/>
              <w:spacing w:after="0"/>
              <w:rPr>
                <w:sz w:val="20"/>
                <w:szCs w:val="20"/>
                <w:color w:val="auto"/>
              </w:rPr>
            </w:pPr>
            <w:r>
              <w:rPr>
                <w:rFonts w:ascii="Arial" w:cs="Arial" w:eastAsia="Arial" w:hAnsi="Arial"/>
                <w:sz w:val="14"/>
                <w:szCs w:val="14"/>
                <w:color w:val="auto"/>
              </w:rPr>
              <w:t>Acquisition related charges</w:t>
            </w:r>
          </w:p>
        </w:tc>
        <w:tc>
          <w:tcPr>
            <w:tcW w:w="48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0.02</w:t>
            </w:r>
          </w:p>
        </w:tc>
      </w:tr>
      <w:tr>
        <w:trPr>
          <w:trHeight w:val="276"/>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Restructuring-related costs</w:t>
            </w:r>
          </w:p>
        </w:tc>
        <w:tc>
          <w:tcPr>
            <w:tcW w:w="4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0.10</w:t>
            </w:r>
          </w:p>
        </w:tc>
      </w:tr>
      <w:tr>
        <w:trPr>
          <w:trHeight w:val="264"/>
        </w:trPr>
        <w:tc>
          <w:tcPr>
            <w:tcW w:w="59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tax impacts</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Adjusted diluted earnings per common share</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0.98</w:t>
            </w:r>
          </w:p>
        </w:tc>
      </w:tr>
      <w:tr>
        <w:trPr>
          <w:trHeight w:val="20"/>
        </w:trPr>
        <w:tc>
          <w:tcPr>
            <w:tcW w:w="5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Non-GAAP financial measures and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3773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from operations</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Acquisition related charges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Restructuring-related costs</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Adjusted EBITDA(1)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3773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22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244"/>
        </w:trPr>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75.2</w:t>
            </w:r>
          </w:p>
        </w:tc>
        <w:tc>
          <w:tcPr>
            <w:tcW w:w="120" w:type="dxa"/>
            <w:vAlign w:val="bottom"/>
          </w:tcPr>
          <w:p>
            <w:pPr>
              <w:spacing w:after="0"/>
              <w:rPr>
                <w:sz w:val="21"/>
                <w:szCs w:val="21"/>
                <w:color w:val="auto"/>
              </w:rPr>
            </w:pP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61.1</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145.6</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118.3</w:t>
            </w:r>
          </w:p>
        </w:tc>
      </w:tr>
      <w:tr>
        <w:trPr>
          <w:trHeight w:val="270"/>
        </w:trPr>
        <w:tc>
          <w:tcPr>
            <w:tcW w:w="84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w w:val="95"/>
              </w:rPr>
              <w:t>19.6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38.4</w:t>
            </w:r>
          </w:p>
        </w:tc>
      </w:tr>
      <w:tr>
        <w:trPr>
          <w:trHeight w:val="270"/>
        </w:trPr>
        <w:tc>
          <w:tcPr>
            <w:tcW w:w="840" w:type="dxa"/>
            <w:vAlign w:val="bottom"/>
          </w:tcPr>
          <w:p>
            <w:pPr>
              <w:spacing w:after="0"/>
              <w:rPr>
                <w:sz w:val="23"/>
                <w:szCs w:val="23"/>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6"/>
        </w:trPr>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r>
      <w:tr>
        <w:trPr>
          <w:trHeight w:val="237"/>
        </w:trPr>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98.3</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5"/>
              </w:rPr>
              <w:t>84.2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165.1</w:t>
            </w: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-874395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-530860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-187960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360" w:space="720"/>
            <w:col w:w="5340"/>
          </w:cols>
          <w:pgMar w:left="240" w:top="796" w:right="239" w:bottom="1440" w:gutter="0" w:footer="0" w:header="0"/>
          <w:type w:val="continuous"/>
        </w:sectPr>
      </w:pPr>
    </w:p>
    <w:p>
      <w:pPr>
        <w:ind w:left="660" w:right="180" w:hanging="328"/>
        <w:spacing w:after="0" w:line="273"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defines adjusted EBITDA as income from operations, excluding the impact of depreciation and amortization, and items that are considered to be non-operational and are not representative of our core business, including those associated with acquisition related charges and restructuring costs.</w:t>
      </w:r>
    </w:p>
    <w:p>
      <w:pPr>
        <w:sectPr>
          <w:pgSz w:w="11900" w:h="16838" w:orient="portrait"/>
          <w:cols w:equalWidth="0" w:num="1">
            <w:col w:w="11420"/>
          </w:cols>
          <w:pgMar w:left="240" w:top="796"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SEGMENTS INFORMATION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6"/>
                <w:szCs w:val="16"/>
                <w:color w:val="auto"/>
              </w:rPr>
            </w:pPr>
          </w:p>
        </w:tc>
        <w:tc>
          <w:tcPr>
            <w:tcW w:w="21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For the Six Months Ended</w:t>
            </w:r>
          </w:p>
        </w:tc>
      </w:tr>
      <w:tr>
        <w:trPr>
          <w:trHeight w:val="276"/>
        </w:trPr>
        <w:tc>
          <w:tcPr>
            <w:tcW w:w="62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r>
      <w:tr>
        <w:trPr>
          <w:trHeight w:val="264"/>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4,785.0</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4,900.7</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9,037.7</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9,193.6</w:t>
            </w:r>
          </w:p>
        </w:tc>
      </w:tr>
      <w:tr>
        <w:trPr>
          <w:trHeight w:val="276"/>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2,663.0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2,960.2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5,820.9</w:t>
            </w: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2,011.4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2,289.9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3,943.9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4,317.7</w:t>
            </w:r>
          </w:p>
        </w:tc>
      </w:tr>
      <w:tr>
        <w:trPr>
          <w:trHeight w:val="264"/>
        </w:trPr>
        <w:tc>
          <w:tcPr>
            <w:tcW w:w="628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9,459.4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10,150.8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18,138.2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19,332.2</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237.3</w:t>
            </w: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Land segment</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190.8</w:t>
            </w:r>
          </w:p>
        </w:tc>
      </w:tr>
      <w:tr>
        <w:trPr>
          <w:trHeight w:val="270"/>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w:t>
            </w:r>
          </w:p>
        </w:tc>
      </w:tr>
      <w:tr>
        <w:trPr>
          <w:trHeight w:val="304"/>
        </w:trPr>
        <w:tc>
          <w:tcPr>
            <w:tcW w:w="62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268.6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246.2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519.7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489.6</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Aviation segment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64.2</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129.1</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112.0</w:t>
            </w:r>
          </w:p>
        </w:tc>
      </w:tr>
      <w:tr>
        <w:trPr>
          <w:trHeight w:val="276"/>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Marine segment</w:t>
            </w:r>
          </w:p>
        </w:tc>
        <w:tc>
          <w:tcPr>
            <w:tcW w:w="26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16.4</w:t>
            </w:r>
          </w:p>
        </w:tc>
      </w:tr>
      <w:tr>
        <w:trPr>
          <w:trHeight w:val="270"/>
        </w:trPr>
        <w:tc>
          <w:tcPr>
            <w:tcW w:w="6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95.4</w:t>
            </w: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82.3</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185.5</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158.3</w:t>
            </w:r>
          </w:p>
        </w:tc>
      </w:tr>
      <w:tr>
        <w:trPr>
          <w:trHeight w:val="264"/>
        </w:trPr>
        <w:tc>
          <w:tcPr>
            <w:tcW w:w="6400" w:type="dxa"/>
            <w:vAlign w:val="bottom"/>
            <w:gridSpan w:val="2"/>
          </w:tcPr>
          <w:p>
            <w:pPr>
              <w:ind w:left="180"/>
              <w:spacing w:after="0"/>
              <w:rPr>
                <w:sz w:val="20"/>
                <w:szCs w:val="20"/>
                <w:color w:val="auto"/>
              </w:rPr>
            </w:pPr>
            <w:r>
              <w:rPr>
                <w:rFonts w:ascii="Arial" w:cs="Arial" w:eastAsia="Arial" w:hAnsi="Arial"/>
                <w:sz w:val="14"/>
                <w:szCs w:val="14"/>
                <w:color w:val="auto"/>
              </w:rPr>
              <w:t>Corporate overhead - unallocated</w:t>
            </w: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64"/>
        </w:trPr>
        <w:tc>
          <w:tcPr>
            <w:tcW w:w="628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61.1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118.3</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VOLUME SUPPLEMENTAL INFORMATION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4"/>
              </w:rPr>
              <w:t>For the Three Months Ended</w:t>
            </w:r>
          </w:p>
        </w:tc>
        <w:tc>
          <w:tcPr>
            <w:tcW w:w="2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For the Six Months Ended</w:t>
            </w:r>
          </w:p>
        </w:tc>
      </w:tr>
      <w:tr>
        <w:trPr>
          <w:trHeight w:val="276"/>
        </w:trPr>
        <w:tc>
          <w:tcPr>
            <w:tcW w:w="6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gridSpan w:val="3"/>
          </w:tcPr>
          <w:p>
            <w:pPr>
              <w:jc w:val="center"/>
              <w:ind w:left="788"/>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Borders>
              <w:bottom w:val="single" w:sz="8" w:color="auto"/>
            </w:tcBorders>
            <w:gridSpan w:val="3"/>
          </w:tcPr>
          <w:p>
            <w:pPr>
              <w:jc w:val="center"/>
              <w:ind w:left="768"/>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Volume (Gallons):</w:t>
            </w: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r>
      <w:tr>
        <w:trPr>
          <w:trHeight w:val="256"/>
        </w:trPr>
        <w:tc>
          <w:tcPr>
            <w:tcW w:w="65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Aviation Segment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2,143.9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2,090.3</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4,114.5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4,057.4</w:t>
            </w:r>
          </w:p>
        </w:tc>
      </w:tr>
      <w:tr>
        <w:trPr>
          <w:trHeight w:val="264"/>
        </w:trPr>
        <w:tc>
          <w:tcPr>
            <w:tcW w:w="6520" w:type="dxa"/>
            <w:vAlign w:val="bottom"/>
            <w:gridSpan w:val="2"/>
          </w:tcPr>
          <w:p>
            <w:pPr>
              <w:ind w:left="280"/>
              <w:spacing w:after="0"/>
              <w:rPr>
                <w:sz w:val="20"/>
                <w:szCs w:val="20"/>
                <w:color w:val="auto"/>
              </w:rPr>
            </w:pPr>
            <w:r>
              <w:rPr>
                <w:rFonts w:ascii="Arial" w:cs="Arial" w:eastAsia="Arial" w:hAnsi="Arial"/>
                <w:sz w:val="14"/>
                <w:szCs w:val="14"/>
                <w:color w:val="auto"/>
              </w:rPr>
              <w:t xml:space="preserve">Land Segment </w:t>
            </w:r>
            <w:r>
              <w:rPr>
                <w:rFonts w:ascii="Arial" w:cs="Arial" w:eastAsia="Arial" w:hAnsi="Arial"/>
                <w:sz w:val="8"/>
                <w:szCs w:val="8"/>
                <w:color w:val="auto"/>
              </w:rPr>
              <w:t>(1)</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1,329.5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1,432.4</w:t>
            </w:r>
          </w:p>
        </w:tc>
        <w:tc>
          <w:tcPr>
            <w:tcW w:w="10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2,675.3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2,890.7</w:t>
            </w:r>
          </w:p>
        </w:tc>
      </w:tr>
      <w:tr>
        <w:trPr>
          <w:trHeight w:val="270"/>
        </w:trPr>
        <w:tc>
          <w:tcPr>
            <w:tcW w:w="64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Marine Segment </w:t>
            </w:r>
            <w:r>
              <w:rPr>
                <w:rFonts w:ascii="Arial" w:cs="Arial" w:eastAsia="Arial" w:hAnsi="Arial"/>
                <w:sz w:val="8"/>
                <w:szCs w:val="8"/>
                <w:color w:val="auto"/>
              </w:rPr>
              <w:t>(2)</w:t>
            </w:r>
          </w:p>
        </w:tc>
        <w:tc>
          <w:tcPr>
            <w:tcW w:w="12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1,349.2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1,554.3</w:t>
            </w: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2,721.6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3,078.9</w:t>
            </w:r>
          </w:p>
        </w:tc>
      </w:tr>
      <w:tr>
        <w:trPr>
          <w:trHeight w:val="237"/>
        </w:trPr>
        <w:tc>
          <w:tcPr>
            <w:tcW w:w="6520" w:type="dxa"/>
            <w:vAlign w:val="bottom"/>
            <w:gridSpan w:val="2"/>
          </w:tcPr>
          <w:p>
            <w:pPr>
              <w:ind w:left="280"/>
              <w:spacing w:after="0"/>
              <w:rPr>
                <w:sz w:val="20"/>
                <w:szCs w:val="20"/>
                <w:color w:val="auto"/>
              </w:rPr>
            </w:pPr>
            <w:r>
              <w:rPr>
                <w:rFonts w:ascii="Arial" w:cs="Arial" w:eastAsia="Arial" w:hAnsi="Arial"/>
                <w:sz w:val="14"/>
                <w:szCs w:val="14"/>
                <w:color w:val="auto"/>
              </w:rPr>
              <w:t>Consolidated Total</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4,822.6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5,077.0</w:t>
            </w:r>
          </w:p>
        </w:tc>
        <w:tc>
          <w:tcPr>
            <w:tcW w:w="10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9,511.4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10,027.0</w:t>
            </w:r>
          </w:p>
        </w:tc>
      </w:tr>
      <w:tr>
        <w:trPr>
          <w:trHeight w:val="20"/>
        </w:trPr>
        <w:tc>
          <w:tcPr>
            <w:tcW w:w="6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gallons and gallon equivalents of British Thermal Units (BTU) for our natural gas sales and Kilowatt Hours (kWh) for our Kinect power business.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Converted from metric tons to gallons at a rate of 264 gallons per metric ton. Marine segment metric tons were 5.1 and 10.3 for the three and six months ended June 30, 2019.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World Fuel Services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 M Birns, 305-428-8000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&amp;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Glenn Klevitz, 305-428-8000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 &amp; Investor Relations</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2019-12-28T10:10:47Z</dcterms:created>
  <dcterms:modified xsi:type="dcterms:W3CDTF">2019-12-28T10:10:47Z</dcterms:modified>
</cp:coreProperties>
</file>