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148590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WORLD FUEL SERVICES CORPORATION</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41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07"/>
        </w:trPr>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1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46"/>
        </w:trPr>
        <w:tc>
          <w:tcPr>
            <w:tcW w:w="3000" w:type="dxa"/>
            <w:vAlign w:val="bottom"/>
          </w:tcPr>
          <w:p>
            <w:pPr>
              <w:jc w:val="center"/>
              <w:ind w:right="650"/>
              <w:spacing w:after="0"/>
              <w:rPr>
                <w:sz w:val="20"/>
                <w:szCs w:val="20"/>
                <w:color w:val="auto"/>
              </w:rPr>
            </w:pPr>
            <w:r>
              <w:rPr>
                <w:rFonts w:ascii="Arial" w:cs="Arial" w:eastAsia="Arial" w:hAnsi="Arial"/>
                <w:sz w:val="18"/>
                <w:szCs w:val="18"/>
                <w:b w:val="1"/>
                <w:bCs w:val="1"/>
                <w:color w:val="auto"/>
                <w:w w:val="96"/>
              </w:rPr>
              <w:t>Florida</w:t>
            </w:r>
          </w:p>
        </w:tc>
        <w:tc>
          <w:tcPr>
            <w:tcW w:w="310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92"/>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59-2459427</w:t>
            </w:r>
          </w:p>
        </w:tc>
      </w:tr>
      <w:tr>
        <w:trPr>
          <w:trHeight w:val="225"/>
        </w:trPr>
        <w:tc>
          <w:tcPr>
            <w:tcW w:w="300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(State or other jurisdiction of</w:t>
            </w:r>
          </w:p>
        </w:tc>
        <w:tc>
          <w:tcPr>
            <w:tcW w:w="800" w:type="dxa"/>
            <w:vAlign w:val="bottom"/>
          </w:tcPr>
          <w:p>
            <w:pPr>
              <w:spacing w:after="0"/>
              <w:rPr>
                <w:sz w:val="19"/>
                <w:szCs w:val="19"/>
                <w:color w:val="auto"/>
              </w:rPr>
            </w:pPr>
          </w:p>
        </w:tc>
        <w:tc>
          <w:tcPr>
            <w:tcW w:w="33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(Commission File Number)</w:t>
            </w:r>
          </w:p>
        </w:tc>
        <w:tc>
          <w:tcPr>
            <w:tcW w:w="23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0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incorporation)</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r>
        <w:trPr>
          <w:trHeight w:val="400"/>
        </w:trPr>
        <w:tc>
          <w:tcPr>
            <w:tcW w:w="3000" w:type="dxa"/>
            <w:vAlign w:val="bottom"/>
          </w:tcPr>
          <w:p>
            <w:pPr>
              <w:jc w:val="center"/>
              <w:ind w:left="10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000" w:type="dxa"/>
            <w:vAlign w:val="bottom"/>
          </w:tcPr>
          <w:p>
            <w:pPr>
              <w:jc w:val="center"/>
              <w:ind w:left="1110"/>
              <w:spacing w:after="0"/>
              <w:rPr>
                <w:sz w:val="20"/>
                <w:szCs w:val="20"/>
                <w:color w:val="auto"/>
              </w:rPr>
            </w:pPr>
            <w:r>
              <w:rPr>
                <w:rFonts w:ascii="Arial" w:cs="Arial" w:eastAsia="Arial" w:hAnsi="Arial"/>
                <w:sz w:val="18"/>
                <w:szCs w:val="18"/>
                <w:b w:val="1"/>
                <w:bCs w:val="1"/>
                <w:color w:val="auto"/>
                <w:w w:val="95"/>
              </w:rPr>
              <w:t>Miami, Florida</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7100" w:type="dxa"/>
            <w:vAlign w:val="bottom"/>
            <w:gridSpan w:val="4"/>
          </w:tcPr>
          <w:p>
            <w:pPr>
              <w:jc w:val="center"/>
              <w:ind w:right="292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80" w:type="dxa"/>
            <w:vAlign w:val="bottom"/>
          </w:tcPr>
          <w:p>
            <w:pPr>
              <w:jc w:val="center"/>
              <w:ind w:right="890"/>
              <w:spacing w:after="0"/>
              <w:rPr>
                <w:sz w:val="20"/>
                <w:szCs w:val="20"/>
                <w:color w:val="auto"/>
              </w:rPr>
            </w:pPr>
            <w:r>
              <w:rPr>
                <w:rFonts w:ascii="Arial" w:cs="Arial" w:eastAsia="Arial" w:hAnsi="Arial"/>
                <w:sz w:val="18"/>
                <w:szCs w:val="18"/>
                <w:b w:val="1"/>
                <w:bCs w:val="1"/>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-1161415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-1161415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387985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706"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World Fuel Services Corporation announced today that it has completed the previously announced acquisition of the aviation fueling operations of certain ExxonMobil affiliates at 34 airports in Canada and 2 airports in France.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60" w:type="dxa"/>
            <w:vAlign w:val="bottom"/>
          </w:tcPr>
          <w:p>
            <w:pPr>
              <w:spacing w:after="0"/>
              <w:rPr>
                <w:sz w:val="20"/>
                <w:szCs w:val="20"/>
                <w:color w:val="auto"/>
              </w:rPr>
            </w:pPr>
            <w:r>
              <w:rPr>
                <w:rFonts w:ascii="Arial" w:cs="Arial" w:eastAsia="Arial" w:hAnsi="Arial"/>
                <w:sz w:val="22"/>
                <w:szCs w:val="22"/>
                <w:b w:val="1"/>
                <w:bCs w:val="1"/>
                <w:color w:val="auto"/>
              </w:rPr>
              <w:t>Item 9.01.</w:t>
            </w:r>
          </w:p>
        </w:tc>
        <w:tc>
          <w:tcPr>
            <w:tcW w:w="10360" w:type="dxa"/>
            <w:vAlign w:val="bottom"/>
            <w:gridSpan w:val="5"/>
          </w:tcPr>
          <w:p>
            <w:pPr>
              <w:ind w:left="140"/>
              <w:spacing w:after="0"/>
              <w:rPr>
                <w:sz w:val="20"/>
                <w:szCs w:val="20"/>
                <w:color w:val="auto"/>
              </w:rPr>
            </w:pPr>
            <w:r>
              <w:rPr>
                <w:rFonts w:ascii="Arial" w:cs="Arial" w:eastAsia="Arial" w:hAnsi="Arial"/>
                <w:sz w:val="22"/>
                <w:szCs w:val="22"/>
                <w:b w:val="1"/>
                <w:bCs w:val="1"/>
                <w:color w:val="auto"/>
              </w:rPr>
              <w:t>Financial Statements and Exhibits</w:t>
            </w:r>
          </w:p>
        </w:tc>
      </w:tr>
      <w:tr>
        <w:trPr>
          <w:trHeight w:val="486"/>
        </w:trPr>
        <w:tc>
          <w:tcPr>
            <w:tcW w:w="1060" w:type="dxa"/>
            <w:vAlign w:val="bottom"/>
          </w:tcPr>
          <w:p>
            <w:pPr>
              <w:ind w:left="660"/>
              <w:spacing w:after="0"/>
              <w:rPr>
                <w:sz w:val="20"/>
                <w:szCs w:val="20"/>
                <w:color w:val="auto"/>
              </w:rPr>
            </w:pPr>
            <w:r>
              <w:rPr>
                <w:rFonts w:ascii="Arial" w:cs="Arial" w:eastAsia="Arial" w:hAnsi="Arial"/>
                <w:sz w:val="22"/>
                <w:szCs w:val="22"/>
                <w:color w:val="auto"/>
              </w:rPr>
              <w:t>(d)</w:t>
            </w:r>
          </w:p>
        </w:tc>
        <w:tc>
          <w:tcPr>
            <w:tcW w:w="1780" w:type="dxa"/>
            <w:vAlign w:val="bottom"/>
            <w:gridSpan w:val="3"/>
          </w:tcPr>
          <w:p>
            <w:pPr>
              <w:jc w:val="right"/>
              <w:ind w:right="840"/>
              <w:spacing w:after="0"/>
              <w:rPr>
                <w:sz w:val="20"/>
                <w:szCs w:val="20"/>
                <w:color w:val="auto"/>
              </w:rPr>
            </w:pPr>
            <w:r>
              <w:rPr>
                <w:rFonts w:ascii="Arial" w:cs="Arial" w:eastAsia="Arial" w:hAnsi="Arial"/>
                <w:sz w:val="22"/>
                <w:szCs w:val="22"/>
                <w:color w:val="auto"/>
              </w:rPr>
              <w:t>Exhibits</w:t>
            </w:r>
          </w:p>
        </w:tc>
        <w:tc>
          <w:tcPr>
            <w:tcW w:w="108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436"/>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8580" w:type="dxa"/>
            <w:vAlign w:val="bottom"/>
            <w:gridSpan w:val="2"/>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74"/>
        </w:trPr>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99.1</w:t>
            </w:r>
          </w:p>
        </w:tc>
        <w:tc>
          <w:tcPr>
            <w:tcW w:w="480" w:type="dxa"/>
            <w:vAlign w:val="bottom"/>
          </w:tcPr>
          <w:p>
            <w:pPr>
              <w:spacing w:after="0"/>
              <w:rPr>
                <w:sz w:val="23"/>
                <w:szCs w:val="23"/>
                <w:color w:val="auto"/>
              </w:rPr>
            </w:pPr>
          </w:p>
        </w:tc>
        <w:tc>
          <w:tcPr>
            <w:tcW w:w="8580" w:type="dxa"/>
            <w:vAlign w:val="bottom"/>
            <w:gridSpan w:val="2"/>
          </w:tcPr>
          <w:p>
            <w:pPr>
              <w:ind w:left="40"/>
              <w:spacing w:after="0"/>
              <w:rPr>
                <w:sz w:val="20"/>
                <w:szCs w:val="20"/>
                <w:color w:val="auto"/>
              </w:rPr>
            </w:pPr>
            <w:r>
              <w:rPr>
                <w:rFonts w:ascii="Arial" w:cs="Arial" w:eastAsia="Arial" w:hAnsi="Arial"/>
                <w:sz w:val="22"/>
                <w:szCs w:val="22"/>
                <w:color w:val="auto"/>
              </w:rPr>
              <w:t>Press Release, dated November 1, 2016.</w:t>
            </w:r>
          </w:p>
        </w:tc>
      </w:tr>
      <w:tr>
        <w:trPr>
          <w:trHeight w:val="206"/>
        </w:trPr>
        <w:tc>
          <w:tcPr>
            <w:tcW w:w="10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7500" w:type="dxa"/>
            <w:vAlign w:val="bottom"/>
            <w:tcBorders>
              <w:bottom w:val="single" w:sz="8" w:color="9A9A9A"/>
            </w:tcBorders>
          </w:tcPr>
          <w:p>
            <w:pPr>
              <w:spacing w:after="0"/>
              <w:rPr>
                <w:sz w:val="17"/>
                <w:szCs w:val="17"/>
                <w:color w:val="auto"/>
              </w:rPr>
            </w:pPr>
          </w:p>
        </w:tc>
      </w:tr>
      <w:tr>
        <w:trPr>
          <w:trHeight w:val="21"/>
        </w:trPr>
        <w:tc>
          <w:tcPr>
            <w:tcW w:w="10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75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November 1, 2016</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540" w:type="dxa"/>
            <w:vAlign w:val="bottom"/>
          </w:tcPr>
          <w:p>
            <w:pPr>
              <w:ind w:left="2040"/>
              <w:spacing w:after="0"/>
              <w:rPr>
                <w:sz w:val="20"/>
                <w:szCs w:val="20"/>
                <w:color w:val="auto"/>
              </w:rPr>
            </w:pPr>
            <w:r>
              <w:rPr>
                <w:rFonts w:ascii="Arial" w:cs="Arial" w:eastAsia="Arial" w:hAnsi="Arial"/>
                <w:sz w:val="22"/>
                <w:szCs w:val="22"/>
                <w:color w:val="auto"/>
              </w:rPr>
              <w:t>EXHIBIT INDEX</w:t>
            </w:r>
          </w:p>
        </w:tc>
      </w:tr>
      <w:tr>
        <w:trPr>
          <w:trHeight w:val="686"/>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4"/>
                <w:szCs w:val="2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November 1, 2016.</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World Fuel Services Corporation Completes Acquisition of ExxonMobil On-Airport Fueling Operations in Canada and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MIAMI--(BUSINESS WIRE)--November 1, 2016--World Fuel Services Corporation (NYSE:INT) announced today that it has completed the previously announced acquisition of the aviation fueling operations of certain ExxonMobil affiliates (“ExxonMobil”) at 34 airports in Canada and 2 airports in France. World Fuel has also become ExxonMobil’s long-term wholesale distributor for general aviation fuel in Canada.</w:t>
      </w:r>
    </w:p>
    <w:p>
      <w:pPr>
        <w:spacing w:after="0" w:line="185"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The remaining airport locations in France, the United Kingdom, Germany, Italy, Australia and New Zealand are expected to close later in the fourth quarter of 2016 and into the first quarter of 2017 and are subject to customary regulatory consents and closing conditions, including securing appropriate third party consents.</w:t>
      </w:r>
    </w:p>
    <w:p>
      <w:pPr>
        <w:spacing w:after="0" w:line="186"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“We are pleased to expand our global aviation network into airport locations in Canada and France,” said Michael J. Kasbar, chairman and chief executive officer of World Fuel Services Corporation. “The closing of these locations, combined with the existing World Fuel business, will provide customers with a premier global fueling network across the United States and Canada and in strategic locations in France.”</w:t>
      </w:r>
    </w:p>
    <w:p>
      <w:pPr>
        <w:spacing w:after="0" w:line="185" w:lineRule="exact"/>
        <w:rPr>
          <w:sz w:val="20"/>
          <w:szCs w:val="20"/>
          <w:color w:val="auto"/>
        </w:rPr>
      </w:pPr>
    </w:p>
    <w:p>
      <w:pPr>
        <w:jc w:val="both"/>
        <w:ind w:right="720"/>
        <w:spacing w:after="0"/>
        <w:rPr>
          <w:sz w:val="20"/>
          <w:szCs w:val="20"/>
          <w:color w:val="auto"/>
        </w:rPr>
      </w:pPr>
      <w:r>
        <w:rPr>
          <w:rFonts w:ascii="Arial" w:cs="Arial" w:eastAsia="Arial" w:hAnsi="Arial"/>
          <w:sz w:val="22"/>
          <w:szCs w:val="22"/>
          <w:color w:val="auto"/>
        </w:rPr>
        <w:t>“Our strong cash flow profile enabled us to fund this acquisition with cash-on-hand, leaving our existing liquidity facilities available to fund organic growth and additional strategic investments,” said Ira M. Birns,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expectations about the effect of the acquisition on our aviation segment, our liquidity, our expectations about organic growth and strategic investments, and the timing for closing the remaining locations. These forward-looking statements are qualified in their entirety by cautionary statements and risk factor disclosures contained in the company’s Securities and Exchange Commission (“SEC”) filings, including the company’s Annual Report on Form 10-K filed with the SEC on February 16, 2016. Actual results may differ materially from any forward-looking statements due to risks and uncertainties, including, but not limited to: our ability to effectively integrate and derive benefits from the acquisition, our ability to capitalize on new market opportunities, our ability to obtain required consents and satisfy closing conditions, potential liabilities, limited indemnities and the extent of any insurance coverage, the outcome of pending litigation and other proceedings, the impact of quarterly fluctuations in results, the creditworthiness of our customers and counterparties and our ability to collect accounts receivable, environmental and other risks associated with the storage, transportation and delivery of petroleum products, our failure to effectively hedge certain financial risks associated with the use of derivatives, non-performance by counterparties or customers on derivatives contracts, loss of, or reduced sales, to a significant government customer, uninsured losses, the failure of fuel and other products we sell to meet specifications, fluctuations in world oil prices or foreign currency, changes in political, economic, regulatory, or environmental conditions, adverse conditions in the markets or industries in which we or our customers and suppliers operate,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2019-12-05T17:52:02Z</dcterms:created>
  <dcterms:modified xsi:type="dcterms:W3CDTF">2019-12-05T17:52:02Z</dcterms:modified>
</cp:coreProperties>
</file>