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World Fuel Services Corporation</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#981475106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1,516,743</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7,701,886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7,701,886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10.583%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7,701,886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7,701,886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10.583%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9800 N.W. 41st Street</w:t>
      </w:r>
    </w:p>
    <w:p>
      <w:pPr>
        <w:ind w:left="1700"/>
        <w:spacing w:after="0" w:line="238" w:lineRule="auto"/>
        <w:rPr>
          <w:sz w:val="20"/>
          <w:szCs w:val="20"/>
          <w:color w:val="auto"/>
        </w:rPr>
      </w:pPr>
      <w:r>
        <w:rPr>
          <w:rFonts w:ascii="Courier New" w:cs="Courier New" w:eastAsia="Courier New" w:hAnsi="Courier New"/>
          <w:sz w:val="18"/>
          <w:szCs w:val="18"/>
          <w:color w:val="auto"/>
        </w:rPr>
        <w:t>Suite 400</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Miami, FL</w:t>
      </w:r>
      <w:r>
        <w:rPr>
          <w:sz w:val="20"/>
          <w:szCs w:val="20"/>
          <w:color w:val="auto"/>
        </w:rPr>
        <w:tab/>
      </w:r>
      <w:r>
        <w:rPr>
          <w:rFonts w:ascii="Courier New" w:cs="Courier New" w:eastAsia="Courier New" w:hAnsi="Courier New"/>
          <w:sz w:val="16"/>
          <w:szCs w:val="16"/>
          <w:color w:val="auto"/>
        </w:rPr>
        <w:t>33178</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245 Summer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02210</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981475106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7,701,886</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10.583%</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1,516,743</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7,701,886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World Fuel Services</w:t>
      </w:r>
    </w:p>
    <w:p>
      <w:pPr>
        <w:spacing w:after="0" w:line="6"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Corporation. No one person's interest in the Common Stock of World Fuel Services Corporation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09, 2013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6"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245 Summer Street, Boston, Massachusetts 02210, a wholly-</w:t>
      </w:r>
    </w:p>
    <w:p>
      <w:pPr>
        <w:spacing w:after="0" w:line="6" w:lineRule="exact"/>
        <w:rPr>
          <w:sz w:val="20"/>
          <w:szCs w:val="20"/>
          <w:color w:val="auto"/>
        </w:rPr>
      </w:pPr>
    </w:p>
    <w:p>
      <w:pPr>
        <w:ind w:right="3679"/>
        <w:spacing w:after="0" w:line="271" w:lineRule="auto"/>
        <w:rPr>
          <w:sz w:val="20"/>
          <w:szCs w:val="20"/>
          <w:color w:val="auto"/>
        </w:rPr>
      </w:pPr>
      <w:r>
        <w:rPr>
          <w:rFonts w:ascii="Courier New" w:cs="Courier New" w:eastAsia="Courier New" w:hAnsi="Courier New"/>
          <w:sz w:val="16"/>
          <w:szCs w:val="16"/>
          <w:color w:val="auto"/>
        </w:rPr>
        <w:t>owned subsidiary of FMR LLC and an investment adviser registered under Section 203 of the Investment Advisers Act of 1940, is the beneficial owner of 6,185,143 shares or 8.499% of the Common Stock outstanding of World Fuel Services Corporation ("the Company") as a result of acting as investment adviser to various investment companies registered under Section 8 of the Investment Company Act of 1940.</w:t>
      </w:r>
    </w:p>
    <w:p>
      <w:pPr>
        <w:spacing w:after="0" w:line="18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6,185,143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779" w:firstLine="843"/>
        <w:spacing w:after="0" w:line="271" w:lineRule="auto"/>
        <w:rPr>
          <w:sz w:val="20"/>
          <w:szCs w:val="20"/>
          <w:color w:val="auto"/>
        </w:rPr>
      </w:pPr>
      <w:r>
        <w:rPr>
          <w:rFonts w:ascii="Courier New" w:cs="Courier New" w:eastAsia="Courier New" w:hAnsi="Courier New"/>
          <w:sz w:val="16"/>
          <w:szCs w:val="16"/>
          <w:color w:val="auto"/>
        </w:rPr>
        <w:t>Pyramis Global Advisors, LLC ("PGALLC"), 900 Salem Street, Smithfield, Rhode Island, 02917, an indirect wholly-owned subsidiary of FMR LLC and an investment adviser registered under Section 203 of the Investment Advisers Act of 1940, is the beneficial owner of 243,240 shares or 0.334% of the outstanding Common Stock of World Fuel Services Corporation as a result of its serving as investment adviser to institutional accounts, non-U.S. mutual funds, or investment companies registered under Section 8 of the Investment Company Act of 1940 owning such shares.</w:t>
      </w:r>
    </w:p>
    <w:p>
      <w:pPr>
        <w:spacing w:after="0" w:line="386"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243,240 shares and sole power to vote or to direct the voting of 243,240 shares of Common Stock owned by the institutional accounts or funds advised by PGALLC as reported above.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spacing w:after="0" w:line="233" w:lineRule="auto"/>
        <w:rPr>
          <w:sz w:val="20"/>
          <w:szCs w:val="20"/>
          <w:color w:val="auto"/>
        </w:rPr>
      </w:pPr>
      <w:r>
        <w:rPr>
          <w:rFonts w:ascii="Courier New" w:cs="Courier New" w:eastAsia="Courier New" w:hAnsi="Courier New"/>
          <w:sz w:val="18"/>
          <w:szCs w:val="18"/>
          <w:color w:val="auto"/>
        </w:rPr>
        <w:t>in Section 3(a)(6) of the Securities Exchange Act of 1934, is</w:t>
      </w:r>
    </w:p>
    <w:p>
      <w:pPr>
        <w:spacing w:after="0"/>
        <w:rPr>
          <w:sz w:val="20"/>
          <w:szCs w:val="20"/>
          <w:color w:val="auto"/>
        </w:rPr>
      </w:pPr>
      <w:r>
        <w:rPr>
          <w:rFonts w:ascii="Courier New" w:cs="Courier New" w:eastAsia="Courier New" w:hAnsi="Courier New"/>
          <w:sz w:val="18"/>
          <w:szCs w:val="18"/>
          <w:color w:val="auto"/>
        </w:rPr>
        <w:t>the beneficial owner of 1,273,503 shares or 1.750% of the</w:t>
      </w:r>
    </w:p>
    <w:p>
      <w:pPr>
        <w:spacing w:after="0" w:line="237" w:lineRule="auto"/>
        <w:rPr>
          <w:sz w:val="20"/>
          <w:szCs w:val="20"/>
          <w:color w:val="auto"/>
        </w:rPr>
      </w:pPr>
      <w:r>
        <w:rPr>
          <w:rFonts w:ascii="Courier New" w:cs="Courier New" w:eastAsia="Courier New" w:hAnsi="Courier New"/>
          <w:sz w:val="18"/>
          <w:szCs w:val="18"/>
          <w:color w:val="auto"/>
        </w:rPr>
        <w:t>outstanding Common Stock of the World Fuel Services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as a result of its serving as investment manager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institutional accounts owning such shares.</w:t>
      </w:r>
    </w:p>
    <w:p>
      <w:pPr>
        <w:spacing w:after="0" w:line="207"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1,273,503 shares and sole power to vote or to direct the voting of 1,273,503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779" w:firstLine="843"/>
        <w:spacing w:after="0" w:line="290" w:lineRule="auto"/>
        <w:rPr>
          <w:sz w:val="20"/>
          <w:szCs w:val="20"/>
          <w:color w:val="auto"/>
        </w:rPr>
      </w:pPr>
      <w:r>
        <w:rPr>
          <w:rFonts w:ascii="Courier New" w:cs="Courier New" w:eastAsia="Courier New" w:hAnsi="Courier New"/>
          <w:sz w:val="16"/>
          <w:szCs w:val="16"/>
          <w:color w:val="auto"/>
        </w:rPr>
        <w:t>The undersigned persons, on September 09, 2013, agree and consent to the joint filing on their behalf of this</w:t>
      </w:r>
    </w:p>
    <w:p>
      <w:pPr>
        <w:sectPr>
          <w:pgSz w:w="11900" w:h="16838" w:orient="portrait"/>
          <w:cols w:equalWidth="0" w:num="1">
            <w:col w:w="10219"/>
          </w:cols>
          <w:pgMar w:left="240" w:top="547" w:right="1440" w:bottom="0" w:gutter="0" w:footer="0" w:header="0"/>
        </w:sectPr>
      </w:pPr>
    </w:p>
    <w:bookmarkStart w:id="3" w:name="page4"/>
    <w:bookmarkEnd w:id="3"/>
    <w:p>
      <w:pPr>
        <w:ind w:right="3779"/>
        <w:spacing w:after="0" w:line="236" w:lineRule="auto"/>
        <w:rPr>
          <w:sz w:val="20"/>
          <w:szCs w:val="20"/>
          <w:color w:val="auto"/>
        </w:rPr>
      </w:pPr>
      <w:r>
        <w:rPr>
          <w:rFonts w:ascii="Courier New" w:cs="Courier New" w:eastAsia="Courier New" w:hAnsi="Courier New"/>
          <w:sz w:val="18"/>
          <w:szCs w:val="18"/>
          <w:color w:val="auto"/>
        </w:rPr>
        <w:t>Schedule 13G in connection with their beneficial ownership of the Common Stock of World Fuel Services Corporation at August 31, 2013.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2019-12-05T22:38:52Z</dcterms:created>
  <dcterms:modified xsi:type="dcterms:W3CDTF">2019-12-05T22:38:52Z</dcterms:modified>
</cp:coreProperties>
</file>