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100" w:right="1900" w:hanging="3004"/>
        <w:spacing w:after="0" w:line="501" w:lineRule="auto"/>
        <w:tabs>
          <w:tab w:leader="none" w:pos="3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81" w:lineRule="exact"/>
        <w:rPr>
          <w:sz w:val="24"/>
          <w:szCs w:val="24"/>
          <w:color w:val="auto"/>
        </w:rPr>
      </w:pPr>
    </w:p>
    <w:p>
      <w:pPr>
        <w:ind w:left="380" w:hanging="28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6"/>
              </w:rPr>
              <w:t>Florida</w:t>
            </w:r>
          </w:p>
        </w:tc>
        <w:tc>
          <w:tcPr>
            <w:tcW w:w="32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(State or other jurisdiction of</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3"/>
              </w:rPr>
              <w:t>incorporation or organization)</w:t>
            </w:r>
          </w:p>
        </w:tc>
        <w:tc>
          <w:tcPr>
            <w:tcW w:w="3240" w:type="dxa"/>
            <w:vAlign w:val="bottom"/>
          </w:tcPr>
          <w:p>
            <w:pPr>
              <w:jc w:val="center"/>
              <w:ind w:left="18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12"/>
                <w:szCs w:val="12"/>
                <w:b w:val="1"/>
                <w:bCs w:val="1"/>
                <w:color w:val="auto"/>
                <w:w w:val="91"/>
              </w:rPr>
              <w:t>st</w:t>
            </w:r>
            <w:r>
              <w:rPr>
                <w:rFonts w:ascii="Arial" w:cs="Arial" w:eastAsia="Arial" w:hAnsi="Arial"/>
                <w:sz w:val="18"/>
                <w:szCs w:val="18"/>
                <w:b w:val="1"/>
                <w:bCs w:val="1"/>
                <w:color w:val="auto"/>
                <w:w w:val="91"/>
              </w:rPr>
              <w:t xml:space="preserve"> Street</w:t>
            </w:r>
          </w:p>
        </w:tc>
        <w:tc>
          <w:tcPr>
            <w:tcW w:w="3240" w:type="dxa"/>
            <w:vAlign w:val="bottom"/>
          </w:tcPr>
          <w:p>
            <w:pPr>
              <w:spacing w:after="0"/>
              <w:rPr>
                <w:sz w:val="24"/>
                <w:szCs w:val="24"/>
                <w:color w:val="auto"/>
              </w:rPr>
            </w:pPr>
          </w:p>
        </w:tc>
      </w:tr>
      <w:tr>
        <w:trPr>
          <w:trHeight w:val="220"/>
        </w:trPr>
        <w:tc>
          <w:tcPr>
            <w:tcW w:w="48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7"/>
              </w:rPr>
              <w:t>Miami, Florida</w:t>
            </w:r>
          </w:p>
        </w:tc>
        <w:tc>
          <w:tcPr>
            <w:tcW w:w="324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840" w:type="dxa"/>
            <w:vAlign w:val="bottom"/>
          </w:tcPr>
          <w:p>
            <w:pPr>
              <w:jc w:val="center"/>
              <w:ind w:right="181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tcPr>
          <w:p>
            <w:pPr>
              <w:jc w:val="center"/>
              <w:ind w:left="1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75"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7"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60"/>
        <w:spacing w:after="0"/>
        <w:rPr>
          <w:sz w:val="20"/>
          <w:szCs w:val="20"/>
          <w:color w:val="auto"/>
        </w:rPr>
      </w:pPr>
      <w:r>
        <w:rPr>
          <w:rFonts w:ascii="Arial" w:cs="Arial" w:eastAsia="Arial" w:hAnsi="Arial"/>
          <w:sz w:val="17"/>
          <w:szCs w:val="17"/>
          <w:color w:val="auto"/>
        </w:rPr>
        <w:t>The registrant had a total of 70,462,000 shares of common stock, par value $0.01 per share, issued and outstanding as of October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6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66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2016 and December 31, 2015</w:t>
              </w:r>
            </w:hyperlink>
          </w:p>
        </w:tc>
        <w:tc>
          <w:tcPr>
            <w:tcW w:w="3580" w:type="dxa"/>
            <w:vAlign w:val="bottom"/>
            <w:gridSpan w:val="5"/>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for the Three and Nine Months ended September 30, 2016 and</w:t>
              </w:r>
            </w:hyperlink>
          </w:p>
        </w:tc>
        <w:tc>
          <w:tcPr>
            <w:tcW w:w="3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7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Shareholders’ Equity for the Nine Months ended September 30, 2016 and 2015</w:t>
              </w:r>
            </w:hyperlink>
          </w:p>
        </w:tc>
        <w:tc>
          <w:tcPr>
            <w:tcW w:w="158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2016 and 2015</w:t>
              </w:r>
            </w:hyperlink>
          </w:p>
        </w:tc>
        <w:tc>
          <w:tcPr>
            <w:tcW w:w="2260" w:type="dxa"/>
            <w:vAlign w:val="bottom"/>
            <w:gridSpan w:val="3"/>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Consolidated Financial Statements</w:t>
              </w:r>
            </w:hyperlink>
          </w:p>
        </w:tc>
        <w:tc>
          <w:tcPr>
            <w:tcW w:w="5900" w:type="dxa"/>
            <w:vAlign w:val="bottom"/>
            <w:gridSpan w:val="8"/>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400" w:type="dxa"/>
            <w:vAlign w:val="bottom"/>
            <w:gridSpan w:val="2"/>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400" w:type="dxa"/>
            <w:vAlign w:val="bottom"/>
            <w:gridSpan w:val="2"/>
          </w:tcPr>
          <w:p>
            <w:pPr>
              <w:spacing w:after="0"/>
              <w:rPr>
                <w:sz w:val="24"/>
                <w:szCs w:val="24"/>
                <w:color w:val="auto"/>
              </w:rPr>
            </w:pPr>
          </w:p>
        </w:tc>
        <w:tc>
          <w:tcPr>
            <w:tcW w:w="6460" w:type="dxa"/>
            <w:vAlign w:val="bottom"/>
            <w:tcBorders>
              <w:top w:val="single" w:sz="8" w:color="0000EE"/>
            </w:tcBorders>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40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4960" w:type="dxa"/>
            <w:vAlign w:val="bottom"/>
            <w:gridSpan w:val="6"/>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520"/>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892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7980" w:type="dxa"/>
            <w:vAlign w:val="bottom"/>
            <w:gridSpan w:val="11"/>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93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52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400" w:type="dxa"/>
            <w:vAlign w:val="bottom"/>
            <w:gridSpan w:val="2"/>
          </w:tcPr>
          <w:p>
            <w:pPr>
              <w:spacing w:after="0"/>
              <w:rPr>
                <w:sz w:val="24"/>
                <w:szCs w:val="24"/>
                <w:color w:val="auto"/>
              </w:rPr>
            </w:pPr>
          </w:p>
        </w:tc>
        <w:tc>
          <w:tcPr>
            <w:tcW w:w="43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000" w:type="dxa"/>
            <w:vAlign w:val="bottom"/>
            <w:gridSpan w:val="7"/>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520"/>
        </w:trPr>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80" w:type="dxa"/>
            <w:vAlign w:val="bottom"/>
          </w:tcPr>
          <w:p>
            <w:pPr>
              <w:jc w:val="center"/>
              <w:ind w:left="2110"/>
              <w:spacing w:after="0"/>
              <w:rPr>
                <w:sz w:val="20"/>
                <w:szCs w:val="20"/>
                <w:color w:val="auto"/>
              </w:rPr>
            </w:pPr>
            <w:r>
              <w:rPr>
                <w:rFonts w:ascii="Arial" w:cs="Arial" w:eastAsia="Arial" w:hAnsi="Arial"/>
                <w:sz w:val="18"/>
                <w:szCs w:val="18"/>
                <w:b w:val="1"/>
                <w:bCs w:val="1"/>
                <w:color w:val="auto"/>
                <w:w w:val="87"/>
              </w:rPr>
              <w:t>Consolidated Balance Sheets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80" w:type="dxa"/>
            <w:vAlign w:val="bottom"/>
          </w:tcPr>
          <w:p>
            <w:pPr>
              <w:jc w:val="center"/>
              <w:ind w:left="2090"/>
              <w:spacing w:after="0"/>
              <w:rPr>
                <w:sz w:val="20"/>
                <w:szCs w:val="20"/>
                <w:color w:val="auto"/>
              </w:rPr>
            </w:pPr>
            <w:r>
              <w:rPr>
                <w:rFonts w:ascii="Arial" w:cs="Arial" w:eastAsia="Arial" w:hAnsi="Arial"/>
                <w:sz w:val="18"/>
                <w:szCs w:val="18"/>
                <w:color w:val="auto"/>
                <w:w w:val="91"/>
              </w:rPr>
              <w:t>(Unaudited - In millions, except per share data)</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w:t>
            </w: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872.3</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2,062.6</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1,812.6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484.5</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359.1</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57.6</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57.9</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34.4</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220.4</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241.2</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208.0</w:t>
            </w:r>
          </w:p>
        </w:tc>
      </w:tr>
      <w:tr>
        <w:trPr>
          <w:trHeight w:val="270"/>
        </w:trPr>
        <w:tc>
          <w:tcPr>
            <w:tcW w:w="79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Current assets held for sale</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r>
      <w:tr>
        <w:trPr>
          <w:trHeight w:val="264"/>
        </w:trPr>
        <w:tc>
          <w:tcPr>
            <w:tcW w:w="7960" w:type="dxa"/>
            <w:vAlign w:val="bottom"/>
            <w:gridSpan w:val="3"/>
          </w:tcPr>
          <w:p>
            <w:pPr>
              <w:ind w:left="28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3,752.5</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3,246.0</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260.3</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225.6</w:t>
            </w: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720.0</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675.8</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419.7</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341.4</w:t>
            </w:r>
          </w:p>
        </w:tc>
      </w:tr>
      <w:tr>
        <w:trPr>
          <w:trHeight w:val="264"/>
        </w:trPr>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Non-current assets held for sale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5,152.5</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4,525.3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Short-term debt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28.8</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25.5</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1,558.6</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1,349.6</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106.5</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118.3</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254.3</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w:t>
            </w:r>
          </w:p>
        </w:tc>
      </w:tr>
      <w:tr>
        <w:trPr>
          <w:trHeight w:val="264"/>
        </w:trPr>
        <w:tc>
          <w:tcPr>
            <w:tcW w:w="79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Current liabilities held for sale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r>
      <w:tr>
        <w:trPr>
          <w:trHeight w:val="270"/>
        </w:trPr>
        <w:tc>
          <w:tcPr>
            <w:tcW w:w="79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1,948.2</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1,754.2</w:t>
            </w:r>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3"/>
                <w:szCs w:val="23"/>
                <w:color w:val="auto"/>
              </w:rPr>
            </w:pPr>
          </w:p>
        </w:tc>
        <w:tc>
          <w:tcPr>
            <w:tcW w:w="6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1,110.1</w:t>
            </w: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746.7</w:t>
            </w:r>
          </w:p>
        </w:tc>
      </w:tr>
      <w:tr>
        <w:trPr>
          <w:trHeight w:val="264"/>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86.0</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87.7</w:t>
            </w:r>
          </w:p>
        </w:tc>
      </w:tr>
      <w:tr>
        <w:trPr>
          <w:trHeight w:val="276"/>
        </w:trPr>
        <w:tc>
          <w:tcPr>
            <w:tcW w:w="7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r>
      <w:tr>
        <w:trPr>
          <w:trHeight w:val="264"/>
        </w:trPr>
        <w:tc>
          <w:tcPr>
            <w:tcW w:w="7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Non-current liabilities held for sale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r>
      <w:tr>
        <w:trPr>
          <w:trHeight w:val="264"/>
        </w:trPr>
        <w:tc>
          <w:tcPr>
            <w:tcW w:w="796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3,175.7</w:t>
            </w:r>
          </w:p>
        </w:tc>
        <w:tc>
          <w:tcPr>
            <w:tcW w:w="4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2,619.4</w:t>
            </w:r>
          </w:p>
        </w:tc>
      </w:tr>
      <w:tr>
        <w:trPr>
          <w:trHeight w:val="20"/>
        </w:trPr>
        <w:tc>
          <w:tcPr>
            <w:tcW w:w="1280" w:type="dxa"/>
            <w:vAlign w:val="bottom"/>
            <w:tcBorders>
              <w:bottom w:val="single" w:sz="8" w:color="auto"/>
            </w:tcBorders>
            <w:gridSpan w:val="2"/>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Commitments and contingencies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7960" w:type="dxa"/>
            <w:vAlign w:val="bottom"/>
            <w:gridSpan w:val="3"/>
          </w:tcPr>
          <w:p>
            <w:pPr>
              <w:ind w:left="40"/>
              <w:spacing w:after="0"/>
              <w:rPr>
                <w:sz w:val="20"/>
                <w:szCs w:val="20"/>
                <w:color w:val="auto"/>
              </w:rPr>
            </w:pPr>
            <w:r>
              <w:rPr>
                <w:rFonts w:ascii="Arial" w:cs="Arial" w:eastAsia="Arial" w:hAnsi="Arial"/>
                <w:sz w:val="14"/>
                <w:szCs w:val="14"/>
                <w:color w:val="auto"/>
              </w:rPr>
              <w:t>World Fuel shareholders' equity:</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7960" w:type="dxa"/>
            <w:vAlign w:val="bottom"/>
            <w:gridSpan w:val="3"/>
          </w:tcPr>
          <w:p>
            <w:pPr>
              <w:ind w:left="180"/>
              <w:spacing w:after="0" w:line="157" w:lineRule="exact"/>
              <w:rPr>
                <w:sz w:val="20"/>
                <w:szCs w:val="20"/>
                <w:color w:val="auto"/>
              </w:rPr>
            </w:pPr>
            <w:r>
              <w:rPr>
                <w:rFonts w:ascii="Arial" w:cs="Arial" w:eastAsia="Arial" w:hAnsi="Arial"/>
                <w:sz w:val="14"/>
                <w:szCs w:val="14"/>
                <w:color w:val="auto"/>
                <w:w w:val="99"/>
              </w:rPr>
              <w:t>Common stock, $0.01 par value; 100 shares authorized, 70.4 and 70.8 issued and outstanding as of September 30, 2016 and</w:t>
            </w: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8"/>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December 31, 2015, respectively</w:t>
            </w:r>
          </w:p>
        </w:tc>
        <w:tc>
          <w:tcPr>
            <w:tcW w:w="36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4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76"/>
        </w:trPr>
        <w:tc>
          <w:tcPr>
            <w:tcW w:w="79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418.0</w:t>
            </w: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435.3</w:t>
            </w:r>
          </w:p>
        </w:tc>
      </w:tr>
      <w:tr>
        <w:trPr>
          <w:trHeight w:val="264"/>
        </w:trPr>
        <w:tc>
          <w:tcPr>
            <w:tcW w:w="7960" w:type="dxa"/>
            <w:vAlign w:val="bottom"/>
            <w:gridSpan w:val="3"/>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1,681.2</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1,569.4</w:t>
            </w:r>
          </w:p>
        </w:tc>
      </w:tr>
      <w:tr>
        <w:trPr>
          <w:trHeight w:val="270"/>
        </w:trPr>
        <w:tc>
          <w:tcPr>
            <w:tcW w:w="79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(138.3)</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64"/>
        </w:trPr>
        <w:tc>
          <w:tcPr>
            <w:tcW w:w="7960" w:type="dxa"/>
            <w:vAlign w:val="bottom"/>
            <w:gridSpan w:val="3"/>
          </w:tcPr>
          <w:p>
            <w:pPr>
              <w:ind w:left="280"/>
              <w:spacing w:after="0"/>
              <w:rPr>
                <w:sz w:val="20"/>
                <w:szCs w:val="20"/>
                <w:color w:val="auto"/>
              </w:rPr>
            </w:pPr>
            <w:r>
              <w:rPr>
                <w:rFonts w:ascii="Arial" w:cs="Arial" w:eastAsia="Arial" w:hAnsi="Arial"/>
                <w:sz w:val="14"/>
                <w:szCs w:val="14"/>
                <w:color w:val="auto"/>
              </w:rPr>
              <w:t>Total World Fuel shareholders' equity</w:t>
            </w:r>
          </w:p>
        </w:tc>
        <w:tc>
          <w:tcPr>
            <w:tcW w:w="360" w:type="dxa"/>
            <w:vAlign w:val="bottom"/>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1,961.6</w:t>
            </w:r>
          </w:p>
        </w:tc>
        <w:tc>
          <w:tcPr>
            <w:tcW w:w="4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1,895.9</w:t>
            </w:r>
          </w:p>
        </w:tc>
      </w:tr>
      <w:tr>
        <w:trPr>
          <w:trHeight w:val="270"/>
        </w:trPr>
        <w:tc>
          <w:tcPr>
            <w:tcW w:w="79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15.2</w:t>
            </w:r>
          </w:p>
        </w:tc>
        <w:tc>
          <w:tcPr>
            <w:tcW w:w="4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r>
      <w:tr>
        <w:trPr>
          <w:trHeight w:val="264"/>
        </w:trPr>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tcPr>
          <w:p>
            <w:pPr>
              <w:spacing w:after="0"/>
              <w:rPr>
                <w:sz w:val="22"/>
                <w:szCs w:val="22"/>
                <w:color w:val="auto"/>
              </w:rPr>
            </w:pPr>
          </w:p>
        </w:tc>
        <w:tc>
          <w:tcPr>
            <w:tcW w:w="6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1,976.8</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1,905.9</w:t>
            </w:r>
          </w:p>
        </w:tc>
      </w:tr>
      <w:tr>
        <w:trPr>
          <w:trHeight w:val="264"/>
        </w:trPr>
        <w:tc>
          <w:tcPr>
            <w:tcW w:w="796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5,152.5</w:t>
            </w:r>
          </w:p>
        </w:tc>
        <w:tc>
          <w:tcPr>
            <w:tcW w:w="4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4,525.3</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360"/>
          </w:cols>
          <w:pgMar w:left="240" w:top="108" w:right="299" w:bottom="3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60"/>
          </w:cols>
          <w:pgMar w:left="240" w:top="108" w:right="29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6"/>
                <w:szCs w:val="16"/>
                <w:color w:val="auto"/>
              </w:rPr>
            </w:pPr>
          </w:p>
        </w:tc>
        <w:tc>
          <w:tcPr>
            <w:tcW w:w="24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26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7,399.8</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7,810.7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19,223.6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23,647.8</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7,163.1</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7,584.0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18,546.9</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23,017.1</w:t>
            </w:r>
          </w:p>
        </w:tc>
      </w:tr>
      <w:tr>
        <w:trPr>
          <w:trHeight w:val="264"/>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236.7</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676.7</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630.7</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106.6</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306.2</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w:t>
            </w:r>
          </w:p>
        </w:tc>
      </w:tr>
      <w:tr>
        <w:trPr>
          <w:trHeight w:val="264"/>
        </w:trPr>
        <w:tc>
          <w:tcPr>
            <w:tcW w:w="526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70.3</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200.2</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r>
      <w:tr>
        <w:trPr>
          <w:trHeight w:val="264"/>
        </w:trPr>
        <w:tc>
          <w:tcPr>
            <w:tcW w:w="52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178.4</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511.9</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455.1</w:t>
            </w:r>
          </w:p>
        </w:tc>
      </w:tr>
      <w:tr>
        <w:trPr>
          <w:trHeight w:val="264"/>
        </w:trPr>
        <w:tc>
          <w:tcPr>
            <w:tcW w:w="52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58.2</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164.8</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64"/>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0.5</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64"/>
        </w:trPr>
        <w:tc>
          <w:tcPr>
            <w:tcW w:w="52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48.4</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140.1</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154.6</w:t>
            </w:r>
          </w:p>
        </w:tc>
      </w:tr>
      <w:tr>
        <w:trPr>
          <w:trHeight w:val="270"/>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43.0</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124.4</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121.0</w:t>
            </w:r>
          </w:p>
        </w:tc>
      </w:tr>
      <w:tr>
        <w:trPr>
          <w:trHeight w:val="270"/>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noncontrolling interest</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World Fuel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0.62</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69.4</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30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69.5</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69.9</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r>
      <w:tr>
        <w:trPr>
          <w:trHeight w:val="257"/>
        </w:trPr>
        <w:tc>
          <w:tcPr>
            <w:tcW w:w="5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Other comprehensive (loss) income:</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r>
      <w:tr>
        <w:trPr>
          <w:trHeight w:val="157"/>
        </w:trPr>
        <w:tc>
          <w:tcPr>
            <w:tcW w:w="5260" w:type="dxa"/>
            <w:vAlign w:val="bottom"/>
          </w:tcPr>
          <w:p>
            <w:pPr>
              <w:ind w:left="180"/>
              <w:spacing w:after="0" w:line="157" w:lineRule="exact"/>
              <w:rPr>
                <w:sz w:val="20"/>
                <w:szCs w:val="20"/>
                <w:color w:val="auto"/>
              </w:rPr>
            </w:pPr>
            <w:r>
              <w:rPr>
                <w:rFonts w:ascii="Arial" w:cs="Arial" w:eastAsia="Arial" w:hAnsi="Arial"/>
                <w:sz w:val="14"/>
                <w:szCs w:val="14"/>
                <w:color w:val="auto"/>
                <w:w w:val="99"/>
              </w:rPr>
              <w:t>Derivative instruments, net of income tax benefit of $4.8 and $1.7 for the three and</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nine months ended September 30, 2016, respectively</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46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20.7</w:t>
            </w:r>
          </w:p>
        </w:tc>
        <w:tc>
          <w:tcPr>
            <w:tcW w:w="36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93.7</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81.9</w:t>
            </w:r>
          </w:p>
        </w:tc>
      </w:tr>
      <w:tr>
        <w:trPr>
          <w:trHeight w:val="270"/>
        </w:trPr>
        <w:tc>
          <w:tcPr>
            <w:tcW w:w="5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19.3</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140"/>
          </w:cols>
          <w:pgMar w:left="24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40"/>
          </w:cols>
          <w:pgMar w:left="240" w:top="125" w:right="5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1"/>
              <w:spacing w:after="0" w:line="140" w:lineRule="exact"/>
              <w:rPr>
                <w:sz w:val="20"/>
                <w:szCs w:val="20"/>
                <w:color w:val="auto"/>
              </w:rPr>
            </w:pPr>
            <w:r>
              <w:rPr>
                <w:rFonts w:ascii="Arial" w:cs="Arial" w:eastAsia="Arial" w:hAnsi="Arial"/>
                <w:sz w:val="13"/>
                <w:szCs w:val="13"/>
                <w:b w:val="1"/>
                <w:bCs w:val="1"/>
                <w:color w:val="auto"/>
              </w:rPr>
              <w:t>Capital in</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1"/>
              <w:spacing w:after="0" w:line="110" w:lineRule="exact"/>
              <w:rPr>
                <w:sz w:val="20"/>
                <w:szCs w:val="20"/>
                <w:color w:val="auto"/>
              </w:rPr>
            </w:pPr>
            <w:r>
              <w:rPr>
                <w:rFonts w:ascii="Arial" w:cs="Arial" w:eastAsia="Arial" w:hAnsi="Arial"/>
                <w:sz w:val="12"/>
                <w:szCs w:val="12"/>
                <w:b w:val="1"/>
                <w:bCs w:val="1"/>
                <w:color w:val="auto"/>
              </w:rPr>
              <w:t>Excess of</w:t>
            </w:r>
          </w:p>
        </w:tc>
        <w:tc>
          <w:tcPr>
            <w:tcW w:w="92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Par Value</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Balance as of December 31, 2015</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70.8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435.3</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  1,569.4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(109.5)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1,895.9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1,905.9</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124.3</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124.3</w:t>
            </w:r>
          </w:p>
        </w:tc>
        <w:tc>
          <w:tcPr>
            <w:tcW w:w="22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Amortization of share-based payment</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14.5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rPr>
              <w:t>Issuance of common stock related to</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rPr>
              <w:t>share-based payment awards including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income tax benefit of $1.6 million</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1.6</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6"/>
              </w:rPr>
              <w:t>Purchases of common stock tendered by</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8"/>
        </w:trPr>
        <w:tc>
          <w:tcPr>
            <w:tcW w:w="3100" w:type="dxa"/>
            <w:vAlign w:val="bottom"/>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(18.4)</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620" w:hanging="450"/>
        <w:spacing w:after="0"/>
        <w:tabs>
          <w:tab w:leader="none" w:pos="620" w:val="left"/>
        </w:tabs>
        <w:numPr>
          <w:ilvl w:val="0"/>
          <w:numId w:val="3"/>
        </w:numPr>
        <w:rPr>
          <w:rFonts w:ascii="Arial" w:cs="Arial" w:eastAsia="Arial" w:hAnsi="Arial"/>
          <w:sz w:val="11"/>
          <w:szCs w:val="11"/>
          <w:color w:val="auto"/>
        </w:rPr>
      </w:pPr>
      <w:r>
        <w:rPr>
          <w:rFonts w:ascii="Arial" w:cs="Arial" w:eastAsia="Arial" w:hAnsi="Arial"/>
          <w:sz w:val="14"/>
          <w:szCs w:val="14"/>
          <w:color w:val="auto"/>
        </w:rPr>
        <w:t>Acquisition of remaining 49% equity</w:t>
      </w:r>
    </w:p>
    <w:tbl>
      <w:tblPr>
        <w:tblLayout w:type="fixed"/>
        <w:tblInd w:w="0" w:type="dxa"/>
        <w:tblCellMar>
          <w:top w:w="0" w:type="dxa"/>
          <w:left w:w="0" w:type="dxa"/>
          <w:bottom w:w="0" w:type="dxa"/>
          <w:right w:w="0" w:type="dxa"/>
        </w:tblCellMar>
      </w:tblPr>
      <w:tr>
        <w:trPr>
          <w:trHeight w:val="182"/>
        </w:trPr>
        <w:tc>
          <w:tcPr>
            <w:tcW w:w="3060" w:type="dxa"/>
            <w:vAlign w:val="bottom"/>
          </w:tcPr>
          <w:p>
            <w:pPr>
              <w:ind w:left="620"/>
              <w:spacing w:after="0"/>
              <w:rPr>
                <w:sz w:val="20"/>
                <w:szCs w:val="20"/>
                <w:color w:val="auto"/>
              </w:rPr>
            </w:pPr>
            <w:r>
              <w:rPr>
                <w:rFonts w:ascii="Arial" w:cs="Arial" w:eastAsia="Arial" w:hAnsi="Arial"/>
                <w:sz w:val="14"/>
                <w:szCs w:val="14"/>
                <w:color w:val="auto"/>
              </w:rPr>
              <w:t>interest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5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64"/>
        </w:trPr>
        <w:tc>
          <w:tcPr>
            <w:tcW w:w="30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Other comprehensive (loss) income</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(28.9)</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r>
      <w:tr>
        <w:trPr>
          <w:trHeight w:val="264"/>
        </w:trPr>
        <w:tc>
          <w:tcPr>
            <w:tcW w:w="3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Balance as of September 30, 2016</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418.0</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1,681.2</w:t>
            </w:r>
          </w:p>
        </w:tc>
        <w:tc>
          <w:tcPr>
            <w:tcW w:w="5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(138.3)</w:t>
            </w:r>
          </w:p>
        </w:tc>
        <w:tc>
          <w:tcPr>
            <w:tcW w:w="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1,961.6</w:t>
            </w:r>
          </w:p>
        </w:tc>
        <w:tc>
          <w:tcPr>
            <w:tcW w:w="5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1,976.8</w:t>
            </w:r>
          </w:p>
        </w:tc>
      </w:tr>
    </w:tbl>
    <w:p>
      <w:pPr>
        <w:spacing w:after="0" w:line="8"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Relates to Tobras. </w:t>
      </w:r>
      <w:r>
        <w:rPr>
          <w:rFonts w:ascii="Arial" w:cs="Arial" w:eastAsia="Arial" w:hAnsi="Arial"/>
          <w:sz w:val="14"/>
          <w:szCs w:val="14"/>
          <w:i w:val="1"/>
          <w:iCs w:val="1"/>
          <w:color w:val="auto"/>
        </w:rPr>
        <w:t>See Note 3. Acquisitions, Asset and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52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2"/>
                <w:szCs w:val="12"/>
                <w:color w:val="auto"/>
              </w:rPr>
            </w:pPr>
          </w:p>
        </w:tc>
        <w:tc>
          <w:tcPr>
            <w:tcW w:w="920" w:type="dxa"/>
            <w:vAlign w:val="bottom"/>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90"/>
              <w:spacing w:after="0" w:line="140" w:lineRule="exact"/>
              <w:rPr>
                <w:sz w:val="20"/>
                <w:szCs w:val="20"/>
                <w:color w:val="auto"/>
              </w:rPr>
            </w:pPr>
            <w:r>
              <w:rPr>
                <w:rFonts w:ascii="Arial" w:cs="Arial" w:eastAsia="Arial" w:hAnsi="Arial"/>
                <w:sz w:val="13"/>
                <w:szCs w:val="13"/>
                <w:b w:val="1"/>
                <w:bCs w:val="1"/>
                <w:color w:val="auto"/>
              </w:rPr>
              <w:t>Capital in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920" w:type="dxa"/>
            <w:vAlign w:val="bottom"/>
          </w:tcPr>
          <w:p>
            <w:pPr>
              <w:jc w:val="right"/>
              <w:ind w:right="71"/>
              <w:spacing w:after="0" w:line="140" w:lineRule="exact"/>
              <w:rPr>
                <w:sz w:val="20"/>
                <w:szCs w:val="20"/>
                <w:color w:val="auto"/>
              </w:rPr>
            </w:pPr>
            <w:r>
              <w:rPr>
                <w:rFonts w:ascii="Arial" w:cs="Arial" w:eastAsia="Arial" w:hAnsi="Arial"/>
                <w:sz w:val="13"/>
                <w:szCs w:val="13"/>
                <w:b w:val="1"/>
                <w:bCs w:val="1"/>
                <w:color w:val="auto"/>
              </w:rPr>
              <w:t>World Fuel</w:t>
            </w:r>
          </w:p>
        </w:tc>
        <w:tc>
          <w:tcPr>
            <w:tcW w:w="220" w:type="dxa"/>
            <w:vAlign w:val="bottom"/>
          </w:tcPr>
          <w:p>
            <w:pPr>
              <w:spacing w:after="0"/>
              <w:rPr>
                <w:sz w:val="12"/>
                <w:szCs w:val="12"/>
                <w:color w:val="auto"/>
              </w:rPr>
            </w:pPr>
          </w:p>
        </w:tc>
        <w:tc>
          <w:tcPr>
            <w:tcW w:w="1020" w:type="dxa"/>
            <w:vAlign w:val="bottom"/>
          </w:tcPr>
          <w:p>
            <w:pPr>
              <w:jc w:val="right"/>
              <w:ind w:right="70"/>
              <w:spacing w:after="0" w:line="140" w:lineRule="exact"/>
              <w:rPr>
                <w:sz w:val="20"/>
                <w:szCs w:val="20"/>
                <w:color w:val="auto"/>
              </w:rPr>
            </w:pPr>
            <w:r>
              <w:rPr>
                <w:rFonts w:ascii="Arial" w:cs="Arial" w:eastAsia="Arial" w:hAnsi="Arial"/>
                <w:sz w:val="13"/>
                <w:szCs w:val="13"/>
                <w:b w:val="1"/>
                <w:bCs w:val="1"/>
                <w:color w:val="auto"/>
                <w:w w:val="92"/>
              </w:rPr>
              <w:t>Noncontrolling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0"/>
              <w:spacing w:after="0" w:line="110" w:lineRule="exact"/>
              <w:rPr>
                <w:sz w:val="20"/>
                <w:szCs w:val="20"/>
                <w:color w:val="auto"/>
              </w:rPr>
            </w:pPr>
            <w:r>
              <w:rPr>
                <w:rFonts w:ascii="Arial" w:cs="Arial" w:eastAsia="Arial" w:hAnsi="Arial"/>
                <w:sz w:val="12"/>
                <w:szCs w:val="12"/>
                <w:b w:val="1"/>
                <w:bCs w:val="1"/>
                <w:color w:val="auto"/>
              </w:rPr>
              <w:t>Excess of</w:t>
            </w:r>
          </w:p>
        </w:tc>
        <w:tc>
          <w:tcPr>
            <w:tcW w:w="240" w:type="dxa"/>
            <w:vAlign w:val="bottom"/>
          </w:tcPr>
          <w:p>
            <w:pPr>
              <w:spacing w:after="0"/>
              <w:rPr>
                <w:sz w:val="9"/>
                <w:szCs w:val="9"/>
                <w:color w:val="auto"/>
              </w:rPr>
            </w:pPr>
          </w:p>
        </w:tc>
        <w:tc>
          <w:tcPr>
            <w:tcW w:w="68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9"/>
                <w:szCs w:val="9"/>
                <w:color w:val="auto"/>
              </w:rPr>
            </w:pPr>
          </w:p>
        </w:tc>
        <w:tc>
          <w:tcPr>
            <w:tcW w:w="108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920" w:type="dxa"/>
            <w:vAlign w:val="bottom"/>
          </w:tcPr>
          <w:p>
            <w:pPr>
              <w:jc w:val="right"/>
              <w:ind w:right="71"/>
              <w:spacing w:after="0" w:line="110" w:lineRule="exact"/>
              <w:rPr>
                <w:sz w:val="20"/>
                <w:szCs w:val="20"/>
                <w:color w:val="auto"/>
              </w:rPr>
            </w:pPr>
            <w:r>
              <w:rPr>
                <w:rFonts w:ascii="Arial" w:cs="Arial" w:eastAsia="Arial" w:hAnsi="Arial"/>
                <w:sz w:val="12"/>
                <w:szCs w:val="12"/>
                <w:b w:val="1"/>
                <w:bCs w:val="1"/>
                <w:color w:val="auto"/>
                <w:w w:val="95"/>
              </w:rPr>
              <w:t>Shareholders'</w:t>
            </w:r>
          </w:p>
        </w:tc>
        <w:tc>
          <w:tcPr>
            <w:tcW w:w="220" w:type="dxa"/>
            <w:vAlign w:val="bottom"/>
          </w:tcPr>
          <w:p>
            <w:pPr>
              <w:spacing w:after="0"/>
              <w:rPr>
                <w:sz w:val="9"/>
                <w:szCs w:val="9"/>
                <w:color w:val="auto"/>
              </w:rPr>
            </w:pPr>
          </w:p>
        </w:tc>
        <w:tc>
          <w:tcPr>
            <w:tcW w:w="1020" w:type="dxa"/>
            <w:vAlign w:val="bottom"/>
          </w:tcPr>
          <w:p>
            <w:pPr>
              <w:jc w:val="right"/>
              <w:ind w:right="70"/>
              <w:spacing w:after="0" w:line="110" w:lineRule="exact"/>
              <w:rPr>
                <w:sz w:val="20"/>
                <w:szCs w:val="20"/>
                <w:color w:val="auto"/>
              </w:rPr>
            </w:pPr>
            <w:r>
              <w:rPr>
                <w:rFonts w:ascii="Arial" w:cs="Arial" w:eastAsia="Arial" w:hAnsi="Arial"/>
                <w:sz w:val="12"/>
                <w:szCs w:val="12"/>
                <w:b w:val="1"/>
                <w:bCs w:val="1"/>
                <w:color w:val="auto"/>
              </w:rPr>
              <w:t>Interest</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Par Value</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93"/>
              </w:rPr>
              <w:t>Earnings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Equity</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70"/>
        </w:trPr>
        <w:tc>
          <w:tcPr>
            <w:tcW w:w="3100" w:type="dxa"/>
            <w:vAlign w:val="bottom"/>
          </w:tcPr>
          <w:p>
            <w:pPr>
              <w:ind w:left="500"/>
              <w:spacing w:after="0"/>
              <w:rPr>
                <w:sz w:val="20"/>
                <w:szCs w:val="20"/>
                <w:color w:val="auto"/>
              </w:rPr>
            </w:pPr>
            <w:r>
              <w:rPr>
                <w:rFonts w:ascii="Arial" w:cs="Arial" w:eastAsia="Arial" w:hAnsi="Arial"/>
                <w:sz w:val="14"/>
                <w:szCs w:val="14"/>
                <w:color w:val="auto"/>
              </w:rPr>
              <w:t>Balance as of December 31, 2014</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496.4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1,412.0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(59.2)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1,849.9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9.5</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1,859.4</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124.5</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124.5</w:t>
            </w:r>
          </w:p>
        </w:tc>
        <w:tc>
          <w:tcPr>
            <w:tcW w:w="2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Investment by noncontrolling interest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Distribution of noncontrolling interest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rPr>
              <w:t>Amortization of share-based payment</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13.0</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Issuance of common stock related to</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share-based payment awards</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ind w:left="620"/>
              <w:spacing w:after="0" w:line="157" w:lineRule="exact"/>
              <w:rPr>
                <w:sz w:val="20"/>
                <w:szCs w:val="20"/>
                <w:color w:val="auto"/>
              </w:rPr>
            </w:pPr>
            <w:r>
              <w:rPr>
                <w:rFonts w:ascii="Arial" w:cs="Arial" w:eastAsia="Arial" w:hAnsi="Arial"/>
                <w:sz w:val="14"/>
                <w:szCs w:val="14"/>
                <w:color w:val="auto"/>
                <w:w w:val="96"/>
              </w:rPr>
              <w:t>Purchases of common stock tendered by</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rPr>
              <w:t>employees to satisfy the required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ind w:left="620"/>
              <w:spacing w:after="0" w:line="149" w:lineRule="exact"/>
              <w:rPr>
                <w:sz w:val="20"/>
                <w:szCs w:val="20"/>
                <w:color w:val="auto"/>
              </w:rPr>
            </w:pPr>
            <w:r>
              <w:rPr>
                <w:rFonts w:ascii="Arial" w:cs="Arial" w:eastAsia="Arial" w:hAnsi="Arial"/>
                <w:sz w:val="14"/>
                <w:szCs w:val="14"/>
                <w:color w:val="auto"/>
                <w:w w:val="97"/>
              </w:rPr>
              <w:t>withholding taxes related to share-based</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620"/>
              <w:spacing w:after="0"/>
              <w:rPr>
                <w:sz w:val="20"/>
                <w:szCs w:val="20"/>
                <w:color w:val="auto"/>
              </w:rPr>
            </w:pPr>
            <w:r>
              <w:rPr>
                <w:rFonts w:ascii="Arial" w:cs="Arial" w:eastAsia="Arial" w:hAnsi="Arial"/>
                <w:sz w:val="14"/>
                <w:szCs w:val="14"/>
                <w:color w:val="auto"/>
              </w:rPr>
              <w:t>payment awards</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(6.8)</w:t>
            </w:r>
          </w:p>
        </w:tc>
        <w:tc>
          <w:tcPr>
            <w:tcW w:w="24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1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(70.5)</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64"/>
        </w:trPr>
        <w:tc>
          <w:tcPr>
            <w:tcW w:w="3100" w:type="dxa"/>
            <w:vAlign w:val="bottom"/>
          </w:tcPr>
          <w:p>
            <w:pPr>
              <w:ind w:left="620"/>
              <w:spacing w:after="0"/>
              <w:rPr>
                <w:sz w:val="20"/>
                <w:szCs w:val="20"/>
                <w:color w:val="auto"/>
              </w:rPr>
            </w:pPr>
            <w:r>
              <w:rPr>
                <w:rFonts w:ascii="Arial" w:cs="Arial" w:eastAsia="Arial" w:hAnsi="Arial"/>
                <w:sz w:val="14"/>
                <w:szCs w:val="14"/>
                <w:color w:val="auto"/>
              </w:rPr>
              <w:t>Other comprehensive (loss)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(43.8)</w:t>
            </w:r>
          </w:p>
        </w:tc>
        <w:tc>
          <w:tcPr>
            <w:tcW w:w="20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(43.8)</w:t>
            </w:r>
          </w:p>
        </w:tc>
        <w:tc>
          <w:tcPr>
            <w:tcW w:w="22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Balance as of September 30, 2015</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431.9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1,523.9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1,853.5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1,864.4</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276"/>
        </w:trPr>
        <w:tc>
          <w:tcPr>
            <w:tcW w:w="74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124.4</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121.0</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47.0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Gain on sale of held for sale assets and liabilities</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 provision (benefit)</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Extinguishment of liabilities, net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Foreign currency losses, net</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261.9</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22.6</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Short-term derivative assets, net</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119.0</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93.9</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(213.4)</w:t>
            </w: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70"/>
        </w:trPr>
        <w:tc>
          <w:tcPr>
            <w:tcW w:w="74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7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74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204.3</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220.3</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325.2</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Proceeds from sale of business</w:t>
            </w:r>
          </w:p>
        </w:tc>
        <w:tc>
          <w:tcPr>
            <w:tcW w:w="7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(259.2)</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2,810.6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4,169.0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(2,451.1)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(3,977.6)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senior revolving credit facility and senior term loan facility loan costs</w:t>
            </w:r>
          </w:p>
        </w:tc>
        <w:tc>
          <w:tcPr>
            <w:tcW w:w="7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Dividends paid on common stock</w:t>
            </w:r>
          </w:p>
        </w:tc>
        <w:tc>
          <w:tcPr>
            <w:tcW w:w="720" w:type="dxa"/>
            <w:vAlign w:val="bottom"/>
          </w:tcPr>
          <w:p>
            <w:pPr>
              <w:spacing w:after="0"/>
              <w:rPr>
                <w:sz w:val="22"/>
                <w:szCs w:val="22"/>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4"/>
              </w:rPr>
              <w:t>Federal and state tax benefits resulting from tax deductions in excess of the compensation cost recognized for share-based</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payment awards</w:t>
            </w:r>
          </w:p>
        </w:tc>
        <w:tc>
          <w:tcPr>
            <w:tcW w:w="72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 tendered by employees to satisfy the required withholding taxes related to share-based</w:t>
            </w:r>
          </w:p>
        </w:tc>
        <w:tc>
          <w:tcPr>
            <w:tcW w:w="7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awards</w:t>
            </w: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64"/>
        </w:trPr>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7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325.7</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99.9</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7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307.3</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7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582.5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302.3</w:t>
            </w:r>
          </w:p>
        </w:tc>
      </w:tr>
      <w:tr>
        <w:trPr>
          <w:trHeight w:val="264"/>
        </w:trPr>
        <w:tc>
          <w:tcPr>
            <w:tcW w:w="7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end of period</w:t>
            </w: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872.3</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609.6</w:t>
            </w: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2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273"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dividends declared, but not yet paid, were $4.2 million as of September 30, 2016 and $4.2 million as of September 30, 2015.</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Prior to the acquisition of the remaining 49% of the outstanding equity interest of Tobras Distribuidora de Combustiveis Limitada (“Tobras”) from the minority owners, the Company completed a $17.7 million non-cash settlement related to two promissory notes outstanding between the Company and Tobras which were offset and settled.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proceeds from the sale of fixed assets for the nine months ended September 30, 2015 were in connection with a sale-leaseback arrangement.</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connection with our acquisitions, the following table presents the assets acquired, net of cash and liabilities assumed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For the Nine Months Ended</w:t>
            </w:r>
          </w:p>
        </w:tc>
        <w:tc>
          <w:tcPr>
            <w:tcW w:w="1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03"/>
        </w:trPr>
        <w:tc>
          <w:tcPr>
            <w:tcW w:w="7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 2015</w:t>
            </w:r>
          </w:p>
        </w:tc>
      </w:tr>
      <w:tr>
        <w:trPr>
          <w:trHeight w:val="26"/>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 acquired, net of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321.6</w:t>
            </w: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r>
      <w:tr>
        <w:trPr>
          <w:trHeight w:val="270"/>
        </w:trPr>
        <w:tc>
          <w:tcPr>
            <w:tcW w:w="7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c>
          <w:tcPr>
            <w:tcW w:w="4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prepared the consolidated financial statements following the requirements of the Unites States (U.S.)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 Unless the context requires otherwise, references to “World Fuel”, “the Company”, “we”, “us”, or “our” in this Quarterly Report on Form 10-Q (“10-Q Report”) refer to World Fuel Services Corporation and its subsidiaries.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As further discussed in Note 2, certain 2015 amounts contained in this 10-Q Report have been updated to reflect corrections to our previously issued financial statements. In the opinion of management, all adjustments necessary for a fair statement of the financial information, which are of a normal and recurring nature, have been made for the interim periods reported. The information included in this 10-Q Report should be read in conjunction with the consolidated financial statements and accompanying notes included in our 2015 Annual Report on Form 10-K (“2015 10-K Report”). Certain amounts in the consolidated financial statements and associated notes may not add due to rounding. All percentages have been calculated using unrounded amounts.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The significant accounting policies we use for quarterly financial reporting are disclosed in Note 1 of the “Notes to the Consolidated Financial Statements” included in our 2015 10</w:t>
      </w:r>
      <w:r>
        <w:rPr>
          <w:rFonts w:ascii="MS PGothic" w:cs="MS PGothic" w:eastAsia="MS PGothic" w:hAnsi="MS PGothic"/>
          <w:sz w:val="18"/>
          <w:szCs w:val="18"/>
          <w:color w:val="auto"/>
        </w:rPr>
        <w:t>‑</w:t>
      </w:r>
      <w:r>
        <w:rPr>
          <w:rFonts w:ascii="Arial" w:cs="Arial" w:eastAsia="Arial" w:hAnsi="Arial"/>
          <w:sz w:val="18"/>
          <w:szCs w:val="18"/>
          <w:color w:val="auto"/>
        </w:rPr>
        <w:t>K Report, and as updated in our 10-Q Report for the quarter ended March 31, 2016, “Item 2. Management’s Discussion and Analysis of Financial Condition”.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accounting standards updates were recently adopted by the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Business Combinations: Simplifying the Accounting for Measurement – Period Adjustments. In September 2015, the Financial Accounting Standards Board (‘FASB”) issued an Accounting Standards Update (“ASU”), to simplify the accounting for adjustments made to provisional amounts recognized in a business combination; the amendments eliminate the requirement to retrospectively account for those adjustments. The ASU requires that an acquirer recognize adjustments to provisional amounts that are identified during the measurement period in the reporting period in which the adjustment amounts are determined. It also requires the acquirer to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became effective at the beginning of our 2016 fiscal year. The adoption of this ASU did not have a significant impact on our consolidated financial statements and disclosures.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Interest—Imputation of Interest: Simplifying the Presentation of Debt Issuance Costs. In April 2015, the FASB issued an ASU which 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became effective at the beginning of our 2016 fiscal year. The adoption of this ASU did not have a significant impact on our consolidated financial statements and disclosures.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Consolidation: Amendments to the Consolidation Analysis. In February 2015, the FASB issued an ASU which is intended to improve targeted areas of consolidation guidance for legal entities such as limited partnerships, limited liability corporations, and securitization structures. This update became effective at the beginning of our 2016 fiscal year. The adoption of this ASU did not have a significant impact on our consolidated financial statements and disclosures.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Income Statement-Extraordinary and Unusual Items: Simplifying Income Statement Presentation by Eliminating the Concept of Extraordinary Items. In January 2015, the FASB issued an ASU which eliminates the concept of extraordinary items. This update became effective at the beginning of our 2016 fiscal year. The adoption of this ASU did not have a significant impact on our consolidated financial statements and disclosures.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Derivatives and Hedging: Determining Whether the Host Contract in a Hybrid Financial Instrument Issued in the Form of a Share Is More Akin to Debt or to Equity. In November 2014, the FASB issued an ASU which clarifies how current generally accepted accounting principles in the United States should be interpreted in evaluating the economic characteristics and risks of a host contract in a hybrid financial instrument that is issued in the form of a share. This update became effective at the beginning of our 2016 fiscal year. The adoption of this ASU did not have a significant impact on our consolidated financial statements and disclosures.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Going Concern: In August 2014, the FASB issued an ASU 2014-15, Presentation of Financial Statements-Going Concern: Disclosure of Uncertainties about an Entity’s Ability to Continue as a Going Concern, which requires management of the Company to evaluate whether there is substantial doubt about the Company’s ability to continue as a going concern. This update is effective for the annual period ending after December 15, 2016, and for annual and interim periods thereafter. We do not believe the adoption of this new guidance will have an impact on our financial statement disclosures.</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Compensation - Stock Compensation: Accounting for Share-Based Payments when the Terms of an Award Provide that a Performance Target could be Achieved after the Requisite Service Period. In June 2014, the FASB issued an ASU which includes guidance that requires a performance target that affects vesting and that could be achieved after the requisite service period to be treated as a performance condition. This update became effective at the beginning of our 2016 fiscal year. The adoption of this ASU did not have a significant impact on our consolidated financial statements and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Correction of Previously Issued Financial Information</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second quarter of 2016, we identified a correction to our provision for income taxes for certain prior periods, due to the accounting for the tax effects of foreign currency translation changes on intercompany loans that are considered to be of a long-term investment nature. The Company determined that it had incorrectly applied the accounting guidance in ASC 740, Income Taxes and recorded a deferred tax asset related to foreign currency translation losses in the provision for income taxes, resulting in the Company reporting a lower provision for income taxes in the periods that were impacted.</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accordance with Staff Accounting Bulletin (“SAB”)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SAB No. 108, </w:t>
      </w:r>
      <w:r>
        <w:rPr>
          <w:rFonts w:ascii="Arial" w:cs="Arial" w:eastAsia="Arial" w:hAnsi="Arial"/>
          <w:sz w:val="16"/>
          <w:szCs w:val="16"/>
          <w:i w:val="1"/>
          <w:iCs w:val="1"/>
          <w:color w:val="auto"/>
        </w:rPr>
        <w:t>Considering the Effects of Prior Year Misstatements when</w:t>
      </w:r>
      <w:r>
        <w:rPr>
          <w:rFonts w:ascii="Arial" w:cs="Arial" w:eastAsia="Arial" w:hAnsi="Arial"/>
          <w:sz w:val="16"/>
          <w:szCs w:val="16"/>
          <w:color w:val="auto"/>
        </w:rPr>
        <w:t xml:space="preserve"> </w:t>
      </w:r>
      <w:r>
        <w:rPr>
          <w:rFonts w:ascii="Arial" w:cs="Arial" w:eastAsia="Arial" w:hAnsi="Arial"/>
          <w:sz w:val="16"/>
          <w:szCs w:val="16"/>
          <w:i w:val="1"/>
          <w:iCs w:val="1"/>
          <w:color w:val="auto"/>
        </w:rPr>
        <w:t>Quantifying Misstatements in Current Year Financial Statements</w:t>
      </w:r>
      <w:r>
        <w:rPr>
          <w:rFonts w:ascii="Arial" w:cs="Arial" w:eastAsia="Arial" w:hAnsi="Arial"/>
          <w:sz w:val="16"/>
          <w:szCs w:val="16"/>
          <w:color w:val="auto"/>
        </w:rPr>
        <w:t>, management evaluated the materiality of the error from qualitative and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perspectives, and concluded the error was not material to its previously issued annual and interim financial statements. The cumulative amounts of the corrections were approximately $20.0 million, of which approximately $12.5 million was attributable to the year ended December 31, 2015. The cumulative amount of the prior period adjustments would have been material to our Statement of Income and Comprehensive Income for the quarter ended June 30, 2016, had we made the correction in that period. Accordingly, we have revised our previously issued financial statements prospectively to correct these errors.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corrections associated with the provision for income taxes line items as well as other immaterial adjustments are reflected in this 10-Q Report for all periods presented and those corrections will be reflected in our future fillings.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of the correction on the previously reported consolidated balance sheet as of December 31, 2015 and the statements of income and comprehensive income for the three and nine months ended September 30,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 2015</w:t>
            </w:r>
          </w:p>
        </w:tc>
      </w:tr>
      <w:tr>
        <w:trPr>
          <w:trHeight w:val="264"/>
        </w:trPr>
        <w:tc>
          <w:tcPr>
            <w:tcW w:w="7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 Reported</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Adjustment</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Revised</w:t>
            </w:r>
          </w:p>
        </w:tc>
      </w:tr>
      <w:tr>
        <w:trPr>
          <w:trHeight w:val="258"/>
        </w:trPr>
        <w:tc>
          <w:tcPr>
            <w:tcW w:w="7320" w:type="dxa"/>
            <w:vAlign w:val="bottom"/>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582.5</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582.5</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1,812.6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1,812.6</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359.1</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359.1</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57.9</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227.2</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209.8</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208.0</w:t>
            </w:r>
          </w:p>
        </w:tc>
      </w:tr>
      <w:tr>
        <w:trPr>
          <w:trHeight w:val="270"/>
        </w:trPr>
        <w:tc>
          <w:tcPr>
            <w:tcW w:w="7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Current assets held for sale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5.5</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732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3,254.6</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3,246.0</w:t>
            </w:r>
          </w:p>
        </w:tc>
      </w:tr>
      <w:tr>
        <w:trPr>
          <w:trHeight w:val="276"/>
        </w:trPr>
        <w:tc>
          <w:tcPr>
            <w:tcW w:w="7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225.6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225.6</w:t>
            </w:r>
          </w:p>
        </w:tc>
      </w:tr>
      <w:tr>
        <w:trPr>
          <w:trHeight w:val="27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675.8</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675.8</w:t>
            </w: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356.9</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341.4</w:t>
            </w:r>
          </w:p>
        </w:tc>
      </w:tr>
      <w:tr>
        <w:trPr>
          <w:trHeight w:val="270"/>
        </w:trPr>
        <w:tc>
          <w:tcPr>
            <w:tcW w:w="7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Non-current assets held for sale</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36.5</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304"/>
        </w:trPr>
        <w:tc>
          <w:tcPr>
            <w:tcW w:w="7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4,549.4</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4,525.3</w:t>
            </w:r>
          </w:p>
        </w:tc>
      </w:tr>
      <w:tr>
        <w:trPr>
          <w:trHeight w:val="257"/>
        </w:trPr>
        <w:tc>
          <w:tcPr>
            <w:tcW w:w="7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Short-term debt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25.5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25.5</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1,349.6</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1,349.6</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Customer deposits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118.3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118.3</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263.8</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255.2</w:t>
            </w:r>
          </w:p>
        </w:tc>
      </w:tr>
      <w:tr>
        <w:trPr>
          <w:trHeight w:val="264"/>
        </w:trPr>
        <w:tc>
          <w:tcPr>
            <w:tcW w:w="7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Current liabilities held for sale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5.6</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70"/>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1,762.8</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1,754.2</w:t>
            </w:r>
          </w:p>
        </w:tc>
      </w:tr>
      <w:tr>
        <w:trPr>
          <w:trHeight w:val="270"/>
        </w:trPr>
        <w:tc>
          <w:tcPr>
            <w:tcW w:w="7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746.7</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746.7</w:t>
            </w: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Non-current income tax liabilities, net</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87.7</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87.7</w:t>
            </w:r>
          </w:p>
        </w:tc>
      </w:tr>
      <w:tr>
        <w:trPr>
          <w:trHeight w:val="276"/>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25.8</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Non-current liabilities held for sale</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5.0</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r>
      <w:tr>
        <w:trPr>
          <w:trHeight w:val="264"/>
        </w:trPr>
        <w:tc>
          <w:tcPr>
            <w:tcW w:w="73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2,628.0</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2,619.4</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97"/>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World Fuel shareholders' equity:</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Common stock, $0.01 par value; 100 shares authorized, 70.8 issued and outstanding as of December 31, 2015</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0.7</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435.3</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435.3</w:t>
            </w:r>
          </w:p>
        </w:tc>
      </w:tr>
      <w:tr>
        <w:trPr>
          <w:trHeight w:val="264"/>
        </w:trPr>
        <w:tc>
          <w:tcPr>
            <w:tcW w:w="732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1,588.6</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1,569.4</w:t>
            </w:r>
          </w:p>
        </w:tc>
      </w:tr>
      <w:tr>
        <w:trPr>
          <w:trHeight w:val="270"/>
        </w:trPr>
        <w:tc>
          <w:tcPr>
            <w:tcW w:w="7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(113.2)</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r>
      <w:tr>
        <w:trPr>
          <w:trHeight w:val="264"/>
        </w:trPr>
        <w:tc>
          <w:tcPr>
            <w:tcW w:w="7320" w:type="dxa"/>
            <w:vAlign w:val="bottom"/>
          </w:tcPr>
          <w:p>
            <w:pPr>
              <w:ind w:left="280"/>
              <w:spacing w:after="0"/>
              <w:rPr>
                <w:sz w:val="20"/>
                <w:szCs w:val="20"/>
                <w:color w:val="auto"/>
              </w:rPr>
            </w:pPr>
            <w:r>
              <w:rPr>
                <w:rFonts w:ascii="Arial" w:cs="Arial" w:eastAsia="Arial" w:hAnsi="Arial"/>
                <w:sz w:val="14"/>
                <w:szCs w:val="14"/>
                <w:color w:val="auto"/>
              </w:rPr>
              <w:t>Total World Fuel shareholders' equity</w:t>
            </w:r>
          </w:p>
        </w:tc>
        <w:tc>
          <w:tcPr>
            <w:tcW w:w="180" w:type="dxa"/>
            <w:vAlign w:val="bottom"/>
          </w:tcPr>
          <w:p>
            <w:pPr>
              <w:spacing w:after="0"/>
              <w:rPr>
                <w:sz w:val="22"/>
                <w:szCs w:val="22"/>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1,911.4</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1,895.9</w:t>
            </w:r>
          </w:p>
        </w:tc>
      </w:tr>
      <w:tr>
        <w:trPr>
          <w:trHeight w:val="270"/>
        </w:trPr>
        <w:tc>
          <w:tcPr>
            <w:tcW w:w="7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10.0</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64"/>
        </w:trPr>
        <w:tc>
          <w:tcPr>
            <w:tcW w:w="73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1,921.4</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1,905.9</w:t>
            </w:r>
          </w:p>
        </w:tc>
      </w:tr>
      <w:tr>
        <w:trPr>
          <w:trHeight w:val="264"/>
        </w:trPr>
        <w:tc>
          <w:tcPr>
            <w:tcW w:w="73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4,549.4</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4,525.3</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7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07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276"/>
        </w:trPr>
        <w:tc>
          <w:tcPr>
            <w:tcW w:w="4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 2015</w:t>
            </w:r>
          </w:p>
        </w:tc>
      </w:tr>
      <w:tr>
        <w:trPr>
          <w:trHeight w:val="264"/>
        </w:trPr>
        <w:tc>
          <w:tcPr>
            <w:tcW w:w="44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Revised</w:t>
            </w: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As Reported</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Revised</w:t>
            </w:r>
          </w:p>
        </w:tc>
      </w:tr>
      <w:tr>
        <w:trPr>
          <w:trHeight w:val="270"/>
        </w:trPr>
        <w:tc>
          <w:tcPr>
            <w:tcW w:w="4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7,810.7</w:t>
            </w:r>
          </w:p>
        </w:tc>
        <w:tc>
          <w:tcPr>
            <w:tcW w:w="1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7,810.7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23,647.8</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23,647.8</w:t>
            </w: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7,584.0</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7,584.0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23,015.2</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23,017.1</w:t>
            </w:r>
          </w:p>
        </w:tc>
      </w:tr>
      <w:tr>
        <w:trPr>
          <w:trHeight w:val="264"/>
        </w:trPr>
        <w:tc>
          <w:tcPr>
            <w:tcW w:w="4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226.7</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632.6</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630.7</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94.2</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270.5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270.3</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1.6</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5.2</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0"/>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64.5</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177.6</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r>
      <w:tr>
        <w:trPr>
          <w:trHeight w:val="264"/>
        </w:trPr>
        <w:tc>
          <w:tcPr>
            <w:tcW w:w="4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160.3</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453.3</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455.1</w:t>
            </w:r>
          </w:p>
        </w:tc>
      </w:tr>
      <w:tr>
        <w:trPr>
          <w:trHeight w:val="264"/>
        </w:trPr>
        <w:tc>
          <w:tcPr>
            <w:tcW w:w="4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66.4</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179.3</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Non-operating expenses, net: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(7.9)</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(21.5)</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64"/>
        </w:trPr>
        <w:tc>
          <w:tcPr>
            <w:tcW w:w="4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1.9</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0.5</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64"/>
        </w:trPr>
        <w:tc>
          <w:tcPr>
            <w:tcW w:w="44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(6.0)</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60.4</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158.3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154.6</w:t>
            </w:r>
          </w:p>
        </w:tc>
      </w:tr>
      <w:tr>
        <w:trPr>
          <w:trHeight w:val="270"/>
        </w:trPr>
        <w:tc>
          <w:tcPr>
            <w:tcW w:w="4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11.8</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26.8</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48.6</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131.5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121.0</w:t>
            </w:r>
          </w:p>
        </w:tc>
      </w:tr>
      <w:tr>
        <w:trPr>
          <w:trHeight w:val="270"/>
        </w:trPr>
        <w:tc>
          <w:tcPr>
            <w:tcW w:w="4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(1.0)</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World Fuel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49.6</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135.1</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0.71</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1.92</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weighted average common shares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70.0</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70.5</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0.71</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1.90</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70.3</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71.0</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r>
      <w:tr>
        <w:trPr>
          <w:trHeight w:val="257"/>
        </w:trPr>
        <w:tc>
          <w:tcPr>
            <w:tcW w:w="4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48.6</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131.5</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0"/>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(31.0)</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(42.8)</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r>
      <w:tr>
        <w:trPr>
          <w:trHeight w:val="156"/>
        </w:trPr>
        <w:tc>
          <w:tcPr>
            <w:tcW w:w="4480" w:type="dxa"/>
            <w:vAlign w:val="bottom"/>
          </w:tcPr>
          <w:p>
            <w:pPr>
              <w:ind w:left="180"/>
              <w:spacing w:after="0" w:line="157" w:lineRule="exact"/>
              <w:rPr>
                <w:sz w:val="20"/>
                <w:szCs w:val="20"/>
                <w:color w:val="auto"/>
              </w:rPr>
            </w:pPr>
            <w:r>
              <w:rPr>
                <w:rFonts w:ascii="Arial" w:cs="Arial" w:eastAsia="Arial" w:hAnsi="Arial"/>
                <w:sz w:val="14"/>
                <w:szCs w:val="14"/>
                <w:color w:val="auto"/>
              </w:rPr>
              <w:t>Derivative instruments, net of income tax benefit of $0.7 for the three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4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and nine months ended September 30, 2015, respectively</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44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(32.1)</w:t>
            </w:r>
          </w:p>
        </w:tc>
        <w:tc>
          <w:tcPr>
            <w:tcW w:w="1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(43.9)</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240" w:type="dxa"/>
            <w:vAlign w:val="bottom"/>
          </w:tcPr>
          <w:p>
            <w:pPr>
              <w:spacing w:after="0"/>
              <w:rPr>
                <w:sz w:val="22"/>
                <w:szCs w:val="22"/>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16.5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87.6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81.9</w:t>
            </w:r>
          </w:p>
        </w:tc>
      </w:tr>
      <w:tr>
        <w:trPr>
          <w:trHeight w:val="270"/>
        </w:trPr>
        <w:tc>
          <w:tcPr>
            <w:tcW w:w="4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1.1</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15.4</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86.6</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7500" w:hanging="332"/>
        <w:spacing w:after="0" w:line="503" w:lineRule="auto"/>
        <w:tabs>
          <w:tab w:leader="none" w:pos="19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Assets and Liabilities Held for Sale 2016 Acquisitions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completed the acquisition of all of the outstanding capital stock of PAPCO, Inc. (“PAPCO”) and Associated Petroleum Products, Inc (“APP”). PAPCO, headquartered in Virginia Beach, VA and APP, headquartered in Tacoma, WA are leading distributors of gasoline, diesel, lubricants, propane and related services in the Mid-Atlantic and the Pacific Northwest region of the United States, respectively. These acquisitions combined with the Company’s existing land segment operations, will serve to further enhance our commercial and industrial platforms to deliver value-added solutions to customers across the United States.</w:t>
      </w:r>
    </w:p>
    <w:p>
      <w:pPr>
        <w:sectPr>
          <w:pgSz w:w="11900" w:h="16838" w:orient="portrait"/>
          <w:cols w:equalWidth="0" w:num="1">
            <w:col w:w="11420"/>
          </w:cols>
          <w:pgMar w:left="240" w:top="125" w:right="239" w:bottom="107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07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above acquisitions, we completed five acquisitions in our land segment in the first nine months of 2016 which were not significant individually or in the aggregate.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summarizes the aggregate consideration paid for all 2016 acquisitions and the provisional amounts of the assets acquired and liabilities assumed recognized at the acquisition date. The Company is in the process of finalizing the valuations of certain acquired assets and assumed liabilities; thus, the provisional measurements of these acquired assets and assumed liabilities are subject to change and will be finalized no later than one year from the acquisition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paid for acquisition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due to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 acquired:</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and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 and identifiable intangible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and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Long-term liabilities and deferred tax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purchase price</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44"/>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247.9</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262.4</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39"/>
        </w:trPr>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60.4</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44.2</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172.0</w:t>
            </w:r>
          </w:p>
        </w:tc>
      </w:tr>
      <w:tr>
        <w:trPr>
          <w:trHeight w:val="270"/>
        </w:trPr>
        <w:tc>
          <w:tcPr>
            <w:tcW w:w="10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810"/>
        </w:trPr>
        <w:tc>
          <w:tcPr>
            <w:tcW w:w="10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0"/>
        </w:trPr>
        <w:tc>
          <w:tcPr>
            <w:tcW w:w="10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276"/>
        </w:trPr>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37"/>
        </w:trPr>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262.4</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380"/>
          </w:cols>
          <w:pgMar w:left="240" w:top="125" w:right="239" w:bottom="1440" w:gutter="0" w:footer="0" w:header="0"/>
          <w:type w:val="continuous"/>
        </w:sectPr>
      </w:pPr>
    </w:p>
    <w:p>
      <w:pPr>
        <w:spacing w:after="0" w:line="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of the goodwill was assigned to the land segment and is attributable primarily to the expected synergies and other benefits that we believe will result from combining the operations of PAPCO and APP with the operations of World Fuel Services' land segment. The identifiable intangible assets consists of customer relationships and other identifiable intangible assets.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the unaudited pro forma results for 2016 and 2015 as if 2016 acquisitions had been completed on January 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gridSpan w:val="7"/>
          </w:tcPr>
          <w:p>
            <w:pPr>
              <w:jc w:val="right"/>
              <w:ind w:right="28"/>
              <w:spacing w:after="0"/>
              <w:rPr>
                <w:sz w:val="20"/>
                <w:szCs w:val="20"/>
                <w:color w:val="auto"/>
              </w:rPr>
            </w:pPr>
            <w:r>
              <w:rPr>
                <w:rFonts w:ascii="Arial" w:cs="Arial" w:eastAsia="Arial" w:hAnsi="Arial"/>
                <w:sz w:val="14"/>
                <w:szCs w:val="14"/>
                <w:b w:val="1"/>
                <w:bCs w:val="1"/>
                <w:color w:val="auto"/>
              </w:rPr>
              <w:t>Unaudited Supplemental Pro Forma Consolidated Results</w:t>
            </w: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7,399.8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8,315.4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25,202.0</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World Fuel</w:t>
            </w:r>
          </w:p>
        </w:tc>
        <w:tc>
          <w:tcPr>
            <w:tcW w:w="4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142.3</w:t>
            </w:r>
          </w:p>
        </w:tc>
      </w:tr>
      <w:tr>
        <w:trPr>
          <w:trHeight w:val="330"/>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r>
      <w:tr>
        <w:trPr>
          <w:trHeight w:val="264"/>
        </w:trPr>
        <w:tc>
          <w:tcPr>
            <w:tcW w:w="5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0.61</w:t>
            </w: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2016 acquisitions have been included in our consolidated financial statements since their respective acquisition dates and did not have a significant impact on our revenue and net income for the three and nine months ended September 30, 2016.</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Tobras Distribuidora de Combustiveis Limitada (“Tobras”)</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23, 2016, we acquired the remaining 49% of the outstanding equity interest of Tobras Distribuidora de Combustiveis Limitada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ExxonMobil</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first quarter of 2016, we signed a definitive agreement to acquire from certain ExxonMobil affiliates their aviation fueling operations at more than 80 airport locations in Canada, the United Kingdom, Germany, Italy, France, Australia and New Zealand. The total purchase price is approximately $260 million and is expected to be fully funded with cash on hand. The transaction will close in phases and we expect to complete the Canada, France and U.K. locations during the fourth quarter of 2016. The remaining locations are expected to be completed during the first half of 2017. The transaction is subject to customary regulatory consents and closing conditions, including securing third party consents.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2015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 2015, we completed the acquisition of all of the outstanding stock of Pester Marketing Company (“Pester”), a leading distributor, transporter, and blender of branded motor fuels and lubricants to wholesale, industrial, commercial and agricultural customers. Pester is headquartered in Denver, Colorado and is also a leading operator of retail convenience stores in the Rocky Mountain region.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acquisition, in September 2015, we completed an acquisition in our aviation segment which was not significant.</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presents the unaudited pro forma results for 2015 as if the 2015 acquisitions had been completed on January 1, 2015 (in millions,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980" w:type="dxa"/>
            <w:vAlign w:val="bottom"/>
          </w:tcPr>
          <w:p>
            <w:pPr>
              <w:jc w:val="right"/>
              <w:ind w:right="28"/>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7,948.7</w:t>
            </w:r>
          </w:p>
        </w:tc>
        <w:tc>
          <w:tcPr>
            <w:tcW w:w="340" w:type="dxa"/>
            <w:vAlign w:val="bottom"/>
          </w:tcPr>
          <w:p>
            <w:pPr>
              <w:spacing w:after="0"/>
              <w:rPr>
                <w:sz w:val="21"/>
                <w:szCs w:val="21"/>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24,071.1</w:t>
            </w: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7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139.9</w:t>
            </w:r>
          </w:p>
        </w:tc>
      </w:tr>
      <w:tr>
        <w:trPr>
          <w:trHeight w:val="324"/>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Earnings per common share:</w:t>
            </w:r>
          </w:p>
        </w:tc>
        <w:tc>
          <w:tcPr>
            <w:tcW w:w="7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Basic earnings per common share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48"/>
              <w:spacing w:after="0"/>
              <w:rPr>
                <w:sz w:val="20"/>
                <w:szCs w:val="20"/>
                <w:color w:val="auto"/>
              </w:rPr>
            </w:pPr>
            <w:r>
              <w:rPr>
                <w:rFonts w:ascii="Arial" w:cs="Arial" w:eastAsia="Arial" w:hAnsi="Arial"/>
                <w:sz w:val="14"/>
                <w:szCs w:val="14"/>
                <w:color w:val="auto"/>
              </w:rPr>
              <w:t>0.74</w:t>
            </w:r>
          </w:p>
        </w:tc>
        <w:tc>
          <w:tcPr>
            <w:tcW w:w="340" w:type="dxa"/>
            <w:vAlign w:val="bottom"/>
          </w:tcPr>
          <w:p>
            <w:pPr>
              <w:spacing w:after="0"/>
              <w:rPr>
                <w:sz w:val="22"/>
                <w:szCs w:val="22"/>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1.98</w:t>
            </w:r>
          </w:p>
        </w:tc>
      </w:tr>
      <w:tr>
        <w:trPr>
          <w:trHeight w:val="270"/>
        </w:trPr>
        <w:tc>
          <w:tcPr>
            <w:tcW w:w="56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3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Held for Sale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acquisition of all of the outstanding stock of Pester Marketing Company (“Pester”) on September 1, 2015, we committed to a plan to sell certain assets and liabilities of Pester’s fuel retail business. On May 1, 2016, we completed the sale of Pester’s retail business for $32.3 million, resulting in a gain of $3.8 million, which is included in other income, net in the consolidated statements of income and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commodity contracts we enter into to mitigate the risk of price volatility in forecasted purchases and sales.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entered into to hedge the risk of currency rate fluctuations.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2016, our derivative instruments, at their respective fair value positions were as follows (in millions, except weighted average fixed price and weighted average mark-to-market amount):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Settlement</w:t>
            </w:r>
          </w:p>
        </w:tc>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Mark-to-</w:t>
            </w:r>
          </w:p>
        </w:tc>
        <w:tc>
          <w:tcPr>
            <w:tcW w:w="18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b w:val="1"/>
                <w:bCs w:val="1"/>
                <w:color w:val="auto"/>
              </w:rPr>
              <w:t>Hedge Strategy</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Period</w:t>
            </w:r>
          </w:p>
        </w:tc>
        <w:tc>
          <w:tcPr>
            <w:tcW w:w="310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Derivative Instrument</w:t>
            </w:r>
          </w:p>
        </w:tc>
        <w:tc>
          <w:tcPr>
            <w:tcW w:w="8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b w:val="1"/>
                <w:bCs w:val="1"/>
                <w:color w:val="auto"/>
              </w:rPr>
              <w:t>Notional</w:t>
            </w:r>
          </w:p>
        </w:tc>
        <w:tc>
          <w:tcPr>
            <w:tcW w:w="4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w w:val="95"/>
              </w:rPr>
              <w:t>Unit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Fixed Price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w:t>
            </w: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2.2</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58.523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(3.491)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24"/>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4"/>
                <w:szCs w:val="14"/>
                <w:color w:val="auto"/>
              </w:rPr>
              <w:t>Commodity contracts for firm commitment</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40"/>
              <w:spacing w:after="0"/>
              <w:rPr>
                <w:sz w:val="20"/>
                <w:szCs w:val="20"/>
                <w:color w:val="auto"/>
              </w:rPr>
            </w:pPr>
            <w:r>
              <w:rPr>
                <w:rFonts w:ascii="Arial" w:cs="Arial" w:eastAsia="Arial" w:hAnsi="Arial"/>
                <w:sz w:val="14"/>
                <w:szCs w:val="14"/>
                <w:color w:val="auto"/>
              </w:rPr>
              <w:t>Fair Value Hedge</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hedging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0.3</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57.448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7.489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firm commitment</w:t>
            </w: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hedging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59.095</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7.346</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324"/>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Cash Flow Hedge</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6.7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(0.480)</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59.604</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(6.731)</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324"/>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4"/>
                <w:szCs w:val="14"/>
                <w:color w:val="auto"/>
              </w:rPr>
              <w:t>Non-Designated</w:t>
            </w: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33.4</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34.940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(3.061)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33.7</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34.464</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2.726</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26.8</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29.038</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2.151</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2017</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23.0</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33.297</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2018</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5.1</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18.332</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1.427</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2018</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4.3</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19.216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(0.806)</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2019</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17.327</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0.299</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2019</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0.6</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25.329</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0.614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2020</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0.4</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32.226</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0.285</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2020</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28.724</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0.909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2021</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6"/>
                <w:szCs w:val="16"/>
                <w:color w:val="auto"/>
              </w:rPr>
              <w:t>0.7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18.987</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1.320</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2021</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17.155</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2022</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1.634</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2022</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18.006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(1.404)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2023</w:t>
            </w:r>
          </w:p>
        </w:tc>
        <w:tc>
          <w:tcPr>
            <w:tcW w:w="3100" w:type="dxa"/>
            <w:vAlign w:val="bottom"/>
          </w:tcPr>
          <w:p>
            <w:pPr>
              <w:ind w:left="100"/>
              <w:spacing w:after="0"/>
              <w:rPr>
                <w:sz w:val="20"/>
                <w:szCs w:val="20"/>
                <w:color w:val="auto"/>
              </w:rPr>
            </w:pPr>
            <w:r>
              <w:rPr>
                <w:rFonts w:ascii="Arial" w:cs="Arial" w:eastAsia="Arial" w:hAnsi="Arial"/>
                <w:sz w:val="14"/>
                <w:szCs w:val="14"/>
                <w:color w:val="auto"/>
              </w:rPr>
              <w:t>Commodity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0.7</w:t>
            </w:r>
          </w:p>
        </w:tc>
        <w:tc>
          <w:tcPr>
            <w:tcW w:w="440" w:type="dxa"/>
            <w:vAlign w:val="bottom"/>
          </w:tcPr>
          <w:p>
            <w:pPr>
              <w:ind w:left="120"/>
              <w:spacing w:after="0"/>
              <w:rPr>
                <w:sz w:val="20"/>
                <w:szCs w:val="20"/>
                <w:color w:val="auto"/>
              </w:rPr>
            </w:pPr>
            <w:r>
              <w:rPr>
                <w:rFonts w:ascii="Arial" w:cs="Arial" w:eastAsia="Arial" w:hAnsi="Arial"/>
                <w:sz w:val="14"/>
                <w:szCs w:val="14"/>
                <w:color w:val="auto"/>
              </w:rPr>
              <w:t>BBL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1.973</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2023</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(short)</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18.916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(1.701)</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Foreign currency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8.0</w:t>
            </w:r>
          </w:p>
        </w:tc>
        <w:tc>
          <w:tcPr>
            <w:tcW w:w="440" w:type="dxa"/>
            <w:vAlign w:val="bottom"/>
          </w:tcPr>
          <w:p>
            <w:pPr>
              <w:ind w:left="120"/>
              <w:spacing w:after="0"/>
              <w:rPr>
                <w:sz w:val="20"/>
                <w:szCs w:val="20"/>
                <w:color w:val="auto"/>
              </w:rPr>
            </w:pPr>
            <w:r>
              <w:rPr>
                <w:rFonts w:ascii="Arial" w:cs="Arial" w:eastAsia="Arial" w:hAnsi="Arial"/>
                <w:sz w:val="14"/>
                <w:szCs w:val="14"/>
                <w:color w:val="auto"/>
              </w:rPr>
              <w:t>AED</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3.676</w:t>
            </w:r>
          </w:p>
        </w:tc>
        <w:tc>
          <w:tcPr>
            <w:tcW w:w="240" w:type="dxa"/>
            <w:vAlign w:val="bottom"/>
          </w:tcPr>
          <w:p>
            <w:pPr>
              <w:spacing w:after="0"/>
              <w:rPr>
                <w:sz w:val="22"/>
                <w:szCs w:val="22"/>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 (long)</w:t>
            </w:r>
          </w:p>
        </w:tc>
        <w:tc>
          <w:tcPr>
            <w:tcW w:w="8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8.3</w:t>
            </w:r>
          </w:p>
        </w:tc>
        <w:tc>
          <w:tcPr>
            <w:tcW w:w="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AUD</w:t>
            </w: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0.752</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(0.024)</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3100" w:type="dxa"/>
            <w:vAlign w:val="bottom"/>
          </w:tcPr>
          <w:p>
            <w:pPr>
              <w:ind w:left="100"/>
              <w:spacing w:after="0"/>
              <w:rPr>
                <w:sz w:val="20"/>
                <w:szCs w:val="20"/>
                <w:color w:val="auto"/>
              </w:rPr>
            </w:pPr>
            <w:r>
              <w:rPr>
                <w:rFonts w:ascii="Arial" w:cs="Arial" w:eastAsia="Arial" w:hAnsi="Arial"/>
                <w:sz w:val="14"/>
                <w:szCs w:val="14"/>
                <w:color w:val="auto"/>
              </w:rPr>
              <w:t>Foreign currency contracts (long)</w:t>
            </w:r>
          </w:p>
        </w:tc>
        <w:tc>
          <w:tcPr>
            <w:tcW w:w="820" w:type="dxa"/>
            <w:vAlign w:val="bottom"/>
          </w:tcPr>
          <w:p>
            <w:pPr>
              <w:jc w:val="right"/>
              <w:ind w:right="67"/>
              <w:spacing w:after="0"/>
              <w:rPr>
                <w:sz w:val="20"/>
                <w:szCs w:val="20"/>
                <w:color w:val="auto"/>
              </w:rPr>
            </w:pPr>
            <w:r>
              <w:rPr>
                <w:rFonts w:ascii="Arial" w:cs="Arial" w:eastAsia="Arial" w:hAnsi="Arial"/>
                <w:sz w:val="14"/>
                <w:szCs w:val="14"/>
                <w:color w:val="auto"/>
              </w:rPr>
              <w:t>0.3</w:t>
            </w:r>
          </w:p>
        </w:tc>
        <w:tc>
          <w:tcPr>
            <w:tcW w:w="440" w:type="dxa"/>
            <w:vAlign w:val="bottom"/>
          </w:tcPr>
          <w:p>
            <w:pPr>
              <w:ind w:left="120"/>
              <w:spacing w:after="0"/>
              <w:rPr>
                <w:sz w:val="20"/>
                <w:szCs w:val="20"/>
                <w:color w:val="auto"/>
              </w:rPr>
            </w:pPr>
            <w:r>
              <w:rPr>
                <w:rFonts w:ascii="Arial" w:cs="Arial" w:eastAsia="Arial" w:hAnsi="Arial"/>
                <w:sz w:val="14"/>
                <w:szCs w:val="14"/>
                <w:color w:val="auto"/>
              </w:rPr>
              <w:t>BRL</w:t>
            </w:r>
          </w:p>
        </w:tc>
        <w:tc>
          <w:tcPr>
            <w:tcW w:w="6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3.308</w:t>
            </w:r>
          </w:p>
        </w:tc>
        <w:tc>
          <w:tcPr>
            <w:tcW w:w="2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(0.003)</w:t>
            </w:r>
          </w:p>
        </w:tc>
        <w:tc>
          <w:tcPr>
            <w:tcW w:w="1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CAD</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1.304</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0.002</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880" w:type="dxa"/>
            <w:vAlign w:val="bottom"/>
          </w:tcPr>
          <w:p>
            <w:pPr>
              <w:ind w:left="120"/>
              <w:spacing w:after="0"/>
              <w:rPr>
                <w:sz w:val="20"/>
                <w:szCs w:val="20"/>
                <w:color w:val="auto"/>
              </w:rPr>
            </w:pPr>
            <w:r>
              <w:rPr>
                <w:rFonts w:ascii="Arial" w:cs="Arial" w:eastAsia="Arial" w:hAnsi="Arial"/>
                <w:sz w:val="14"/>
                <w:szCs w:val="14"/>
                <w:color w:val="auto"/>
              </w:rPr>
              <w:t>CHF</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0.970</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3,098.0</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CLP</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665.565</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60,727.0</w:t>
            </w:r>
          </w:p>
        </w:tc>
        <w:tc>
          <w:tcPr>
            <w:tcW w:w="880" w:type="dxa"/>
            <w:vAlign w:val="bottom"/>
          </w:tcPr>
          <w:p>
            <w:pPr>
              <w:ind w:left="120"/>
              <w:spacing w:after="0"/>
              <w:rPr>
                <w:sz w:val="20"/>
                <w:szCs w:val="20"/>
                <w:color w:val="auto"/>
              </w:rPr>
            </w:pPr>
            <w:r>
              <w:rPr>
                <w:rFonts w:ascii="Arial" w:cs="Arial" w:eastAsia="Arial" w:hAnsi="Arial"/>
                <w:sz w:val="14"/>
                <w:szCs w:val="14"/>
                <w:color w:val="auto"/>
              </w:rPr>
              <w:t>COP</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2,979.994</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111.2</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DKK</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6.651</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95.6</w:t>
            </w:r>
          </w:p>
        </w:tc>
        <w:tc>
          <w:tcPr>
            <w:tcW w:w="880" w:type="dxa"/>
            <w:vAlign w:val="bottom"/>
          </w:tcPr>
          <w:p>
            <w:pPr>
              <w:ind w:left="120"/>
              <w:spacing w:after="0"/>
              <w:rPr>
                <w:sz w:val="20"/>
                <w:szCs w:val="20"/>
                <w:color w:val="auto"/>
              </w:rPr>
            </w:pPr>
            <w:r>
              <w:rPr>
                <w:rFonts w:ascii="Arial" w:cs="Arial" w:eastAsia="Arial" w:hAnsi="Arial"/>
                <w:sz w:val="14"/>
                <w:szCs w:val="14"/>
                <w:color w:val="auto"/>
              </w:rPr>
              <w:t>EUR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1.120</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(0.006)</w:t>
            </w: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139.1</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1.342</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0.025</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97.0</w:t>
            </w:r>
          </w:p>
        </w:tc>
        <w:tc>
          <w:tcPr>
            <w:tcW w:w="880" w:type="dxa"/>
            <w:vAlign w:val="bottom"/>
          </w:tcPr>
          <w:p>
            <w:pPr>
              <w:ind w:left="120"/>
              <w:spacing w:after="0"/>
              <w:rPr>
                <w:sz w:val="20"/>
                <w:szCs w:val="20"/>
                <w:color w:val="auto"/>
              </w:rPr>
            </w:pPr>
            <w:r>
              <w:rPr>
                <w:rFonts w:ascii="Arial" w:cs="Arial" w:eastAsia="Arial" w:hAnsi="Arial"/>
                <w:sz w:val="14"/>
                <w:szCs w:val="14"/>
                <w:color w:val="auto"/>
              </w:rPr>
              <w:t>INR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68.091</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JPY</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102.369</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6,050.0</w:t>
            </w:r>
          </w:p>
        </w:tc>
        <w:tc>
          <w:tcPr>
            <w:tcW w:w="880" w:type="dxa"/>
            <w:vAlign w:val="bottom"/>
          </w:tcPr>
          <w:p>
            <w:pPr>
              <w:ind w:left="120"/>
              <w:spacing w:after="0"/>
              <w:rPr>
                <w:sz w:val="20"/>
                <w:szCs w:val="20"/>
                <w:color w:val="auto"/>
              </w:rPr>
            </w:pPr>
            <w:r>
              <w:rPr>
                <w:rFonts w:ascii="Arial" w:cs="Arial" w:eastAsia="Arial" w:hAnsi="Arial"/>
                <w:sz w:val="14"/>
                <w:szCs w:val="14"/>
                <w:color w:val="auto"/>
              </w:rPr>
              <w:t>KRW</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1,099.520</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2,975.6</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MXN</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18.876</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117.8</w:t>
            </w:r>
          </w:p>
        </w:tc>
        <w:tc>
          <w:tcPr>
            <w:tcW w:w="880" w:type="dxa"/>
            <w:vAlign w:val="bottom"/>
          </w:tcPr>
          <w:p>
            <w:pPr>
              <w:ind w:left="120"/>
              <w:spacing w:after="0"/>
              <w:rPr>
                <w:sz w:val="20"/>
                <w:szCs w:val="20"/>
                <w:color w:val="auto"/>
              </w:rPr>
            </w:pPr>
            <w:r>
              <w:rPr>
                <w:rFonts w:ascii="Arial" w:cs="Arial" w:eastAsia="Arial" w:hAnsi="Arial"/>
                <w:sz w:val="14"/>
                <w:szCs w:val="14"/>
                <w:color w:val="auto"/>
              </w:rPr>
              <w:t>NOK</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8.297</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(0.003)</w:t>
            </w: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NZD</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0.723</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(0.010)</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880" w:type="dxa"/>
            <w:vAlign w:val="bottom"/>
          </w:tcPr>
          <w:p>
            <w:pPr>
              <w:ind w:left="120"/>
              <w:spacing w:after="0"/>
              <w:rPr>
                <w:sz w:val="20"/>
                <w:szCs w:val="20"/>
                <w:color w:val="auto"/>
              </w:rPr>
            </w:pPr>
            <w:r>
              <w:rPr>
                <w:rFonts w:ascii="Arial" w:cs="Arial" w:eastAsia="Arial" w:hAnsi="Arial"/>
                <w:sz w:val="14"/>
                <w:szCs w:val="14"/>
                <w:color w:val="auto"/>
              </w:rPr>
              <w:t>PLN</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3.875</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(0.003)</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RON</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4.011</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(0.004)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58.2</w:t>
            </w:r>
          </w:p>
        </w:tc>
        <w:tc>
          <w:tcPr>
            <w:tcW w:w="880" w:type="dxa"/>
            <w:vAlign w:val="bottom"/>
          </w:tcPr>
          <w:p>
            <w:pPr>
              <w:ind w:left="120"/>
              <w:spacing w:after="0"/>
              <w:rPr>
                <w:sz w:val="20"/>
                <w:szCs w:val="20"/>
                <w:color w:val="auto"/>
              </w:rPr>
            </w:pPr>
            <w:r>
              <w:rPr>
                <w:rFonts w:ascii="Arial" w:cs="Arial" w:eastAsia="Arial" w:hAnsi="Arial"/>
                <w:sz w:val="14"/>
                <w:szCs w:val="14"/>
                <w:color w:val="auto"/>
              </w:rPr>
              <w:t>SEK</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8.528</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SGD</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1.353</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(0.001)</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2016</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81.3</w:t>
            </w:r>
          </w:p>
        </w:tc>
        <w:tc>
          <w:tcPr>
            <w:tcW w:w="880" w:type="dxa"/>
            <w:vAlign w:val="bottom"/>
          </w:tcPr>
          <w:p>
            <w:pPr>
              <w:ind w:left="120"/>
              <w:spacing w:after="0"/>
              <w:rPr>
                <w:sz w:val="20"/>
                <w:szCs w:val="20"/>
                <w:color w:val="auto"/>
              </w:rPr>
            </w:pPr>
            <w:r>
              <w:rPr>
                <w:rFonts w:ascii="Arial" w:cs="Arial" w:eastAsia="Arial" w:hAnsi="Arial"/>
                <w:sz w:val="14"/>
                <w:szCs w:val="14"/>
                <w:color w:val="auto"/>
              </w:rPr>
              <w:t>ZAR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14.720</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0.002</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0.2</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2017</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1.148</w:t>
            </w:r>
          </w:p>
        </w:tc>
        <w:tc>
          <w:tcPr>
            <w:tcW w:w="12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(0.039)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2017</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23.4</w:t>
            </w:r>
          </w:p>
        </w:tc>
        <w:tc>
          <w:tcPr>
            <w:tcW w:w="880" w:type="dxa"/>
            <w:vAlign w:val="bottom"/>
          </w:tcPr>
          <w:p>
            <w:pPr>
              <w:ind w:left="120"/>
              <w:spacing w:after="0"/>
              <w:rPr>
                <w:sz w:val="20"/>
                <w:szCs w:val="20"/>
                <w:color w:val="auto"/>
              </w:rPr>
            </w:pPr>
            <w:r>
              <w:rPr>
                <w:rFonts w:ascii="Arial" w:cs="Arial" w:eastAsia="Arial" w:hAnsi="Arial"/>
                <w:sz w:val="14"/>
                <w:szCs w:val="14"/>
                <w:color w:val="auto"/>
              </w:rPr>
              <w:t>GBP</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1.425</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0.143</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2017</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SEK</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8.301</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0.007</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2018</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880" w:type="dxa"/>
            <w:vAlign w:val="bottom"/>
          </w:tcPr>
          <w:p>
            <w:pPr>
              <w:ind w:left="120"/>
              <w:spacing w:after="0"/>
              <w:rPr>
                <w:sz w:val="20"/>
                <w:szCs w:val="20"/>
                <w:color w:val="auto"/>
              </w:rPr>
            </w:pPr>
            <w:r>
              <w:rPr>
                <w:rFonts w:ascii="Arial" w:cs="Arial" w:eastAsia="Arial" w:hAnsi="Arial"/>
                <w:sz w:val="14"/>
                <w:szCs w:val="14"/>
                <w:color w:val="auto"/>
              </w:rPr>
              <w:t>EUR</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1.105</w:t>
            </w:r>
          </w:p>
        </w:tc>
        <w:tc>
          <w:tcPr>
            <w:tcW w:w="1280" w:type="dxa"/>
            <w:vAlign w:val="bottom"/>
          </w:tcPr>
          <w:p>
            <w:pPr>
              <w:jc w:val="right"/>
              <w:ind w:right="468"/>
              <w:spacing w:after="0"/>
              <w:rPr>
                <w:sz w:val="20"/>
                <w:szCs w:val="20"/>
                <w:color w:val="auto"/>
              </w:rPr>
            </w:pPr>
            <w:r>
              <w:rPr>
                <w:rFonts w:ascii="Arial" w:cs="Arial" w:eastAsia="Arial" w:hAnsi="Arial"/>
                <w:sz w:val="14"/>
                <w:szCs w:val="14"/>
                <w:color w:val="auto"/>
              </w:rPr>
              <w:t>(0.041)</w:t>
            </w: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3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2018</w:t>
            </w:r>
          </w:p>
        </w:tc>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12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1.361</w:t>
            </w:r>
          </w:p>
        </w:tc>
        <w:tc>
          <w:tcPr>
            <w:tcW w:w="12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0.060</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264"/>
        </w:trPr>
        <w:tc>
          <w:tcPr>
            <w:tcW w:w="3060" w:type="dxa"/>
            <w:vAlign w:val="bottom"/>
          </w:tcPr>
          <w:p>
            <w:pPr>
              <w:jc w:val="right"/>
              <w:ind w:right="188"/>
              <w:spacing w:after="0"/>
              <w:rPr>
                <w:sz w:val="20"/>
                <w:szCs w:val="20"/>
                <w:color w:val="auto"/>
              </w:rPr>
            </w:pPr>
            <w:r>
              <w:rPr>
                <w:rFonts w:ascii="Arial" w:cs="Arial" w:eastAsia="Arial" w:hAnsi="Arial"/>
                <w:sz w:val="14"/>
                <w:szCs w:val="14"/>
                <w:color w:val="auto"/>
              </w:rPr>
              <w:t>2018</w:t>
            </w:r>
          </w:p>
        </w:tc>
        <w:tc>
          <w:tcPr>
            <w:tcW w:w="2820" w:type="dxa"/>
            <w:vAlign w:val="bottom"/>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880" w:type="dxa"/>
            <w:vAlign w:val="bottom"/>
          </w:tcPr>
          <w:p>
            <w:pPr>
              <w:ind w:left="120"/>
              <w:spacing w:after="0"/>
              <w:rPr>
                <w:sz w:val="20"/>
                <w:szCs w:val="20"/>
                <w:color w:val="auto"/>
              </w:rPr>
            </w:pPr>
            <w:r>
              <w:rPr>
                <w:rFonts w:ascii="Arial" w:cs="Arial" w:eastAsia="Arial" w:hAnsi="Arial"/>
                <w:sz w:val="14"/>
                <w:szCs w:val="14"/>
                <w:color w:val="auto"/>
              </w:rPr>
              <w:t>SEK</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8.149</w:t>
            </w:r>
          </w:p>
        </w:tc>
        <w:tc>
          <w:tcPr>
            <w:tcW w:w="1280" w:type="dxa"/>
            <w:vAlign w:val="bottom"/>
          </w:tcPr>
          <w:p>
            <w:pPr>
              <w:jc w:val="right"/>
              <w:ind w:right="528"/>
              <w:spacing w:after="0"/>
              <w:rPr>
                <w:sz w:val="20"/>
                <w:szCs w:val="20"/>
                <w:color w:val="auto"/>
              </w:rPr>
            </w:pPr>
            <w:r>
              <w:rPr>
                <w:rFonts w:ascii="Arial" w:cs="Arial" w:eastAsia="Arial" w:hAnsi="Arial"/>
                <w:sz w:val="14"/>
                <w:szCs w:val="14"/>
                <w:color w:val="auto"/>
              </w:rPr>
              <w:t>0.010</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0.2</w:t>
            </w:r>
          </w:p>
        </w:tc>
      </w:tr>
      <w:tr>
        <w:trPr>
          <w:trHeight w:val="270"/>
        </w:trPr>
        <w:tc>
          <w:tcPr>
            <w:tcW w:w="3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2019</w:t>
            </w:r>
          </w:p>
        </w:tc>
        <w:tc>
          <w:tcPr>
            <w:tcW w:w="28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Foreign currency contracts (long)</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8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12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1.401</w:t>
            </w:r>
          </w:p>
        </w:tc>
        <w:tc>
          <w:tcPr>
            <w:tcW w:w="12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0.086</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77"/>
        </w:trPr>
        <w:tc>
          <w:tcPr>
            <w:tcW w:w="30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r>
    </w:tbl>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125" w:right="4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September 30, 2016</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162"/>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5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50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4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140" w:type="dxa"/>
            <w:vAlign w:val="bottom"/>
            <w:gridSpan w:val="4"/>
          </w:tcPr>
          <w:p>
            <w:pPr>
              <w:ind w:left="40"/>
              <w:spacing w:after="0"/>
              <w:rPr>
                <w:sz w:val="20"/>
                <w:szCs w:val="20"/>
                <w:color w:val="auto"/>
              </w:rPr>
            </w:pPr>
            <w:r>
              <w:rPr>
                <w:rFonts w:ascii="Arial" w:cs="Arial" w:eastAsia="Arial" w:hAnsi="Arial"/>
                <w:sz w:val="14"/>
                <w:szCs w:val="14"/>
                <w:color w:val="auto"/>
              </w:rPr>
              <w:t>Derivatives designated as hedging instruments</w:t>
            </w:r>
          </w:p>
        </w:tc>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880" w:type="dxa"/>
            <w:vAlign w:val="bottom"/>
            <w:tcBorders>
              <w:bottom w:val="single" w:sz="8" w:color="auto"/>
            </w:tcBorders>
            <w:shd w:val="clear" w:color="auto" w:fill="CCEEFF"/>
          </w:tcPr>
          <w:p>
            <w:pPr>
              <w:spacing w:after="0"/>
              <w:rPr>
                <w:sz w:val="6"/>
                <w:szCs w:val="6"/>
                <w:color w:val="auto"/>
              </w:rPr>
            </w:pPr>
          </w:p>
        </w:tc>
        <w:tc>
          <w:tcPr>
            <w:tcW w:w="50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90"/>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8"/>
              </w:rPr>
              <w:t>Derivatives not designated as hedging instruments</w:t>
            </w: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34.4</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118.9</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9.1</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Foreign currency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2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203.6</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268.8</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5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40" w:type="dxa"/>
            <w:vAlign w:val="bottom"/>
            <w:gridSpan w:val="4"/>
          </w:tcPr>
          <w:p>
            <w:pPr>
              <w:ind w:left="40"/>
              <w:spacing w:after="0"/>
              <w:rPr>
                <w:sz w:val="20"/>
                <w:szCs w:val="20"/>
                <w:color w:val="auto"/>
              </w:rPr>
            </w:pPr>
            <w:r>
              <w:rPr>
                <w:rFonts w:ascii="Arial" w:cs="Arial" w:eastAsia="Arial" w:hAnsi="Arial"/>
                <w:sz w:val="14"/>
                <w:szCs w:val="14"/>
                <w:color w:val="auto"/>
              </w:rPr>
              <w:t>Derivative liabilities:</w:t>
            </w: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Derivatives designated as hedging instruments</w:t>
            </w: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6.8</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74.8</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880" w:type="dxa"/>
            <w:vAlign w:val="bottom"/>
            <w:tcBorders>
              <w:bottom w:val="single" w:sz="8" w:color="auto"/>
            </w:tcBorders>
            <w:shd w:val="clear" w:color="auto" w:fill="CCEEFF"/>
          </w:tcPr>
          <w:p>
            <w:pPr>
              <w:spacing w:after="0"/>
              <w:rPr>
                <w:sz w:val="6"/>
                <w:szCs w:val="6"/>
                <w:color w:val="auto"/>
              </w:rPr>
            </w:pPr>
          </w:p>
        </w:tc>
        <w:tc>
          <w:tcPr>
            <w:tcW w:w="50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20" w:type="dxa"/>
            <w:vAlign w:val="bottom"/>
            <w:tcBorders>
              <w:bottom w:val="single" w:sz="8" w:color="auto"/>
            </w:tcBorders>
            <w:vMerge w:val="continue"/>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0"/>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8"/>
              </w:rPr>
              <w:t>Derivatives not designated as hedging instruments</w:t>
            </w:r>
          </w:p>
        </w:tc>
        <w:tc>
          <w:tcPr>
            <w:tcW w:w="5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7.6</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152.0</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319.9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Short-term derivative assets, net</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Identifiable intangible and other non-current assets</w:t>
            </w: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80" w:type="dxa"/>
            <w:vAlign w:val="bottom"/>
            <w:shd w:val="clear" w:color="auto" w:fill="CCEEFF"/>
          </w:tcPr>
          <w:p>
            <w:pPr>
              <w:spacing w:after="0"/>
              <w:rPr>
                <w:sz w:val="6"/>
                <w:szCs w:val="6"/>
                <w:color w:val="auto"/>
              </w:rPr>
            </w:pPr>
          </w:p>
        </w:tc>
        <w:tc>
          <w:tcPr>
            <w:tcW w:w="5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gridSpan w:val="3"/>
          </w:tcPr>
          <w:p>
            <w:pPr>
              <w:ind w:left="140"/>
              <w:spacing w:after="0"/>
              <w:rPr>
                <w:sz w:val="20"/>
                <w:szCs w:val="20"/>
                <w:color w:val="auto"/>
              </w:rPr>
            </w:pPr>
            <w:r>
              <w:rPr>
                <w:rFonts w:ascii="Arial" w:cs="Arial" w:eastAsia="Arial" w:hAnsi="Arial"/>
                <w:sz w:val="14"/>
                <w:szCs w:val="14"/>
                <w:color w:val="auto"/>
              </w:rPr>
              <w:t>Foreign currency contracts</w:t>
            </w:r>
          </w:p>
        </w:tc>
        <w:tc>
          <w:tcPr>
            <w:tcW w:w="50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6"/>
                <w:szCs w:val="16"/>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6"/>
                <w:szCs w:val="16"/>
                <w:color w:val="auto"/>
              </w:rPr>
            </w:pP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50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194.6</w:t>
            </w: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a fair value hedging relationship and related hedged items on our consolidated statements of income and comprehensive income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6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Location</w:t>
            </w:r>
          </w:p>
        </w:tc>
        <w:tc>
          <w:tcPr>
            <w:tcW w:w="240" w:type="dxa"/>
            <w:vAlign w:val="bottom"/>
          </w:tcPr>
          <w:p>
            <w:pPr>
              <w:spacing w:after="0"/>
              <w:rPr>
                <w:sz w:val="14"/>
                <w:szCs w:val="14"/>
                <w:color w:val="auto"/>
              </w:rPr>
            </w:pPr>
          </w:p>
        </w:tc>
        <w:tc>
          <w:tcPr>
            <w:tcW w:w="19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Realized and Unrealized</w:t>
            </w:r>
          </w:p>
        </w:tc>
        <w:tc>
          <w:tcPr>
            <w:tcW w:w="18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Hedged Items</w:t>
            </w:r>
          </w:p>
        </w:tc>
        <w:tc>
          <w:tcPr>
            <w:tcW w:w="14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Location</w:t>
            </w:r>
          </w:p>
        </w:tc>
        <w:tc>
          <w:tcPr>
            <w:tcW w:w="214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Realized and Unrealized</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gridSpan w:val="4"/>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Gain (Loss)</w:t>
            </w:r>
          </w:p>
        </w:tc>
        <w:tc>
          <w:tcPr>
            <w:tcW w:w="18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Gain (Loss)</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9"/>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5"/>
              </w:rPr>
              <w:t>Three months ended September 30,</w:t>
            </w: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Firm commitments</w:t>
            </w:r>
          </w:p>
        </w:tc>
        <w:tc>
          <w:tcPr>
            <w:tcW w:w="140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7"/>
              </w:rPr>
              <w:t>(0.8)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1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(0.1)</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1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(0.9)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40"/>
              <w:spacing w:after="0"/>
              <w:rPr>
                <w:sz w:val="20"/>
                <w:szCs w:val="20"/>
                <w:color w:val="auto"/>
              </w:rPr>
            </w:pPr>
            <w:r>
              <w:rPr>
                <w:rFonts w:ascii="Arial" w:cs="Arial" w:eastAsia="Arial" w:hAnsi="Arial"/>
                <w:sz w:val="14"/>
                <w:szCs w:val="14"/>
                <w:color w:val="auto"/>
                <w:w w:val="98"/>
              </w:rPr>
              <w:t>Nine months ended September 30,</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Firm commitments</w:t>
            </w:r>
          </w:p>
        </w:tc>
        <w:tc>
          <w:tcPr>
            <w:tcW w:w="1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Commodity contracts</w:t>
            </w: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Cost of revenue</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w:t>
            </w: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Inventories</w:t>
            </w: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Cost of revenue</w:t>
            </w: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7"/>
              </w:rPr>
              <w:t>10.6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8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gains or losses for the three and nine months ended September 30, 2016 and 2015 that were excluded from the assessment of the effectiveness of our fair value hedges.</w:t>
      </w:r>
    </w:p>
    <w:p>
      <w:pPr>
        <w:sectPr>
          <w:pgSz w:w="11900" w:h="16838" w:orient="portrait"/>
          <w:cols w:equalWidth="0" w:num="1">
            <w:col w:w="11420"/>
          </w:cols>
          <w:pgMar w:left="240" w:top="125" w:right="239" w:bottom="622"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622"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2"/>
              </w:rPr>
              <w:t>Amount of Gain (Loss) Recognized in</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vMerge w:val="continue"/>
          </w:tcPr>
          <w:p>
            <w:pPr>
              <w:spacing w:after="0"/>
              <w:rPr>
                <w:sz w:val="12"/>
                <w:szCs w:val="12"/>
                <w:color w:val="auto"/>
              </w:rPr>
            </w:pPr>
          </w:p>
        </w:tc>
        <w:tc>
          <w:tcPr>
            <w:tcW w:w="19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Location of Realized Gain</w:t>
            </w:r>
          </w:p>
        </w:tc>
        <w:tc>
          <w:tcPr>
            <w:tcW w:w="160" w:type="dxa"/>
            <w:vAlign w:val="bottom"/>
          </w:tcPr>
          <w:p>
            <w:pPr>
              <w:spacing w:after="0"/>
              <w:rPr>
                <w:sz w:val="12"/>
                <w:szCs w:val="12"/>
                <w:color w:val="auto"/>
              </w:rPr>
            </w:pPr>
          </w:p>
        </w:tc>
        <w:tc>
          <w:tcPr>
            <w:tcW w:w="22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Reclassified from Accumulated</w:t>
            </w:r>
          </w:p>
        </w:tc>
        <w:tc>
          <w:tcPr>
            <w:tcW w:w="340" w:type="dxa"/>
            <w:vAlign w:val="bottom"/>
          </w:tcPr>
          <w:p>
            <w:pPr>
              <w:spacing w:after="0"/>
              <w:rPr>
                <w:sz w:val="12"/>
                <w:szCs w:val="12"/>
                <w:color w:val="auto"/>
              </w:rPr>
            </w:pPr>
          </w:p>
        </w:tc>
        <w:tc>
          <w:tcPr>
            <w:tcW w:w="178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Accumulated Other</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Comprehensive Income (Effective</w:t>
            </w:r>
          </w:p>
        </w:tc>
        <w:tc>
          <w:tcPr>
            <w:tcW w:w="1940" w:type="dxa"/>
            <w:vAlign w:val="bottom"/>
            <w:gridSpan w:val="2"/>
          </w:tcPr>
          <w:p>
            <w:pPr>
              <w:ind w:left="1200"/>
              <w:spacing w:after="0" w:line="149" w:lineRule="exact"/>
              <w:rPr>
                <w:sz w:val="20"/>
                <w:szCs w:val="20"/>
                <w:color w:val="auto"/>
              </w:rPr>
            </w:pPr>
            <w:r>
              <w:rPr>
                <w:rFonts w:ascii="Arial" w:cs="Arial" w:eastAsia="Arial" w:hAnsi="Arial"/>
                <w:sz w:val="14"/>
                <w:szCs w:val="14"/>
                <w:b w:val="1"/>
                <w:bCs w:val="1"/>
                <w:color w:val="auto"/>
              </w:rPr>
              <w:t>(Loss)</w:t>
            </w:r>
          </w:p>
        </w:tc>
        <w:tc>
          <w:tcPr>
            <w:tcW w:w="236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Comprehensive Income (Effective</w:t>
            </w:r>
          </w:p>
        </w:tc>
        <w:tc>
          <w:tcPr>
            <w:tcW w:w="340" w:type="dxa"/>
            <w:vAlign w:val="bottom"/>
          </w:tcPr>
          <w:p>
            <w:pPr>
              <w:spacing w:after="0"/>
              <w:rPr>
                <w:sz w:val="12"/>
                <w:szCs w:val="12"/>
                <w:color w:val="auto"/>
              </w:rPr>
            </w:pPr>
          </w:p>
        </w:tc>
        <w:tc>
          <w:tcPr>
            <w:tcW w:w="1780" w:type="dxa"/>
            <w:vAlign w:val="bottom"/>
            <w:gridSpan w:val="3"/>
          </w:tcPr>
          <w:p>
            <w:pPr>
              <w:jc w:val="right"/>
              <w:ind w:right="28"/>
              <w:spacing w:after="0" w:line="149" w:lineRule="exact"/>
              <w:rPr>
                <w:sz w:val="20"/>
                <w:szCs w:val="20"/>
                <w:color w:val="auto"/>
              </w:rPr>
            </w:pPr>
            <w:r>
              <w:rPr>
                <w:rFonts w:ascii="Arial" w:cs="Arial" w:eastAsia="Arial" w:hAnsi="Arial"/>
                <w:sz w:val="14"/>
                <w:szCs w:val="14"/>
                <w:b w:val="1"/>
                <w:bCs w:val="1"/>
                <w:color w:val="auto"/>
              </w:rPr>
              <w:t>Recognized in Income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Portion)</w:t>
            </w:r>
          </w:p>
        </w:tc>
        <w:tc>
          <w:tcPr>
            <w:tcW w:w="1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(Effective Portion)</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Portion)</w:t>
            </w:r>
          </w:p>
        </w:tc>
        <w:tc>
          <w:tcPr>
            <w:tcW w:w="340" w:type="dxa"/>
            <w:vAlign w:val="bottom"/>
          </w:tcPr>
          <w:p>
            <w:pPr>
              <w:spacing w:after="0"/>
              <w:rPr>
                <w:sz w:val="16"/>
                <w:szCs w:val="16"/>
                <w:color w:val="auto"/>
              </w:rPr>
            </w:pPr>
          </w:p>
        </w:tc>
        <w:tc>
          <w:tcPr>
            <w:tcW w:w="17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(Ineffective Portion)</w:t>
            </w:r>
          </w:p>
        </w:tc>
        <w:tc>
          <w:tcPr>
            <w:tcW w:w="0" w:type="dxa"/>
            <w:vAlign w:val="bottom"/>
          </w:tcPr>
          <w:p>
            <w:pPr>
              <w:spacing w:after="0"/>
              <w:rPr>
                <w:sz w:val="1"/>
                <w:szCs w:val="1"/>
                <w:color w:val="auto"/>
              </w:rPr>
            </w:pPr>
          </w:p>
        </w:tc>
      </w:tr>
      <w:tr>
        <w:trPr>
          <w:trHeight w:val="276"/>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9"/>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5"/>
              </w:rPr>
              <w:t>Three months ended September 30,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11.2</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22"/>
                <w:szCs w:val="22"/>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16.6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360" w:type="dxa"/>
            <w:vAlign w:val="bottom"/>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5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(53.0)</w:t>
            </w: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7"/>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(36.4)</w:t>
            </w: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40"/>
              <w:spacing w:after="0"/>
              <w:rPr>
                <w:sz w:val="20"/>
                <w:szCs w:val="20"/>
                <w:color w:val="auto"/>
              </w:rPr>
            </w:pPr>
            <w:r>
              <w:rPr>
                <w:rFonts w:ascii="Arial" w:cs="Arial" w:eastAsia="Arial" w:hAnsi="Arial"/>
                <w:sz w:val="14"/>
                <w:szCs w:val="14"/>
                <w:color w:val="auto"/>
                <w:w w:val="98"/>
              </w:rPr>
              <w:t>Nine months ended September 30,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5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Commodity Contracts</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w:t>
            </w: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7"/>
        </w:trPr>
        <w:tc>
          <w:tcPr>
            <w:tcW w:w="22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5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auto"/>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(27.9)</w:t>
            </w: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auto"/>
            </w:tcBorders>
            <w:shd w:val="clear" w:color="auto" w:fill="CCEEFF"/>
          </w:tcPr>
          <w:p>
            <w:pPr>
              <w:jc w:val="center"/>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and nine months ended September 30, 2016, we recorded a gain of $2.9 million and a loss of $12.2 million respectively in revenue and a loss of $3.6 million and a gain of $9.2 million respectively in cost of revenue, related to hedge ineffectiveness. In the event that forecasted sales and purchases are less than the hedged amounts, a portion of all of the gain or losses recorded in accumulated other comprehensive income are reclassified to the consolidated statements of income and comprehensive income.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w:t>
            </w:r>
          </w:p>
        </w:tc>
        <w:tc>
          <w:tcPr>
            <w:tcW w:w="396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Location</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3"/>
              </w:rPr>
              <w:t>Realized and Unrealized</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gridSpan w:val="4"/>
            <w:vMerge w:val="continue"/>
          </w:tcPr>
          <w:p>
            <w:pPr>
              <w:spacing w:after="0"/>
              <w:rPr>
                <w:sz w:val="16"/>
                <w:szCs w:val="16"/>
                <w:color w:val="auto"/>
              </w:rPr>
            </w:pPr>
          </w:p>
        </w:tc>
        <w:tc>
          <w:tcPr>
            <w:tcW w:w="396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2"/>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Three months ended September 30,</w:t>
            </w:r>
          </w:p>
        </w:tc>
        <w:tc>
          <w:tcPr>
            <w:tcW w:w="39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5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tcPr>
          <w:p>
            <w:pPr>
              <w:ind w:left="1140"/>
              <w:spacing w:after="0"/>
              <w:rPr>
                <w:sz w:val="20"/>
                <w:szCs w:val="20"/>
                <w:color w:val="auto"/>
              </w:rPr>
            </w:pPr>
            <w:r>
              <w:rPr>
                <w:rFonts w:ascii="Arial" w:cs="Arial" w:eastAsia="Arial" w:hAnsi="Arial"/>
                <w:sz w:val="14"/>
                <w:szCs w:val="14"/>
                <w:color w:val="auto"/>
              </w:rPr>
              <w:t>Cost of revenue</w:t>
            </w:r>
          </w:p>
        </w:tc>
        <w:tc>
          <w:tcPr>
            <w:tcW w:w="17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w:t>
            </w:r>
          </w:p>
        </w:tc>
        <w:tc>
          <w:tcPr>
            <w:tcW w:w="5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76"/>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3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Other (expense) income, net</w:t>
            </w:r>
          </w:p>
        </w:tc>
        <w:tc>
          <w:tcPr>
            <w:tcW w:w="1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39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5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Nine months ended September 30,</w:t>
            </w:r>
          </w:p>
        </w:tc>
        <w:tc>
          <w:tcPr>
            <w:tcW w:w="39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51.7</w:t>
            </w:r>
          </w:p>
        </w:tc>
        <w:tc>
          <w:tcPr>
            <w:tcW w:w="5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76"/>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Cost of revenue</w:t>
            </w:r>
          </w:p>
        </w:tc>
        <w:tc>
          <w:tcPr>
            <w:tcW w:w="17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64"/>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tcPr>
          <w:p>
            <w:pPr>
              <w:ind w:left="1140"/>
              <w:spacing w:after="0"/>
              <w:rPr>
                <w:sz w:val="20"/>
                <w:szCs w:val="20"/>
                <w:color w:val="auto"/>
              </w:rPr>
            </w:pPr>
            <w:r>
              <w:rPr>
                <w:rFonts w:ascii="Arial" w:cs="Arial" w:eastAsia="Arial" w:hAnsi="Arial"/>
                <w:sz w:val="14"/>
                <w:szCs w:val="14"/>
                <w:color w:val="auto"/>
              </w:rPr>
              <w:t>Revenue</w:t>
            </w:r>
          </w:p>
        </w:tc>
        <w:tc>
          <w:tcPr>
            <w:tcW w:w="17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5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9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4"/>
                <w:szCs w:val="14"/>
                <w:color w:val="auto"/>
              </w:rPr>
              <w:t>Other (expense) income, net</w:t>
            </w:r>
          </w:p>
        </w:tc>
        <w:tc>
          <w:tcPr>
            <w:tcW w:w="17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net liability position for such contracts, the collateral posted and amount of assets required to be posted and/or to settle the positions should a credit-risk contingent feature be triggered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20" w:type="dxa"/>
            <w:vAlign w:val="bottom"/>
          </w:tcPr>
          <w:p>
            <w:pPr>
              <w:jc w:val="right"/>
              <w:ind w:right="48"/>
              <w:spacing w:after="0"/>
              <w:rPr>
                <w:sz w:val="20"/>
                <w:szCs w:val="20"/>
                <w:color w:val="auto"/>
              </w:rPr>
            </w:pPr>
            <w:r>
              <w:rPr>
                <w:rFonts w:ascii="Arial" w:cs="Arial" w:eastAsia="Arial" w:hAnsi="Arial"/>
                <w:sz w:val="14"/>
                <w:szCs w:val="14"/>
                <w:b w:val="1"/>
                <w:bCs w:val="1"/>
                <w:color w:val="auto"/>
              </w:rPr>
              <w:t>Net Liability Position</w:t>
            </w:r>
          </w:p>
        </w:tc>
        <w:tc>
          <w:tcPr>
            <w:tcW w:w="76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Collateral</w:t>
            </w:r>
          </w:p>
        </w:tc>
        <w:tc>
          <w:tcPr>
            <w:tcW w:w="4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Subject to Collateral Requirements</w:t>
            </w: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Posted</w:t>
            </w: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Additional Collateral</w:t>
            </w:r>
          </w:p>
        </w:tc>
      </w:tr>
      <w:tr>
        <w:trPr>
          <w:trHeight w:val="229"/>
        </w:trPr>
        <w:tc>
          <w:tcPr>
            <w:tcW w:w="3080" w:type="dxa"/>
            <w:vAlign w:val="bottom"/>
            <w:gridSpan w:val="4"/>
          </w:tcPr>
          <w:p>
            <w:pPr>
              <w:ind w:left="40"/>
              <w:spacing w:after="0"/>
              <w:rPr>
                <w:sz w:val="20"/>
                <w:szCs w:val="20"/>
                <w:color w:val="auto"/>
              </w:rPr>
            </w:pPr>
            <w:r>
              <w:rPr>
                <w:rFonts w:ascii="Arial" w:cs="Arial" w:eastAsia="Arial" w:hAnsi="Arial"/>
                <w:sz w:val="14"/>
                <w:szCs w:val="14"/>
                <w:color w:val="auto"/>
              </w:rPr>
              <w:t>As of September 30, 2016</w:t>
            </w:r>
          </w:p>
        </w:tc>
        <w:tc>
          <w:tcPr>
            <w:tcW w:w="17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77"/>
        </w:trPr>
        <w:tc>
          <w:tcPr>
            <w:tcW w:w="30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7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4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324"/>
        </w:trPr>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30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As of December 31, 2015</w:t>
            </w:r>
          </w:p>
        </w:tc>
        <w:tc>
          <w:tcPr>
            <w:tcW w:w="17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77"/>
        </w:trPr>
        <w:tc>
          <w:tcPr>
            <w:tcW w:w="3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Commodity contract</w:t>
            </w: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7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$1,138.9 million and $772.2 million as of September 30, 2016 and December 31, 2015, respectively, and our notes receivable of $17.4 million and $7.4 million as of September 30, 2016 and December 31, 2015, respectively, are categorized in Level 3.</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Netting</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Sub-Total</w:t>
            </w:r>
          </w:p>
        </w:tc>
        <w:tc>
          <w:tcPr>
            <w:tcW w:w="34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and</w:t>
            </w:r>
          </w:p>
        </w:tc>
        <w:tc>
          <w:tcPr>
            <w:tcW w:w="48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Collateral</w:t>
            </w: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4"/>
                <w:szCs w:val="14"/>
                <w:color w:val="auto"/>
              </w:rPr>
              <w:t>As of September 30, 2016</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168.7</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87.9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257.2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(213.8)</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420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Cash surrender value of life insurance</w:t>
            </w:r>
          </w:p>
        </w:tc>
        <w:tc>
          <w:tcPr>
            <w:tcW w:w="4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168.7</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106.5</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275.8</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(218.4)</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0"/>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179.4</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90.2</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269.9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(232.8)</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Firm Commitments</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179.4</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100.2</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279.9</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(237.4)</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97"/>
        </w:trPr>
        <w:tc>
          <w:tcPr>
            <w:tcW w:w="4240" w:type="dxa"/>
            <w:vAlign w:val="bottom"/>
            <w:gridSpan w:val="4"/>
            <w:vMerge w:val="restart"/>
          </w:tcPr>
          <w:p>
            <w:pPr>
              <w:ind w:left="40"/>
              <w:spacing w:after="0"/>
              <w:rPr>
                <w:sz w:val="20"/>
                <w:szCs w:val="20"/>
                <w:color w:val="auto"/>
              </w:rPr>
            </w:pPr>
            <w:r>
              <w:rPr>
                <w:rFonts w:ascii="Arial" w:cs="Arial" w:eastAsia="Arial" w:hAnsi="Arial"/>
                <w:sz w:val="14"/>
                <w:szCs w:val="14"/>
                <w:color w:val="auto"/>
              </w:rPr>
              <w:t>As of December 31, 2015</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gridSpan w:val="4"/>
            <w:vMerge w:val="continue"/>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78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90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240" w:type="dxa"/>
            <w:vAlign w:val="bottom"/>
            <w:gridSpan w:val="4"/>
          </w:tcPr>
          <w:p>
            <w:pPr>
              <w:ind w:left="40"/>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255.4</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251.9</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510.5</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12.4</w:t>
            </w: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3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4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420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Cash surrender value of life insurance</w:t>
            </w:r>
          </w:p>
        </w:tc>
        <w:tc>
          <w:tcPr>
            <w:tcW w:w="4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255.4</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266.7</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525.3</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(283.1)</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70"/>
        </w:trPr>
        <w:tc>
          <w:tcPr>
            <w:tcW w:w="4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14"/>
                <w:szCs w:val="14"/>
                <w:color w:val="auto"/>
              </w:rPr>
              <w:t>Commodity contracts</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340.1</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123.4</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463.7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(389.6)</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Foreign currency contracts</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4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Inventories</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shd w:val="clear" w:color="auto" w:fill="CCEEFF"/>
          </w:tcPr>
          <w:p>
            <w:pPr>
              <w:spacing w:after="0"/>
              <w:rPr>
                <w:sz w:val="24"/>
                <w:szCs w:val="24"/>
                <w:color w:val="auto"/>
              </w:rPr>
            </w:pPr>
          </w:p>
        </w:tc>
        <w:tc>
          <w:tcPr>
            <w:tcW w:w="420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340.1</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142.7</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483.0</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(393.7)</w:t>
            </w:r>
          </w:p>
        </w:tc>
        <w:tc>
          <w:tcPr>
            <w:tcW w:w="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In connection with the acquisition of all of the outstanding stock of Pester on September 1, 2015, we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plan to sell certain assets and liabilities of Pester’s fuel retail business. On May 1, 2016, we completed the sale of Pester’s retail business for $29.3 million in cash and an additional $3.0 million to be received at a future date.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64"/>
        </w:trPr>
        <w:tc>
          <w:tcPr>
            <w:tcW w:w="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2015</w:t>
            </w:r>
          </w:p>
        </w:tc>
      </w:tr>
      <w:tr>
        <w:trPr>
          <w:trHeight w:val="229"/>
        </w:trPr>
        <w:tc>
          <w:tcPr>
            <w:tcW w:w="76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7660" w:type="dxa"/>
            <w:vAlign w:val="bottom"/>
            <w:gridSpan w:val="4"/>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Short-term derivative assets, net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212.6</w:t>
            </w:r>
          </w:p>
        </w:tc>
      </w:tr>
      <w:tr>
        <w:trPr>
          <w:trHeight w:val="264"/>
        </w:trPr>
        <w:tc>
          <w:tcPr>
            <w:tcW w:w="40" w:type="dxa"/>
            <w:vAlign w:val="bottom"/>
            <w:tcBorders>
              <w:bottom w:val="single" w:sz="8" w:color="auto"/>
            </w:tcBorders>
          </w:tcPr>
          <w:p>
            <w:pPr>
              <w:spacing w:after="0"/>
              <w:rPr>
                <w:sz w:val="22"/>
                <w:szCs w:val="22"/>
                <w:color w:val="auto"/>
              </w:rPr>
            </w:pPr>
          </w:p>
        </w:tc>
        <w:tc>
          <w:tcPr>
            <w:tcW w:w="76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Identifiable intangible and other non-current assets</w:t>
            </w: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r>
      <w:tr>
        <w:trPr>
          <w:trHeight w:val="277"/>
        </w:trPr>
        <w:tc>
          <w:tcPr>
            <w:tcW w:w="766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Total net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231.5</w:t>
            </w:r>
          </w:p>
        </w:tc>
      </w:tr>
      <w:tr>
        <w:trPr>
          <w:trHeight w:val="297"/>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6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7620" w:type="dxa"/>
            <w:vAlign w:val="bottom"/>
            <w:gridSpan w:val="3"/>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68.7</w:t>
            </w: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76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Other long-term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4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77"/>
        </w:trPr>
        <w:tc>
          <w:tcPr>
            <w:tcW w:w="7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 net liabilities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r>
      <w:tr>
        <w:trPr>
          <w:trHeight w:val="297"/>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0"/>
        </w:trPr>
        <w:tc>
          <w:tcPr>
            <w:tcW w:w="7660" w:type="dxa"/>
            <w:vAlign w:val="bottom"/>
            <w:gridSpan w:val="4"/>
          </w:tcPr>
          <w:p>
            <w:pPr>
              <w:ind w:left="40"/>
              <w:spacing w:after="0"/>
              <w:rPr>
                <w:sz w:val="20"/>
                <w:szCs w:val="20"/>
                <w:color w:val="auto"/>
              </w:rPr>
            </w:pPr>
            <w:r>
              <w:rPr>
                <w:rFonts w:ascii="Arial" w:cs="Arial" w:eastAsia="Arial" w:hAnsi="Arial"/>
                <w:sz w:val="14"/>
                <w:szCs w:val="14"/>
                <w:color w:val="auto"/>
              </w:rPr>
              <w:t>Foreign Currency Contracts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6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7620" w:type="dxa"/>
            <w:vAlign w:val="bottom"/>
            <w:gridSpan w:val="3"/>
          </w:tcPr>
          <w:p>
            <w:pPr>
              <w:ind w:left="140"/>
              <w:spacing w:after="0"/>
              <w:rPr>
                <w:sz w:val="20"/>
                <w:szCs w:val="20"/>
                <w:color w:val="auto"/>
              </w:rPr>
            </w:pPr>
            <w:r>
              <w:rPr>
                <w:rFonts w:ascii="Arial" w:cs="Arial" w:eastAsia="Arial" w:hAnsi="Arial"/>
                <w:sz w:val="14"/>
                <w:szCs w:val="14"/>
                <w:color w:val="auto"/>
              </w:rPr>
              <w:t>Short-term derivative assets,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76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Identifiable intangible and other non-current assets</w:t>
            </w:r>
          </w:p>
        </w:tc>
        <w:tc>
          <w:tcPr>
            <w:tcW w:w="32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77"/>
        </w:trPr>
        <w:tc>
          <w:tcPr>
            <w:tcW w:w="7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 net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r>
      <w:tr>
        <w:trPr>
          <w:trHeight w:val="297"/>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7620" w:type="dxa"/>
            <w:vAlign w:val="bottom"/>
            <w:gridSpan w:val="3"/>
          </w:tcPr>
          <w:p>
            <w:pPr>
              <w:ind w:left="140"/>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40" w:type="dxa"/>
            <w:vAlign w:val="bottom"/>
            <w:tcBorders>
              <w:bottom w:val="single" w:sz="8" w:color="auto"/>
            </w:tcBorders>
            <w:shd w:val="clear" w:color="auto" w:fill="CCEEFF"/>
          </w:tcPr>
          <w:p>
            <w:pPr>
              <w:spacing w:after="0"/>
              <w:rPr>
                <w:sz w:val="23"/>
                <w:szCs w:val="23"/>
                <w:color w:val="auto"/>
              </w:rPr>
            </w:pPr>
          </w:p>
        </w:tc>
        <w:tc>
          <w:tcPr>
            <w:tcW w:w="762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r>
      <w:tr>
        <w:trPr>
          <w:trHeight w:val="277"/>
        </w:trPr>
        <w:tc>
          <w:tcPr>
            <w:tcW w:w="7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Total net liabilities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2016, we had $47.5 million of cash collateral deposits held by financial counterparties, of which $20.0 million have been offset against the total amount of commodity fair value liabilities in the above table and the remaining $27.6 million is included in other current assets in the accompanying consolidated balance sheets. In addition, as of September 30, 2016, we have offset $1.0 million of cash collateral deposits received from customers against the total amount of commodity fair value assets in the above table. As of December 31, 2015, we had $174.6 million of cash collateral deposits held by financial counterparties, of which $132.2 million have been offset against the total amount of commodity fair value liabilities in the above table and the remaining $42.4 million is included in other current assets in the accompanying consolidated balance sheets. In addition, as of December 31, 2015, we have offset $21.6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Realized and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 in Unrealized</w:t>
            </w:r>
          </w:p>
        </w:tc>
        <w:tc>
          <w:tcPr>
            <w:tcW w:w="1360" w:type="dxa"/>
            <w:vAlign w:val="bottom"/>
          </w:tcPr>
          <w:p>
            <w:pPr>
              <w:ind w:left="600"/>
              <w:spacing w:after="0"/>
              <w:rPr>
                <w:sz w:val="20"/>
                <w:szCs w:val="20"/>
                <w:color w:val="auto"/>
              </w:rPr>
            </w:pPr>
            <w:r>
              <w:rPr>
                <w:rFonts w:ascii="Arial" w:cs="Arial" w:eastAsia="Arial" w:hAnsi="Arial"/>
                <w:sz w:val="14"/>
                <w:szCs w:val="14"/>
                <w:b w:val="1"/>
                <w:bCs w:val="1"/>
                <w:color w:val="auto"/>
                <w:w w:val="98"/>
              </w:rPr>
              <w:t>Location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Gains (Losses)</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Unrealized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Transfers into</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End</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Relating to Assets and</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4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Settlements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Liabilities that are</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(Losses)Included in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of Period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7"/>
              </w:rPr>
              <w:t>Held at end of Period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9"/>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Three months ended September 30, 2016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8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30"/>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Three months ended September 30, 2015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76"/>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30"/>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Nine months ended September 30, 2016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800" w:type="dxa"/>
            <w:vAlign w:val="bottom"/>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64"/>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r>
        <w:trPr>
          <w:trHeight w:val="230"/>
        </w:trPr>
        <w:tc>
          <w:tcPr>
            <w:tcW w:w="2840" w:type="dxa"/>
            <w:vAlign w:val="bottom"/>
            <w:gridSpan w:val="6"/>
          </w:tcPr>
          <w:p>
            <w:pPr>
              <w:ind w:left="40"/>
              <w:spacing w:after="0"/>
              <w:rPr>
                <w:sz w:val="20"/>
                <w:szCs w:val="20"/>
                <w:color w:val="auto"/>
              </w:rPr>
            </w:pPr>
            <w:r>
              <w:rPr>
                <w:rFonts w:ascii="Arial" w:cs="Arial" w:eastAsia="Arial" w:hAnsi="Arial"/>
                <w:sz w:val="14"/>
                <w:szCs w:val="14"/>
                <w:color w:val="auto"/>
              </w:rPr>
              <w:t>Nine months ended September 30, 2015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276"/>
        </w:trPr>
        <w:tc>
          <w:tcPr>
            <w:tcW w:w="28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Commodity contracts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nature of inputs that are considered Level 3 are modeled inputs. Commodity contracts are categorized in Level 3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26, 2016, we amended our Credit Facility which added a new $520 million Term Loan facility, thereby increasing the aggregate outstanding Term Loans to approximately $840.0 million, and expanded our right to request increases in available borrowings up to an additional $200.0 million, subject to the satisfaction of certain conditions. The amended Credit Facility matures in October 2021.</w:t>
      </w:r>
    </w:p>
    <w:p>
      <w:pPr>
        <w:spacing w:after="0" w:line="10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had outstanding borrowings under our Credit Facility totaling $796.0 million and $416.0 million as of September 30, 2016 and December 31, 2015, respectively. Our issued letters of credit under the Credit Facility totaled $5.1 million and $5.5 million as of September 30, 2016 and December 31, 2015, respectively. We also had $323.0 million and $333.2 million in Term Loans outstanding as of September 30, 2016 and December 31, 2015, respectively. As of September 30, 2016 and December 31, 2015, the unused portion of our Credit Facility was $457.6 million and $838.5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2016, we were in compliance with all financial covenants contained in our Credit Facility and our Term Loans.</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other uncommitted credit lines primarily for the issuance of letters of credit, bank guarantees and bankers’ acceptances. These credit lines are renewable on an annual basis and are subject to fees at market rates. As of September 30, 2016 and December 31, 2015, our outstanding letters of credit and bank guarantees under these credit lines totaled $156.8 million and $208.4 million, respectively.</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344"/>
        </w:trPr>
        <w:tc>
          <w:tcPr>
            <w:tcW w:w="6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796.0</w:t>
            </w:r>
          </w:p>
        </w:tc>
        <w:tc>
          <w:tcPr>
            <w:tcW w:w="8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416.0</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8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323.0</w:t>
            </w:r>
          </w:p>
        </w:tc>
        <w:tc>
          <w:tcPr>
            <w:tcW w:w="8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Capital leases</w:t>
            </w:r>
          </w:p>
        </w:tc>
        <w:tc>
          <w:tcPr>
            <w:tcW w:w="8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86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8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Total debt</w:t>
            </w:r>
          </w:p>
        </w:tc>
        <w:tc>
          <w:tcPr>
            <w:tcW w:w="820" w:type="dxa"/>
            <w:vAlign w:val="bottom"/>
          </w:tcPr>
          <w:p>
            <w:pPr>
              <w:spacing w:after="0"/>
              <w:rPr>
                <w:sz w:val="22"/>
                <w:szCs w:val="22"/>
                <w:color w:val="auto"/>
              </w:rPr>
            </w:pP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1,138.9</w:t>
            </w:r>
          </w:p>
        </w:tc>
        <w:tc>
          <w:tcPr>
            <w:tcW w:w="86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772.2</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Short-term debt</w:t>
            </w:r>
          </w:p>
        </w:tc>
        <w:tc>
          <w:tcPr>
            <w:tcW w:w="8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8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1,110.1</w:t>
            </w:r>
          </w:p>
        </w:tc>
        <w:tc>
          <w:tcPr>
            <w:tcW w:w="8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746.7</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0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63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r>
      <w:tr>
        <w:trPr>
          <w:trHeight w:val="250"/>
        </w:trPr>
        <w:tc>
          <w:tcPr>
            <w:tcW w:w="63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Comprehensive Income (Loss) and Accumulated Other Comprehensive Loss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derivative instruments, was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Currency</w:t>
            </w:r>
          </w:p>
        </w:tc>
        <w:tc>
          <w:tcPr>
            <w:tcW w:w="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2015</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Less: Net other comprehensive (loss) income attributable to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0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2016</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(134.8)</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Balance as of December 31, 2014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Net other comprehensive income attributable to noncontrolling interest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September 30, 2015</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foreign currency translation adjustment losses for the nine months ended September 30, 2016 were primarily due to the strengthening of the U.S. dollar as compared to the Brazilian Real and the British Pound. The foreign currency translation adjustment losses for the nine months ended September 30, 2015 were primarily due to the strengthening of the U.S. dollar as compared to the Brazilian Real and the British Pound.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For the Three Months ended</w:t>
            </w:r>
          </w:p>
        </w:tc>
        <w:tc>
          <w:tcPr>
            <w:tcW w:w="640" w:type="dxa"/>
            <w:vAlign w:val="bottom"/>
          </w:tcPr>
          <w:p>
            <w:pPr>
              <w:spacing w:after="0"/>
              <w:rPr>
                <w:sz w:val="16"/>
                <w:szCs w:val="16"/>
                <w:color w:val="auto"/>
              </w:rPr>
            </w:pPr>
          </w:p>
        </w:tc>
        <w:tc>
          <w:tcPr>
            <w:tcW w:w="258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4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28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r>
      <w:tr>
        <w:trPr>
          <w:trHeight w:val="243"/>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7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20"/>
        </w:trPr>
        <w:tc>
          <w:tcPr>
            <w:tcW w:w="4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provision for income taxes for each of the three-month and nine-month periods ended September 30, 2016 and 2015 was calculated based on the estimated annual effective income tax rate for the full 2016 and 2015 fiscal years. Our provision for income taxes for the nine months ended September 30, 2016 was adjusted for an income tax benefit of $1.6 million, net, for discrete items related to changes in estimates in uncertain tax positions. Without the $1.6 million adjustment, the nine month period ended September 30, 2016 effective income tax rate would have been 12.4%. The actual effective income tax rate for the full 2016 fiscal year may be materially different as a result of differences between estimated versus actual results and the geographic tax jurisdictions in which the results are earned.</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$0.6 million and $1.1 million for the three months ended September 30, 2016 and 2015, respectively, and by $2.4 million and $3.9 million for the nine months ended September 30, 2016 and 2015, respectively. The impact of the income tax concession on basic earnings per common share was $0.01 and $0.02 for the three months ended September 30, 2016 and 2015, respectively, and $0.03 and $0.05 for the nine months ended September 30, 2016 and 2015 respectively. On a diluted earnings per common share basis, the impact was $0.01 and $0.02 for the three months ended September 30, 2016 and 2015, respectively, and $0.03 and $0.05 for the nine months ended September 30, 2016 and 2015, respectively.</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Marine</w:t>
            </w: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70"/>
        </w:trPr>
        <w:tc>
          <w:tcPr>
            <w:tcW w:w="3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2015</w:t>
            </w:r>
          </w:p>
        </w:tc>
        <w:tc>
          <w:tcPr>
            <w:tcW w:w="17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173.7</w:t>
            </w:r>
          </w:p>
        </w:tc>
        <w:tc>
          <w:tcPr>
            <w:tcW w:w="7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430.7</w:t>
            </w:r>
          </w:p>
        </w:tc>
        <w:tc>
          <w:tcPr>
            <w:tcW w:w="6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w:t>
            </w:r>
          </w:p>
        </w:tc>
        <w:tc>
          <w:tcPr>
            <w:tcW w:w="7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675.8</w:t>
            </w:r>
          </w:p>
        </w:tc>
      </w:tr>
      <w:tr>
        <w:trPr>
          <w:trHeight w:val="264"/>
        </w:trPr>
        <w:tc>
          <w:tcPr>
            <w:tcW w:w="3480" w:type="dxa"/>
            <w:vAlign w:val="bottom"/>
          </w:tcPr>
          <w:p>
            <w:pPr>
              <w:ind w:left="40"/>
              <w:spacing w:after="0"/>
              <w:rPr>
                <w:sz w:val="20"/>
                <w:szCs w:val="20"/>
                <w:color w:val="auto"/>
              </w:rPr>
            </w:pPr>
            <w:r>
              <w:rPr>
                <w:rFonts w:ascii="Arial" w:cs="Arial" w:eastAsia="Arial" w:hAnsi="Arial"/>
                <w:sz w:val="14"/>
                <w:szCs w:val="14"/>
                <w:color w:val="auto"/>
              </w:rPr>
              <w:t>Additions</w:t>
            </w:r>
          </w:p>
        </w:tc>
        <w:tc>
          <w:tcPr>
            <w:tcW w:w="170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56.4</w:t>
            </w:r>
          </w:p>
        </w:tc>
        <w:tc>
          <w:tcPr>
            <w:tcW w:w="6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56.4</w:t>
            </w:r>
          </w:p>
        </w:tc>
      </w:tr>
      <w:tr>
        <w:trPr>
          <w:trHeight w:val="270"/>
        </w:trPr>
        <w:tc>
          <w:tcPr>
            <w:tcW w:w="3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exchange and other adjustments</w:t>
            </w:r>
          </w:p>
        </w:tc>
        <w:tc>
          <w:tcPr>
            <w:tcW w:w="17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7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6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7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2016</w:t>
            </w: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169.0</w:t>
            </w:r>
          </w:p>
        </w:tc>
        <w:tc>
          <w:tcPr>
            <w:tcW w:w="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478.8</w:t>
            </w:r>
          </w:p>
        </w:tc>
        <w:tc>
          <w:tcPr>
            <w:tcW w:w="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72.1</w:t>
            </w:r>
          </w:p>
        </w:tc>
        <w:tc>
          <w:tcPr>
            <w:tcW w:w="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720.0</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Land segment additions relates primarily to our acquisitions of PAPCO and APP, $52.6 million, and are subject to change until we complete the valuation of assets acquired and liabilities assumed from PAPCO and APP (see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0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6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63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63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attributable to World Fuel</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124.5</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6300" w:type="dxa"/>
            <w:vAlign w:val="bottom"/>
          </w:tcPr>
          <w:p>
            <w:pPr>
              <w:ind w:left="18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4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70.5</w:t>
            </w:r>
          </w:p>
        </w:tc>
      </w:tr>
      <w:tr>
        <w:trPr>
          <w:trHeight w:val="270"/>
        </w:trPr>
        <w:tc>
          <w:tcPr>
            <w:tcW w:w="6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Effect of dilutive securities</w:t>
            </w: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304"/>
        </w:trPr>
        <w:tc>
          <w:tcPr>
            <w:tcW w:w="63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w:t>
            </w:r>
          </w:p>
        </w:tc>
      </w:tr>
      <w:tr>
        <w:trPr>
          <w:trHeight w:val="311"/>
        </w:trPr>
        <w:tc>
          <w:tcPr>
            <w:tcW w:w="6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6300" w:type="dxa"/>
            <w:vAlign w:val="bottom"/>
          </w:tcPr>
          <w:p>
            <w:pPr>
              <w:ind w:left="40"/>
              <w:spacing w:after="0" w:line="157" w:lineRule="exact"/>
              <w:rPr>
                <w:sz w:val="20"/>
                <w:szCs w:val="20"/>
                <w:color w:val="auto"/>
              </w:rPr>
            </w:pPr>
            <w:r>
              <w:rPr>
                <w:rFonts w:ascii="Arial" w:cs="Arial" w:eastAsia="Arial" w:hAnsi="Arial"/>
                <w:sz w:val="14"/>
                <w:szCs w:val="14"/>
                <w:color w:val="auto"/>
                <w:w w:val="99"/>
              </w:rPr>
              <w:t>Weighted average securities which are not included in the calculation of diluted earnings per common</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8"/>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share because their impact is anti-dilutive or their performance conditions have not been met</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57"/>
        </w:trPr>
        <w:tc>
          <w:tcPr>
            <w:tcW w:w="6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30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r>
      <w:tr>
        <w:trPr>
          <w:trHeight w:val="257"/>
        </w:trPr>
        <w:tc>
          <w:tcPr>
            <w:tcW w:w="6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8600" w:hanging="332"/>
        <w:spacing w:after="0" w:line="503" w:lineRule="auto"/>
        <w:tabs>
          <w:tab w:leader="none" w:pos="2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(“District Court”) seeking a court ruling indicating that the loss is not covered under our policy. On May 17, 2016, the District Court entered an Order granting summary judgment in our favor demur holding that the loss is covered under the AGCS policy. Final judgment in the case has not yet been entered however on August 18, 2016, the District Court heard oral argument on the issue of damages and pre-judgment interest, which issues are pending before the court. On June 14, 2016, AGCS filed with the District Court a Notice of Appeal whereby it sought to appeal the Order granting summary judgment to the United States Court of Appeals for the Second Circuit ("Appellate Court"), after which we filed a Notice of Cross-Appeal. On August 3, 2016, the Appellate Court issued an Order staying AGCS' appeal pending entry of judgment in the underlying case. We believe AGCS’ position is without merit and we intend to vigorously pursue our rights. However, due to the complexities and uncertainties inherent in litigation, we can provide no assurance that we will recover the full amount of the loss.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31, 2016, Hanjin Shipping Co., Ltd. (“Hanjin”), one of our customers in our marine segment, filed for bankruptcy protection in South Korea and on September 1, 2016, the Korean Rehabilitation Court accepted Hanjin’s application for rehabilitation. As of October 13, 2016, we had outstanding receivables owing from Hanjin of approximately $18 million. We believe we will recover all or substantially all the amounts owed to us by Hanjin, or otherwise successfully mitigate any related losses, through the enforcement of maritime liens against vessels as well as other avenues of recovery and loss mitigation. However, there can be no assurance, that we will be able to recover all amounts owed or fully mitigate all losses.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are under review by the Internal Revenue Service and various other domestic and foreign tax authorities with regards to income tax and indirect tax matters and are involved in various challenges and litigation in a number of countries, including, in particular, US, Brazil and South Korea, where the amounts under controversy may be significant. When we deem it appropriate and the amounts are reasonably estimable, we establish reserves for potential adjustments to our provision for income taxes and accrual of indirect taxes that may result from examinations by these tax authorities. If events occur which indicate payment of these amounts is unnecessary, the reversal of the liabilities would result in the recognition of benefits in the period we determine the liabilities are no longer necessary. If our estimates of the federal, state, and foreign income tax liabilities and indirect tax liabilities are less than the ultimate assessment, it could result in a further charge to expense. We believe that the final outcome of these examinations, agreements, administrative or judicial proceedings will not have a material effect on our results of operations or cash flows.</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September 30, 2016,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Based on the nature of operations and quantitative thresholds pursuant to accounting guidance for segment reporting, we have three reportable operating business segments: aviation, land and marine. Corporate expenses are allocated to the segments based on usage, where possible, or on other factors according to the nature of the activity. Within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to the United States (“U.S.”) and foreign governments as well as intergovernmental organizations. In our land segment, we offer fuel, crude oil, lubricants, power solutions through our global energy management service offerings,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1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4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September 30,</w:t>
            </w:r>
          </w:p>
        </w:tc>
      </w:tr>
      <w:tr>
        <w:trPr>
          <w:trHeight w:val="264"/>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2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2,969.2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2,995.3</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7,810.2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9,077.6</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2,509.8</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2,427.3</w:t>
            </w:r>
          </w:p>
        </w:tc>
        <w:tc>
          <w:tcPr>
            <w:tcW w:w="3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6,375.9</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7,055.9</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1,920.7</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2,388.1</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5,037.5</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7,514.3</w:t>
            </w:r>
          </w:p>
        </w:tc>
      </w:tr>
      <w:tr>
        <w:trPr>
          <w:trHeight w:val="304"/>
        </w:trPr>
        <w:tc>
          <w:tcPr>
            <w:tcW w:w="4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7,399.8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7,810.7</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19,223.6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23,647.8</w:t>
            </w:r>
          </w:p>
        </w:tc>
      </w:tr>
      <w:tr>
        <w:trPr>
          <w:trHeight w:val="311"/>
        </w:trPr>
        <w:tc>
          <w:tcPr>
            <w:tcW w:w="42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87.8</w:t>
            </w:r>
          </w:p>
        </w:tc>
        <w:tc>
          <w:tcPr>
            <w:tcW w:w="26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71.3</w:t>
            </w:r>
          </w:p>
        </w:tc>
        <w:tc>
          <w:tcPr>
            <w:tcW w:w="3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261.7</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213.5</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37.2</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48.6</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116.0</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144.3</w:t>
            </w:r>
          </w:p>
        </w:tc>
      </w:tr>
      <w:tr>
        <w:trPr>
          <w:trHeight w:val="304"/>
        </w:trPr>
        <w:tc>
          <w:tcPr>
            <w:tcW w:w="4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236.7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226.7</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676.7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630.7</w:t>
            </w: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2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52.6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123.8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99.1</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64.0</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2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w:t>
            </w:r>
          </w:p>
        </w:tc>
      </w:tr>
      <w:tr>
        <w:trPr>
          <w:trHeight w:val="270"/>
        </w:trPr>
        <w:tc>
          <w:tcPr>
            <w:tcW w:w="4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76.8</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83.6</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220.5</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221.5</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2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r>
      <w:tr>
        <w:trPr>
          <w:trHeight w:val="264"/>
        </w:trPr>
        <w:tc>
          <w:tcPr>
            <w:tcW w:w="42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164.8</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r>
      <w:tr>
        <w:trPr>
          <w:trHeight w:val="258"/>
        </w:trPr>
        <w:tc>
          <w:tcPr>
            <w:tcW w:w="8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8360" w:type="dxa"/>
            <w:vAlign w:val="bottom"/>
          </w:tcPr>
          <w:p>
            <w:pPr>
              <w:ind w:left="180"/>
              <w:spacing w:after="0"/>
              <w:rPr>
                <w:sz w:val="20"/>
                <w:szCs w:val="20"/>
                <w:color w:val="auto"/>
              </w:rPr>
            </w:pPr>
            <w:r>
              <w:rPr>
                <w:rFonts w:ascii="Arial" w:cs="Arial" w:eastAsia="Arial" w:hAnsi="Arial"/>
                <w:sz w:val="14"/>
                <w:szCs w:val="14"/>
                <w:color w:val="auto"/>
              </w:rPr>
              <w:t>Aviation segment, net of allowance for bad debt of $6.2 and $6.1 as of September 30, 2016 and December 31, 2015, respectively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590.7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571.6</w:t>
            </w:r>
          </w:p>
        </w:tc>
      </w:tr>
      <w:tr>
        <w:trPr>
          <w:trHeight w:val="27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 net of allowance for bad debt of $7.4 and $7.2 as of September 30, 2016 and December 31, 2015, respectively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747.1</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629.8</w:t>
            </w:r>
          </w:p>
        </w:tc>
      </w:tr>
      <w:tr>
        <w:trPr>
          <w:trHeight w:val="264"/>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 net of allowance for bad debt of $10.8 and $10.6 as of September 30, 2016 and December 31, 2015, respectively</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724.8</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611.2</w:t>
            </w:r>
          </w:p>
        </w:tc>
      </w:tr>
      <w:tr>
        <w:trPr>
          <w:trHeight w:val="264"/>
        </w:trPr>
        <w:tc>
          <w:tcPr>
            <w:tcW w:w="83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2,062.6</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1,812.6</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1,812.7</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1,546.9</w:t>
            </w:r>
          </w:p>
        </w:tc>
      </w:tr>
      <w:tr>
        <w:trPr>
          <w:trHeight w:val="264"/>
        </w:trPr>
        <w:tc>
          <w:tcPr>
            <w:tcW w:w="83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1,957.3</w:t>
            </w:r>
          </w:p>
        </w:tc>
        <w:tc>
          <w:tcPr>
            <w:tcW w:w="4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1,651.5</w:t>
            </w:r>
          </w:p>
        </w:tc>
      </w:tr>
      <w:tr>
        <w:trPr>
          <w:trHeight w:val="276"/>
        </w:trPr>
        <w:tc>
          <w:tcPr>
            <w:tcW w:w="8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1,237.8</w:t>
            </w: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1,149.5</w:t>
            </w:r>
          </w:p>
        </w:tc>
      </w:tr>
      <w:tr>
        <w:trPr>
          <w:trHeight w:val="264"/>
        </w:trPr>
        <w:tc>
          <w:tcPr>
            <w:tcW w:w="8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177.3</w:t>
            </w:r>
          </w:p>
        </w:tc>
      </w:tr>
      <w:tr>
        <w:trPr>
          <w:trHeight w:val="264"/>
        </w:trPr>
        <w:tc>
          <w:tcPr>
            <w:tcW w:w="83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5,152.5</w:t>
            </w:r>
          </w:p>
        </w:tc>
        <w:tc>
          <w:tcPr>
            <w:tcW w:w="4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4,525.3</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2015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are disclosed in “Item 1A — Risk Factors” of our 2015 10-K Report, as updated in our previously filed 10-Q Reports.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achievements, and may contain the words “believe,” “anticipate,” “expect,” “estimate,” “project,” “could,” “would,” “will,” “will be,” “will continue,” “will likely result,” “plan,” or words or phrases of similar meaning.</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Examples of forward-looking statements in this 10-Q Report include, but are not limited to, our expectations about the conditions in the marine and aviation markets, cost reduction initiatives, the timing, cost and benefits of our multi-year project and upgrade of our Enterprise Resource Planning (“ERP”) platform, the timing for closing the acquisition of assets from ExxonMobil affiliates and funding of the purchase price, as well as expectations regarding our government business, our business strategy, business prospects, operating results, effectiveness of internal controls to manage risk, working capital, liquidity, capital expenditure requirements and future acquisitions. These forward-looking statements are qualified in their entirety by cautionary statements and risk factor disclosures contained in the company’s Securities and Exchange Commission filings, including the company’s Annual Report on Form 10-K filed with the SEC on February 16, 2016. Important assumptions relating to the forward-looking statements include, among others, assumptions regarding our ability to obtain required consents and satisfy closing conditions in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and other global market impacts associated with United Kingdom referendum vote to exit from the European Union;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2015 10-K Report and those described from time to time in our other filings with the SEC.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 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the Company following this report that modify or impact any of the forward-looking statements contained in or accompanying this 10-Q Report will be deemed to modify or supersede such forward-looking statements.</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Declines in commodity and energy prices, together with slow economic growth globally, continue to impact the shipping and offshore oil exploration markets, adversely affecting our marine segment. These macroeconomic trends are complex and present both opportunities and risks for our business. Sustained low fuel prices as compared to previous years, and limited volatility result in decreased per unit margins, reduced demand for our price risk management products, and lower sales to the offshore specialty market due to the significant reduction in offshore exploration activity. We expect that adverse conditions in the shipping markets will continue over the remainder of 2016 and into 2017. Further, as previously communicated, we have identified and intend to execute certain cost reduction activities that are designed to lower our marine segment cost structure and drive efficiencies.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our land segment is well positioned to continue growing market share, both organically and through leveraging the capabilities of our acquisitions, including the recently announced PAPCO, Inc. ("PAPCO") and Associated Petroleum Products, Inc. ("APP") acquisitions. PAPCO, headquartered in Virginia Beach, VA and APP, headquartered in Tacoma, WA are leading distributors of gasoline, diesel, lubricants, propane and related services in the Mid-Atlantic and the Pacific Northwest region of the United States, respectively. These acquisitions combined with our existing land segment operations, will serve to further enhance our commercial and industrial platforms to deliver value-added solutions to customers across the United States.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our land segment can be impacted substantially by weather conditions. In periods where we experience historically unusual weather conditions, demand for our products may be affected. For example, during the third quarter of 2016, we experienced unseasonably warm weather conditions in the U.K. during the latter part of the quarter, which lowered demand for our fuel products. The continuation of extreme weather conditions in the future could adversely impact our results of operations.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our aviation segment is well positioned to capitalize on the low fuel price environment, which could result in increased passenger growth and route expansion, enabling us to capitalize on our expanded supply capabilities in key airports both in the U.S. and internationally. Sustained low fuel prices have also reduced the working capital cost required to support our aviation segment, thereby improving returns and making such capital available for investment in other areas of our business. A significant portion of our aviation business consists of providing fuel and related products and services to the U.S. and foreign governments. While we still expect military-related activity to decline over time, the related contribution to aviation profitability in 2016 is expected to be slightly better than the levels we experienced in 2015. Demand for these products and services is driven by global events and military-related activities and can therefore significantly change from period to period.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aviation segment capabilities will benefit from the previously announced ExxonMobil transaction, where we agreed to acquire aviation fueling operations from certain ExxonMobil affiliates. This transaction once completed will expand our commercial and general aviation network by adding physical supply at more than 80 airports throughout Canada, France, U.K., Germany, Italy, New Zealand, and Australia. Our integration team remains diligently engaged in completing this transaction and we expect to complete the Canada, France and U.K. locations during the fourth quarter of 2016. The remaining locations are expected to be completed during the first half of 2017. We expect this transaction to modestly contribute to profitibality in the fourth quarter of 2016. The transaction is subject to customary regulatory consents and closing conditions, including securing third party consents.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experience decreases in future sales volumes and margins as a result of further deterioration in the world economy, declines in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23, 2016, the United Kingdom held a referendum in which voters approved an exit from the European Union (“E.U.”), commonly referred to as "Brexit". As a result, global markets were adversely impacted, including currencies, and resulted in a decline in the value of the British pound, as compared to the U.S. dollar and other currencies. The announcement of Brexit and the withdrawal of the U.K. from the E.U. may also create global economic uncertainty, unknown social and geopolitical impacts. These impacts may also cause our customers to closely monitor their costs and reduce their spending budgets on our products and services, which in turn, may adversely affect our business, results of operations and financial condition. Finally, our hedging activities may not be effective to mitigate volatile fuel prices and may expose us to counterparty risk.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United States (“U.S.”) and foreign governments as well as intergovernmental organizations. In our land segment, we offer fuel, crude oil, lubricants, power solutions through our global energy management service offerings, natural gas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revenue and cost of revenue are significantly impacted by fuel prices. Our operating results are subject to seasonal variability. Seasonality results from numerous factors, including traditionally higher demand for natural gas and home heating oil during the winter months and aviation and land fuel during the summer months, as well as other seasonal weather patterns. Additionally, significant movements in fuel prices during any given financial period can have a significant impact on our gross profit, either positively or negatively depending on the direction, volatility and timing of such price movements.</w:t>
      </w:r>
    </w:p>
    <w:p>
      <w:pPr>
        <w:spacing w:after="0" w:line="15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Selected financial information with respect to our business segments is provided in Note 12 to the accompanying consolidated financial statements included in this 10</w:t>
      </w:r>
      <w:r>
        <w:rPr>
          <w:rFonts w:ascii="MS PGothic" w:cs="MS PGothic" w:eastAsia="MS PGothic" w:hAnsi="MS PGothic"/>
          <w:sz w:val="18"/>
          <w:szCs w:val="18"/>
          <w:color w:val="auto"/>
        </w:rPr>
        <w:t>‑</w:t>
      </w:r>
      <w:r>
        <w:rPr>
          <w:rFonts w:ascii="Arial" w:cs="Arial" w:eastAsia="Arial" w:hAnsi="Arial"/>
          <w:sz w:val="18"/>
          <w:szCs w:val="18"/>
          <w:color w:val="auto"/>
        </w:rPr>
        <w:t>Q Report.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2016 Compared to Three Months Ended September 30, 2015</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2016 was $7.4 billion, a decrease of $0.4 billion, or 5.3%, as compared to the third quarter of 2015.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2,969.2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2,995.3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3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2,509.8</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2,427.3</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82.5</w:t>
            </w:r>
          </w:p>
        </w:tc>
      </w:tr>
      <w:tr>
        <w:trPr>
          <w:trHeight w:val="27"/>
        </w:trPr>
        <w:tc>
          <w:tcPr>
            <w:tcW w:w="4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1,920.7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2,388.1</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r>
      <w:tr>
        <w:trPr>
          <w:trHeight w:val="237"/>
        </w:trPr>
        <w:tc>
          <w:tcPr>
            <w:tcW w:w="426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7,399.8</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7,810.7</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w:t>
            </w:r>
          </w:p>
        </w:tc>
      </w:tr>
      <w:tr>
        <w:trPr>
          <w:trHeight w:val="27"/>
        </w:trPr>
        <w:tc>
          <w:tcPr>
            <w:tcW w:w="42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$3.0 billion for the third quarter of 2016, a decrease of $26.1 million, or 0.9% as compared to the third quarter of 2015. The decline in aviation revenues was driven by lower average jet fuel prices per gallon sold in the third quarter of 2016, where the average price per gallon sold was $1.57, as compared to $1.79 in the third quarter of 2015. The overall decline attributable to jet fuel prices was partially offset by increased volumes, which were influenced by additional market share acquired. Volumes for the third quarter of 2016 were 1.9 billion gallons, an increase of 13.1%, as compared to the comparable prior year period.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$2.5 billion for the third quarter of 2016, an increase of $82.5 million, or 3.4%, as compared to the third quarter of 2015. The increase in land revenues primarily resulted from a 12.9% volume increase in our land segment to 1.4 billion gallons for the third quarter of 2016, primarily attributable to new customers and acquired businesses, as compared to the 2015 period, partially offset by a lower average fuel price per gallon sold in the third quarter of 2016, as compared to the third quarter of 2015.</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marine segment were $1.9 billion for the third quarter of 2016, a decrease of $0.5 billion, or 19.6%, as compared to the third quarter of 2015. The decrease was driven by declines in average prices and volumes sold. We experienced a 12.1% decline in the average price per metric ton sold, to $244.8 in the third quarter of 2016 as compared to $278.5 in the third quarter of 2015. Volumes in our marine segment declined 8.5% to 7.8 million metric tons for the third quarter of 2016, as compared to the 2015 period. Our marine segment continues to be adversely impacted by the prolonged weakness in the overall maritime industry.</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third quarter of 2016 was $236.7 million, an increase of $10.0 million, or 4.4%, as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Our gross profit during these periods was attributable to the following segments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50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71.3</w:t>
            </w: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16.5</w:t>
            </w:r>
          </w:p>
        </w:tc>
      </w:tr>
      <w:tr>
        <w:trPr>
          <w:trHeight w:val="27"/>
        </w:trPr>
        <w:tc>
          <w:tcPr>
            <w:tcW w:w="4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48.6</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4320" w:type="dxa"/>
            <w:vAlign w:val="bottom"/>
            <w:tcBorders>
              <w:top w:val="single" w:sz="8" w:color="auto"/>
            </w:tcBorders>
          </w:tcPr>
          <w:p>
            <w:pPr>
              <w:spacing w:after="0"/>
              <w:rPr>
                <w:sz w:val="20"/>
                <w:szCs w:val="20"/>
                <w:color w:val="auto"/>
              </w:rPr>
            </w:pPr>
          </w:p>
        </w:tc>
        <w:tc>
          <w:tcPr>
            <w:tcW w:w="3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236.7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226.7</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r>
        <w:trPr>
          <w:trHeight w:val="27"/>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third quarter of 2016 was $111.7 million, an increase of $4.8 million, or 4.5%, as compared to the third quarter of 2015. The increase in aviation gross profit was primarily due to increases in the core resale business in North America, Europe and Asia Pacific, as well as increases in U.S. and foreign military-related activity. We expect gross profit in our aviation segment to experience traditional seasonal declines in gross profit in the fourth quarter.</w:t>
      </w:r>
    </w:p>
    <w:p>
      <w:pPr>
        <w:spacing w:after="0" w:line="18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Our land segment gross profit for the third quarter of 2016 was $87.8 million, an increase of $16.5 million, or 23.2%, as compared to the third quarter of 2015. While average fuel prices per gallon sold decreased, our land segment generated an increase in gross profit that was driven by recently acquired businesses, including PAPCO and APP. Increases in our land segment were partially offset by lower demand in the agricultural sector in the United Kingdom.</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marine segment gross profit for the third quarter of 2016 was $37.2 million, a decrease of $11.4 million, or 23.4%, as compared to the third quarter of 2015. Our marine segment continued to be adversely impacted by the prolonged weakness in the overall maritime industry. The lower fuel price environment, combined with lower price volatility, led to decreased demand for our price risk management offerings, which contributed to lower overall unit margins. In addition, certain large marine customers experienced financial challenges, which created disruption and introduced additional uncertainty in the markets where we operate.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2016 were $178.4 million, an increase of $18.1 million, or 11.3%,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2015. The total increase in operating expenses was associated with acquired businesses primarily within our land segment.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9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9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7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37"/>
        </w:trPr>
        <w:tc>
          <w:tcPr>
            <w:tcW w:w="49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178.4</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160.3</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w:t>
            </w:r>
          </w:p>
        </w:tc>
      </w:tr>
      <w:tr>
        <w:trPr>
          <w:trHeight w:val="27"/>
        </w:trPr>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3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8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8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8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8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8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48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76.8</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83.6</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8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8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84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58.2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66.4</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8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income from operations for the third quarter of 2016 was $58.2 million, a decrease of $8.2 million , or 12.3%, as compared to the third quarter of 2015. The decrease was attributable primarily to our marine segment, which was negatively impacted by lower overall fuel prices as well as weakness in the land segment related to historically warm weather conditions in the United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Kingdom in the latter part of the third quarter. The decline in those segments was partially offset by our aviation segment, which benefited from increased volume in the core resale business in North America, Europe and Asia Pacific, as well as increases in U.S. and foreign military-related activity.</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overhead costs not charged to the business segments for the third quarter of 2016 were $18.6 million, an increase of $1.3 million, or 7.5%, as compared to the third quarter of 2015. This increase was principally driven by additional costs related to overall corporate enterprise activities that are not charged to the business segments.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third quarter of 2016, we had non-operating expenses, net of $9.8 million, an increase of $3.9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third quarter of 2015, driven principally by debt costs.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third quarter of 2016, our effective income tax rate was 11.1% and our income tax provision was $5.4 million, as compared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income tax rate of 29.3% and an income tax provision of $17.7 million for the third quarter of 2015. The lower effective income tax rate for the third quarter of 2016 was impacted principally by significantly lower results in the United States where our tax rate is the highest.</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third quarter of 2016, net income attributable to noncontrolling interest was $0.3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 million as compared to the third quarter of 2015.</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third quarter of 2016 was $42.7 million, a decrease of $1.0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2.2%, as compared to the third quarter of 2015. Diluted earnings per common share was $0.61 and $0.62 per common share for the third quarter of 2016 and 2015, respectively.</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2016 Compared to Nine Months Ended September 30, 2015</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nine months of 2016 was $19.2 billion, a decrease of $4.4 billion, or 18.7%, as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3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9,077.6</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6,375.9</w:t>
            </w:r>
          </w:p>
        </w:tc>
        <w:tc>
          <w:tcPr>
            <w:tcW w:w="260" w:type="dxa"/>
            <w:vAlign w:val="bottom"/>
          </w:tcPr>
          <w:p>
            <w:pPr>
              <w:spacing w:after="0"/>
              <w:rPr>
                <w:sz w:val="21"/>
                <w:szCs w:val="21"/>
                <w:color w:val="auto"/>
              </w:rPr>
            </w:pPr>
          </w:p>
        </w:tc>
        <w:tc>
          <w:tcPr>
            <w:tcW w:w="1880" w:type="dxa"/>
            <w:vAlign w:val="bottom"/>
          </w:tcPr>
          <w:p>
            <w:pPr>
              <w:jc w:val="right"/>
              <w:ind w:right="18"/>
              <w:spacing w:after="0"/>
              <w:rPr>
                <w:sz w:val="20"/>
                <w:szCs w:val="20"/>
                <w:color w:val="auto"/>
              </w:rPr>
            </w:pPr>
            <w:r>
              <w:rPr>
                <w:rFonts w:ascii="Arial" w:cs="Arial" w:eastAsia="Arial" w:hAnsi="Arial"/>
                <w:sz w:val="18"/>
                <w:szCs w:val="18"/>
                <w:color w:val="auto"/>
              </w:rPr>
              <w:t>7,055.9</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7"/>
        </w:trPr>
        <w:tc>
          <w:tcPr>
            <w:tcW w:w="33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5,037.5</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7,514.3</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w:t>
            </w:r>
          </w:p>
        </w:tc>
      </w:tr>
      <w:tr>
        <w:trPr>
          <w:trHeight w:val="237"/>
        </w:trPr>
        <w:tc>
          <w:tcPr>
            <w:tcW w:w="330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19,223.6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23,647.8</w:t>
            </w: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(4,424.2)</w:t>
            </w:r>
          </w:p>
        </w:tc>
      </w:tr>
      <w:tr>
        <w:trPr>
          <w:trHeight w:val="27"/>
        </w:trPr>
        <w:tc>
          <w:tcPr>
            <w:tcW w:w="33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aviation segment were $7.8 billion for the nine months ended September 30, 2016, a decrease of $1.3 billion, or 14.0%, as compared to the first nine months of 2015. The decline in aviation revenues was driven by lower average jet fuel prices per gallon sold in the first nine months of 2016, where the average price per gallon sold was $1.49, as compared to $1.93 in 2015. The overall decline attributable to jet fuel prices was partially offset by increased volume, where volumes for the first nine months of 2016 were 5.2 billion gallons, an increase of 11.7%, as compared to the comparable prior year period.</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Revenues in our land segment were $6.4 billion for the first nine months of 2016, a decrease of $680.0 million, or 9.6%, as compared to the first nine months of 2015. The decline in land revenues primarily resulted from a lower average fuel price per gallon sold during the first nine months of 2016, as compared to the first nine months of 2015. The overall decline was partially offset by an increase in volumes, from new customers and acquired businesses, where volumes for the first nine months of 2016 were 3.9 billion gallons, an increase of 9.2%, as compared to the first nine months of 2015.</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marine segment were $5.0 billion for the first nine months of 2016, a decrease of $2.5 billion, or 33.0%, as compared to the first nine months of 2015. The decrease was driven primarily by a 30.4% decline in the average price per metric ton sold, to $212.3 in the first nine months of 2016 as compared to $305.1 in the first nine months of 2015. Volumes in our marine segment for the first nine months of 2016 were 23.7 million metric tons and decreased by 3.7%, as compared to the first nine months of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nine months of 2016 was $676.7 million, an increase of $46.0 million, or 7.3%,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2015. Our gross profit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3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3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273.0</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8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261.7</w:t>
            </w:r>
          </w:p>
        </w:tc>
        <w:tc>
          <w:tcPr>
            <w:tcW w:w="260" w:type="dxa"/>
            <w:vAlign w:val="bottom"/>
          </w:tcPr>
          <w:p>
            <w:pPr>
              <w:spacing w:after="0"/>
              <w:rPr>
                <w:sz w:val="21"/>
                <w:szCs w:val="21"/>
                <w:color w:val="auto"/>
              </w:rPr>
            </w:pPr>
          </w:p>
        </w:tc>
        <w:tc>
          <w:tcPr>
            <w:tcW w:w="1880" w:type="dxa"/>
            <w:vAlign w:val="bottom"/>
          </w:tcPr>
          <w:p>
            <w:pPr>
              <w:jc w:val="right"/>
              <w:ind w:right="18"/>
              <w:spacing w:after="0"/>
              <w:rPr>
                <w:sz w:val="20"/>
                <w:szCs w:val="20"/>
                <w:color w:val="auto"/>
              </w:rPr>
            </w:pPr>
            <w:r>
              <w:rPr>
                <w:rFonts w:ascii="Arial" w:cs="Arial" w:eastAsia="Arial" w:hAnsi="Arial"/>
                <w:sz w:val="18"/>
                <w:szCs w:val="18"/>
                <w:color w:val="auto"/>
              </w:rPr>
              <w:t>213.5</w:t>
            </w:r>
          </w:p>
        </w:tc>
        <w:tc>
          <w:tcPr>
            <w:tcW w:w="7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48.2</w:t>
            </w:r>
          </w:p>
        </w:tc>
      </w:tr>
      <w:tr>
        <w:trPr>
          <w:trHeight w:val="27"/>
        </w:trPr>
        <w:tc>
          <w:tcPr>
            <w:tcW w:w="3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8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116.0</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144.3</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330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676.7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630.7</w:t>
            </w: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w:t>
            </w:r>
          </w:p>
        </w:tc>
      </w:tr>
      <w:tr>
        <w:trPr>
          <w:trHeight w:val="27"/>
        </w:trPr>
        <w:tc>
          <w:tcPr>
            <w:tcW w:w="3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first nine months of 2016 was $298.9 million, an increase of $26.0 million, or 9.5%, as compared to the first nine months of 2015. The increase in aviation gross profit was due to increased volume attributable to the core resale business in North America, Europe and Asia, as well as increased activity in our U.S. and foreign military-related businesses.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first nine months of 2016 was $261.7 million, an increase of $48.2 million, or 22.6%, as compared to the first nine months of 2015. The increase in land segment gross profit was primarily driven by recently acquired businesses, including PAPCO, APP and acquisitions in our global energy management services business. Increases in our land segment were partially offset by lower demand in the United Kingdom due to unseasonably warm weather conditions.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first nine months of 2016 was $116.0 million, a decrease of $28.3 million, or 19.6%, as compared to the first nine months of 2015. The marine segment continued to be adversely impacted by the prolonged weakness in the overall maritime industry. The lower fuel price environment combined with lower price volatility, led to decreased demand for our price risk management offerings, which contributed to lower overall unit margins.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nine months of 2016 were $511.9 million, an increase of $56.8 million, or 12.5%,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nine months of 2015. The total increase in operating expenses was associated with acquired businesses. The following table sets forth our expense categories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40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40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0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270.3</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0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1"/>
                <w:szCs w:val="21"/>
                <w:color w:val="auto"/>
              </w:rPr>
            </w:pPr>
          </w:p>
        </w:tc>
        <w:tc>
          <w:tcPr>
            <w:tcW w:w="1880" w:type="dxa"/>
            <w:vAlign w:val="bottom"/>
          </w:tcPr>
          <w:p>
            <w:pPr>
              <w:jc w:val="right"/>
              <w:ind w:right="18"/>
              <w:spacing w:after="0"/>
              <w:rPr>
                <w:sz w:val="20"/>
                <w:szCs w:val="20"/>
                <w:color w:val="auto"/>
              </w:rPr>
            </w:pPr>
            <w:r>
              <w:rPr>
                <w:rFonts w:ascii="Arial" w:cs="Arial" w:eastAsia="Arial" w:hAnsi="Arial"/>
                <w:sz w:val="18"/>
                <w:szCs w:val="18"/>
                <w:color w:val="auto"/>
              </w:rPr>
              <w:t>5.2</w:t>
            </w:r>
          </w:p>
        </w:tc>
        <w:tc>
          <w:tcPr>
            <w:tcW w:w="7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4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0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200.2</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179.6</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r>
      <w:tr>
        <w:trPr>
          <w:trHeight w:val="237"/>
        </w:trPr>
        <w:tc>
          <w:tcPr>
            <w:tcW w:w="40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511.9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455.1</w:t>
            </w:r>
          </w:p>
        </w:tc>
        <w:tc>
          <w:tcPr>
            <w:tcW w:w="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w:t>
            </w:r>
          </w:p>
        </w:tc>
      </w:tr>
      <w:tr>
        <w:trPr>
          <w:trHeight w:val="27"/>
        </w:trPr>
        <w:tc>
          <w:tcPr>
            <w:tcW w:w="40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Of the $35.9 million increase in compensation and employee benefits, $21.2 million was due to expenses related to acquired businesses and $14.7 million was due to compensation for new hires to support our growing global business. The $20.6 million increase in general and administrative expenses was principally due to expenses related to acquired businesses.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excluding unallocated corporate overhead, for the first nine months of 2016 was $220.5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$1.0 million, or 0.4%, as compared to the first nine months of 2015. Income from operations during these periods was attributable to the following segments (in millions):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For the Nine Months Ended</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3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r>
      <w:tr>
        <w:trPr>
          <w:trHeight w:val="264"/>
        </w:trPr>
        <w:tc>
          <w:tcPr>
            <w:tcW w:w="3880" w:type="dxa"/>
            <w:vAlign w:val="bottom"/>
            <w:tcBorders>
              <w:bottom w:val="single" w:sz="8" w:color="auto"/>
            </w:tcBorders>
            <w:shd w:val="clear" w:color="auto" w:fill="CCEEFF"/>
          </w:tcPr>
          <w:p>
            <w:pPr>
              <w:spacing w:after="0"/>
              <w:rPr>
                <w:sz w:val="22"/>
                <w:szCs w:val="22"/>
                <w:color w:val="auto"/>
              </w:rPr>
            </w:pPr>
          </w:p>
        </w:tc>
        <w:tc>
          <w:tcPr>
            <w:tcW w:w="2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 Change</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22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99.1</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24.7</w:t>
            </w:r>
          </w:p>
        </w:tc>
      </w:tr>
      <w:tr>
        <w:trPr>
          <w:trHeight w:val="27"/>
        </w:trPr>
        <w:tc>
          <w:tcPr>
            <w:tcW w:w="3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2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64.0</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Marine Segment</w:t>
            </w:r>
          </w:p>
        </w:tc>
        <w:tc>
          <w:tcPr>
            <w:tcW w:w="22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1"/>
                <w:szCs w:val="21"/>
                <w:color w:val="auto"/>
              </w:rPr>
            </w:pP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57.3</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3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220.5</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221.5</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Corporate overhead - unallocated</w:t>
            </w:r>
          </w:p>
        </w:tc>
        <w:tc>
          <w:tcPr>
            <w:tcW w:w="2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(46.1)</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3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175.6</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Our income from operations, including unallocated corporate overhead, for the first nine months of 2016 was $164.8 million, a decrease of $10.8 million, or 6.1%, as compared to the third quarter of 2015. The decline was primarily attributable to our marine segment and, to a lesser extent our land segment, where income from operations declined modestly. In our marine segment, income from operations for the first nine months of 2016 was $32.8 million, a decrease of $24.5 million, or 42.8%, as compared to the first nine months of 2015. Our marine segment continued to be adversely impacted by the prolonged weakness in the overall maritime industry. The lower fuel price environment, combined with lower price volatility, led to decreased demand for our price risk management offerings and lower overall unit margins in the first nine months of 2016 as compared to the first nine months of 2015. In addition, certain large marine customers experienced financial challenges, which created disruption and introduced additional uncertainty in the markets where we operate. The declines in our marine and land segments were partially offset by increases in our aviation segment, where our aviation segment benefited from increased volume attributable to our core resale business and increased activity in our U.S. and foreign military-related businesses.</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Corporate overhead costs not charged to the business segments for the first nine months of 2016 were $55.7 million, an increase of $9.6 million, or 20.9%, as compared to the first nine months of 2015, principally driven by additional costs related to overall corporate enterprise activities that are not charged to the business segments and are designed to support our growing global business.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We had non-operating expenses, net of $24.8 million and $21.0 million, for the first nine months of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driven principally by debt costs.</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nine months of 2016, our effective income tax rate was 11.2% and our income tax provision was $15.7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21.7% and an income tax provision of $33.6 million for the first nine months of 2015. Our provision for income taxes for the nine months ended September 30, 2016 was adjusted for an income tax benefit of $1.6 million, net for discrete items related to changes in estimates in uncertain tax positions. Without the $1.6 million adjustment, the nine month period ended September 30, 2016 effective income tax rate would have been 12.4%. The lower effective income tax rate for the first nine months of 2016 was impacted principally by significantly lower results in the United States where our tax rate is the highest.</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nine months of 2016, net income attributable to noncontrolling interest was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$3.6 million as compared to the first nine months of 2015.</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first nine months of 2016 was $124.3 million , an decrease of $167.8</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or 0.1%, as compared to the first nine months of 2015. Diluted earnings per common share for the first nine months of 2016 was $1.78 per common share, an increase of $0.03 per common share, or 1.7%, as compared to the first nine months of 2015.</w:t>
      </w:r>
    </w:p>
    <w:p>
      <w:pPr>
        <w:spacing w:after="0" w:line="3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2016 and 2015 (in millions). For additional details, please see the consolidated statements of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6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8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83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325.2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325.7</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99.9</w:t>
            </w:r>
          </w:p>
        </w:tc>
      </w:tr>
      <w:tr>
        <w:trPr>
          <w:trHeight w:val="20"/>
        </w:trPr>
        <w:tc>
          <w:tcPr>
            <w:tcW w:w="8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nine months ended September 30, 2016, net cash provided by operating activities was $220.3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$325.2 million for the first nine months of 2015. The $104.9 million decrease in operating cash flows was primarily due to year-over-year changes in assets and liabilities, net of acquisitions. Cash flows from changes in inventory, resulted in a cash use of $89.3 million in the first nine months of 2016 as compared to cash provided of $22.6 million in the comparable period of 2015. This change was as a result of additional inventory in support of overall volume increases, specifically in our aviation and land segments. Cash flows from net accounts receivable and accounts payable balances, decreased $47.6 million. These decreases were partially offset by changes in the associated cash collateral we are required to post with our financial counterparties which provided $128.8 million during the first nine months of 2016, as compared to $93.9 million during the first nine months of 2015 principally driven by lower average fuel prices.</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Investing </w:t>
      </w:r>
      <w:r>
        <w:rPr>
          <w:rFonts w:ascii="Arial" w:cs="Arial" w:eastAsia="Arial" w:hAnsi="Arial"/>
          <w:sz w:val="18"/>
          <w:szCs w:val="18"/>
          <w:color w:val="auto"/>
        </w:rPr>
        <w:t>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2016, net cash used in investing activities was $259.2 million as compared to $114.0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nine months of 2015. Of the $145.1 million increase in cash used in investing activities, $184.5 million was due to increased acquisition-related activity, which was partly offset by $29.3 million of proceeds from the sale of assets.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For the nine months ended September 30, 2016, net cash provided by financing activities was $325.7 million as compared to $99.9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cash provided by financing activities for the first nine months of 2015. The $225.8 million increase was principally due to $168.1 million higher net borrowings under our credit facility in the first nine months of 2016 as compared to the first nine months of 2015 and a $52.1 million decrease in cash used for common stock repurchases in the first nine months of 2016 as compared to the first nine months of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September 30, 2016 and December 31, 2015, we had cash and cash equivalents of $872.3 million and $582.5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Our primary use of cash and cash equivalents are to fund working capital and strategic investments. We are usually extended unsecured trade credit from our suppliers for our fuel purchases. Increases in oil prices can negatively affect liquidity by increasing the amount of cash needed to fund fuel purchases as well as reducing the amount of fuel which we can purchase on an unsecured basis from our suppliers.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On October 26, 2016, we amended our Credit Facility which added a new $520 million Term Loan facility, thereby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aggregate outstanding Term Loans to approximately $840.0 million, and expanded our right to request increases in available borrowings up to an additional $200.0 million, subject to the satisfaction of certain conditions. The amended Credit Facility matures in October 2021.</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had outstanding borrowings under our Credit Facility totaling $796.0 million and $416.0 million as of September 30, 2016 and December 31, 2015, respectively. Our issued letters of credit under the Credit Facility totaled $5.1 million and $5.5 million as of September 30, 2016 and December 31, 2015, respectively. We also had $323.0 million and $333.2 million in Term Loans outstanding as of September 30, 2016 and December 31, 2015, respectively. As of September 30, 2016 and December 31, 2015, the unused portion of our Credit Facility was $457.6 million and $838.5 million, respectively.</w:t>
      </w:r>
    </w:p>
    <w:p>
      <w:pPr>
        <w:spacing w:after="0" w:line="15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liquidity, consisting of cash and cash equivalents and availability under the Credit Facility, which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6"/>
          <w:szCs w:val="16"/>
          <w:color w:val="auto"/>
        </w:rPr>
        <w:t>‑</w:t>
      </w:r>
      <w:r>
        <w:rPr>
          <w:rFonts w:ascii="Arial" w:cs="Arial" w:eastAsia="Arial" w:hAnsi="Arial"/>
          <w:sz w:val="16"/>
          <w:szCs w:val="16"/>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2016, we were in compliance with all financial covenants contained in our Credit Facility and our Term Loans.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previously committed to undertake a multi-year project designed to drive greater improvement in operating efficiencies and optimize scalability designed to incorporate acquisitions that we may undertake in the future. We will accomplish this in part by a global design and deployment of an upgrade to our existing ERP platform. We are currently in the planning phase and the cost incurred during the first nine months of 2016 was not considered significant. We expect the total cost of the project over the next three years to range between $30.0 million and $40.0 million.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September 30, 2016 and December 31, 2015, our outstanding letters of credit and bank guarantees under these credit lines totaled $156.8 million and $208.4 million, respectively. We also have Receivables Purchase Agreements (“RPAs”) that allow for the sale of up to an aggregate of $499.0 million of our accounts receivable. As of September 30, 2016, we had sold accounts receivable of $199.2 million under the RPAs.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September 30, 2016, our short-term debt of $28.8 million primarily represents the current maturities (within the next twelve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Term Loan borrowings, certain promissory notes related to acquisitions and capital lease obligations.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our cash and cash equivalents as of September 30, 2016 (of which $206.2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2015 to September 30, 2016. For a discussion of these matters, refer to “Contractual Obligations and Off-Balance Sheet Arrangements” in Item 7 of our 2015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September 30, 2016, our net derivative obligations were $43.0 million, principally due within one year.</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2016, fixed purchase commitments under our derivative programs amounted to $49.2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September 30, 2016, we had issued letters of credit and bank guarantees totaling $161.9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Information regarding recently adopted accounting pronouncements is included in Note 1 - Significant Accounting Policies in the “Notes to the Consolidated Financial Statements” in this 10-Q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August 2016, the Financial Accounting Standards Board (“FASB”) issued Accounting Standards Update (“ASU”) No. 2016-15,</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Classification of Certain Cash Receipts and Cash Payments. The standard is effective for public entities for fiscal years beginning after December 15, 2017, and interim periods within those fiscal years, with early adoption permitted. The ASU provide guidance on eight specific cash flow issues. This standard is effective at the beginning of our 2018 fiscal year. We are currently evaluating whether the adoption of this new guidance will have a significant impact on our consolidated financial statements and related disclosures.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Compensation – Stock Compensation: Improvements to Employee Share-Based Payment Accounting. </w:t>
      </w:r>
      <w:r>
        <w:rPr>
          <w:rFonts w:ascii="Arial" w:cs="Arial" w:eastAsia="Arial" w:hAnsi="Arial"/>
          <w:sz w:val="16"/>
          <w:szCs w:val="16"/>
          <w:color w:val="auto"/>
        </w:rPr>
        <w:t>In March 2016, ASU No. 2016-09, was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ASU is intended to improve the accounting for employee share-based payments. Several aspects of the accounting for share-based payment award transactions are simplified, including: </w:t>
      </w:r>
      <w:r>
        <w:rPr>
          <w:rFonts w:ascii="Arial" w:cs="Arial" w:eastAsia="Arial" w:hAnsi="Arial"/>
          <w:sz w:val="16"/>
          <w:szCs w:val="16"/>
          <w:i w:val="1"/>
          <w:iCs w:val="1"/>
          <w:color w:val="auto"/>
        </w:rPr>
        <w:t>(a)</w:t>
      </w:r>
      <w:r>
        <w:rPr>
          <w:rFonts w:ascii="Arial" w:cs="Arial" w:eastAsia="Arial" w:hAnsi="Arial"/>
          <w:sz w:val="16"/>
          <w:szCs w:val="16"/>
          <w:color w:val="auto"/>
        </w:rPr>
        <w:t xml:space="preserve"> income tax consequences; </w:t>
      </w:r>
      <w:r>
        <w:rPr>
          <w:rFonts w:ascii="Arial" w:cs="Arial" w:eastAsia="Arial" w:hAnsi="Arial"/>
          <w:sz w:val="16"/>
          <w:szCs w:val="16"/>
          <w:i w:val="1"/>
          <w:iCs w:val="1"/>
          <w:color w:val="auto"/>
        </w:rPr>
        <w:t>(b)</w:t>
      </w:r>
      <w:r>
        <w:rPr>
          <w:rFonts w:ascii="Arial" w:cs="Arial" w:eastAsia="Arial" w:hAnsi="Arial"/>
          <w:sz w:val="16"/>
          <w:szCs w:val="16"/>
          <w:color w:val="auto"/>
        </w:rPr>
        <w:t xml:space="preserve"> classification of awards as either equity or liabilities; and </w:t>
      </w:r>
      <w:r>
        <w:rPr>
          <w:rFonts w:ascii="Arial" w:cs="Arial" w:eastAsia="Arial" w:hAnsi="Arial"/>
          <w:sz w:val="16"/>
          <w:szCs w:val="16"/>
          <w:i w:val="1"/>
          <w:iCs w:val="1"/>
          <w:color w:val="auto"/>
        </w:rPr>
        <w:t>(c)</w:t>
      </w:r>
      <w:r>
        <w:rPr>
          <w:rFonts w:ascii="Arial" w:cs="Arial" w:eastAsia="Arial" w:hAnsi="Arial"/>
          <w:sz w:val="16"/>
          <w:szCs w:val="16"/>
          <w:color w:val="auto"/>
        </w:rPr>
        <w:t xml:space="preserve"> classification on the statement of cash flows. This update is effective at the beginning of our 2017 fiscal year with an election to early adopt at the beginning of 2016. We are currently evaluating whether the adoption of this new guidance will impact our consolidated financial statements and related disclosures.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In March 2016, the FASB issued ASU No. 2016-05, Derivatives and Hedging: Effect of Derivative Contract Novations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Hedge Accounting Relationships and ASU No. 2016-06, Derivatives and Hedging: Contingent Put and Call Options in Debt Instruments. ASU 2016-05 clarifies that a change in the counterparty to a derivative instrument that has been designated as a hedging instrument does not, in and of itself, require de-designation of that hedging relationship provided that all other hedge accounting criteria continue to be met. ASU 2016-06 clarifies the steps required to determine bifurcation of an embedded derivative. These standards are effective at the beginning of our 2017 fiscal year. We are currently evaluating whether the adoption of these standards will have a significant impact on our consolidated financial statements and related disclosures.</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ASU No. 2016-02, Leases, was issued. This standard will require all lessees to recognize a right of use asset and a lease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on the balance sheet, except for leases with durations that are less than twelve months. The standard is effective for fiscal years beginning after December 15, 2018 and interim periods within those fiscal years. Early adoption is permitted. The new standard must be adopted using a modified retrospective transition and requires application of the new guidance at the beginning of the earliest comparative period presented. We are currently evaluating whether the adoption of this new guidance will have a significant impact on our consolidated financial statements and disclosures.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Inventory: Simplifying the Measurement of Inventory. </w:t>
      </w:r>
      <w:r>
        <w:rPr>
          <w:rFonts w:ascii="Arial" w:cs="Arial" w:eastAsia="Arial" w:hAnsi="Arial"/>
          <w:sz w:val="18"/>
          <w:szCs w:val="18"/>
          <w:color w:val="auto"/>
        </w:rPr>
        <w:t>In July 2015, the FASB issued ASU No. 2015-11, which simplifies the subsequent measurement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by requiring inventory within the scope of this update to be measured at the lower of cost or net realizable value rather than the lower of cost or market. This standard is effective at the beginning of our 2017 fiscal year. We are currently evaluating whether the adoption of this new guidance will have a significant impact on our consolidated financial statements and related disclosures.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ASU No. 2014-09, Revenue from Contracts with Customers, was issued. Under this ASU and subsequently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an entity is required to recognize the amount of revenue it expects to be entitled to for the transfer of promised goods or services to customers. The standard is effective for interim and annual reporting periods beginning after December 15, 2017. The updated standard will replace most existing revenue recognition guidance in U.S. GAAP when it becomes effective and permits the use of either the retrospective or cumulative effect transition method. Early adoption of the standard is permitted, but not before December 15, 2016. We have not yet selected a transition method and we are currently evaluating how the adoption of the standard will impact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certain commodity contracts we enter into to mitigate the risk of price volatility in forecasted purchases and sales.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Non-designated Derivatives</w:t>
      </w:r>
      <w:r>
        <w:rPr>
          <w:rFonts w:ascii="Arial" w:cs="Arial" w:eastAsia="Arial" w:hAnsi="Arial"/>
          <w:sz w:val="18"/>
          <w:szCs w:val="18"/>
          <w:color w:val="auto"/>
        </w:rPr>
        <w:t>. 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entered into to hedge the risk of currency rate fluctuations.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September 30, 2016, see Notes to the Consolidated Financial Statements – </w:t>
      </w:r>
      <w:r>
        <w:rPr>
          <w:rFonts w:ascii="Arial" w:cs="Arial" w:eastAsia="Arial" w:hAnsi="Arial"/>
          <w:sz w:val="18"/>
          <w:szCs w:val="18"/>
          <w:i w:val="1"/>
          <w:iCs w:val="1"/>
          <w:color w:val="auto"/>
        </w:rPr>
        <w:t>Note 4.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2015. Please refer to our 2015 10-K Report for a complete discussion of our exposure to these risks.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2016.</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2016.</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20, 2016, the Company was informed that the U.S. Department of Justice (the "DOJ") is conducting an investigation into the aviation fuel supply industry, including certain activities of the Company and other industry participants at an airport in Central America. In connection therewith, the Company was served with formal requests by the DOJ about its activities at that airport and its aviation fuel supply business more broadly. The Company is cooperating with the investigation.</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updated our existing risk factor on foreign exchange rates disclosed in Part I—Item 1A, “Risk Factors,” in the Company’s Annual Report on Form 10-K filed with the SEC on February 16, 2016 to include information associated with the current events in the United Kingdom.</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Fluctuations in foreign exchange rates could materially affect our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which are denominated in foreign currencies. This subjects us to foreign currency exchange risk. 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result of the June 23, 2016 referendum in which British voters approved an exit from the European Union (“E.U.”), commonly referred to as "Brexit", global markets were adversely impacted, including currencies, and resulted in a decline in the value of the British pound, as compared to the U.S. dollar and other currencies. The announcement of Brexit and the withdrawal of the U.K. from the E.U. may also create global economic uncertainty, unknown social and geopolitical impacts, and may cause our customers to closely monitor their costs and reduce their spending budget on our products and services, which in turn, may adversely affect our business, results of operations and financial condition.</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September 30, 2016 (in thousands, except average price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Number</w:t>
            </w:r>
          </w:p>
        </w:tc>
        <w:tc>
          <w:tcPr>
            <w:tcW w:w="420" w:type="dxa"/>
            <w:vAlign w:val="bottom"/>
          </w:tcPr>
          <w:p>
            <w:pPr>
              <w:spacing w:after="0"/>
              <w:rPr>
                <w:sz w:val="14"/>
                <w:szCs w:val="14"/>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Number</w:t>
            </w: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Shares Purchased</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as Part of Publicly</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Announced Plans</w:t>
            </w:r>
          </w:p>
        </w:tc>
        <w:tc>
          <w:tcPr>
            <w:tcW w:w="42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7"/>
                <w:szCs w:val="7"/>
                <w:b w:val="1"/>
                <w:bCs w:val="1"/>
                <w:color w:val="auto"/>
              </w:rPr>
              <w:t>(1)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7/1/2016 - 7/31/2016</w:t>
            </w: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41,088</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8/1/2016 - 8/31/2016</w:t>
            </w:r>
          </w:p>
        </w:tc>
        <w:tc>
          <w:tcPr>
            <w:tcW w:w="120" w:type="dxa"/>
            <w:vAlign w:val="bottom"/>
          </w:tcPr>
          <w:p>
            <w:pPr>
              <w:spacing w:after="0"/>
              <w:rPr>
                <w:sz w:val="22"/>
                <w:szCs w:val="22"/>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45.40</w:t>
            </w:r>
          </w:p>
        </w:tc>
        <w:tc>
          <w:tcPr>
            <w:tcW w:w="100" w:type="dxa"/>
            <w:vAlign w:val="bottom"/>
          </w:tcPr>
          <w:p>
            <w:pPr>
              <w:spacing w:after="0"/>
              <w:rPr>
                <w:sz w:val="22"/>
                <w:szCs w:val="22"/>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41,088</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9/1/2016 - 9/30/2016</w:t>
            </w:r>
          </w:p>
        </w:tc>
        <w:tc>
          <w:tcPr>
            <w:tcW w:w="1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22.70</w:t>
            </w:r>
          </w:p>
        </w:tc>
        <w:tc>
          <w:tcPr>
            <w:tcW w:w="1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00" w:hanging="332"/>
        <w:spacing w:after="0" w:line="264" w:lineRule="auto"/>
        <w:tabs>
          <w:tab w:leader="none" w:pos="27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340" w:right="180" w:hanging="332"/>
        <w:spacing w:after="0" w:line="297" w:lineRule="auto"/>
        <w:tabs>
          <w:tab w:leader="none" w:pos="2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2016,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As of September 30, 2016, $100.0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49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67"/>
        </w:trPr>
        <w:tc>
          <w:tcPr>
            <w:tcW w:w="1500" w:type="dxa"/>
            <w:vAlign w:val="bottom"/>
          </w:tcPr>
          <w:p>
            <w:pPr>
              <w:jc w:val="right"/>
              <w:ind w:right="49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67"/>
        </w:trPr>
        <w:tc>
          <w:tcPr>
            <w:tcW w:w="1500" w:type="dxa"/>
            <w:vAlign w:val="bottom"/>
          </w:tcPr>
          <w:p>
            <w:pPr>
              <w:jc w:val="right"/>
              <w:ind w:right="49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10" w:lineRule="exact"/>
        <w:rPr>
          <w:sz w:val="20"/>
          <w:szCs w:val="20"/>
          <w:color w:val="auto"/>
        </w:rPr>
      </w:pPr>
    </w:p>
    <w:p>
      <w:pPr>
        <w:jc w:val="both"/>
        <w:ind w:left="1980" w:right="20" w:hanging="1357"/>
        <w:spacing w:after="0" w:line="259"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June 30, 2016,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27, 2016</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World Fuel Services Corporation for the quarterly period ended September 30, 2016;</w:t>
      </w:r>
    </w:p>
    <w:p>
      <w:pPr>
        <w:spacing w:after="0" w:line="19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27, 2016</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quarterly period ended June 30, 2016;</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2016</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2016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27, 2016</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emdash "/>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2019-12-29T09:30:34Z</dcterms:created>
  <dcterms:modified xsi:type="dcterms:W3CDTF">2019-12-29T09:30:34Z</dcterms:modified>
</cp:coreProperties>
</file>