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RAU JOHN PETER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0"/>
        <w:spacing w:after="0" w:line="357" w:lineRule="auto"/>
        <w:rPr>
          <w:sz w:val="20"/>
          <w:szCs w:val="20"/>
          <w:color w:val="auto"/>
        </w:rPr>
      </w:pPr>
      <w:r>
        <w:rPr>
          <w:rFonts w:ascii="Arial" w:cs="Arial" w:eastAsia="Arial" w:hAnsi="Arial"/>
          <w:sz w:val="17"/>
          <w:szCs w:val="17"/>
          <w:color w:val="0000FF"/>
        </w:rPr>
        <w:t>C/O WORLD FUEL SERVICES CORPORATION 9800 N.W. 41ST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7"/>
                <w:szCs w:val="17"/>
                <w:color w:val="0000FF"/>
              </w:rPr>
              <w:t>MIAMI</w:t>
            </w:r>
          </w:p>
        </w:tc>
        <w:tc>
          <w:tcPr>
            <w:tcW w:w="116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WORLD FUEL SERVICES CORP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INT</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ind w:left="12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EVP, Global Aviation &amp; Marine</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03/15/2020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6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11,173</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80,432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4,397</w:t>
            </w:r>
            <w:r>
              <w:rPr>
                <w:rFonts w:ascii="Arial" w:cs="Arial" w:eastAsia="Arial" w:hAnsi="Arial"/>
                <w:sz w:val="22"/>
                <w:szCs w:val="22"/>
                <w:color w:val="008000"/>
                <w:w w:val="85"/>
                <w:vertAlign w:val="superscript"/>
              </w:rPr>
              <w:t>(2)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22.67</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76,035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2,822</w:t>
            </w:r>
            <w:r>
              <w:rPr>
                <w:rFonts w:ascii="Arial" w:cs="Arial" w:eastAsia="Arial" w:hAnsi="Arial"/>
                <w:sz w:val="22"/>
                <w:szCs w:val="22"/>
                <w:color w:val="008000"/>
                <w:w w:val="85"/>
                <w:vertAlign w:val="superscript"/>
              </w:rPr>
              <w:t>(4)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22.67</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73,213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20,391</w:t>
            </w:r>
            <w:r>
              <w:rPr>
                <w:rFonts w:ascii="Arial" w:cs="Arial" w:eastAsia="Arial" w:hAnsi="Arial"/>
                <w:sz w:val="22"/>
                <w:szCs w:val="22"/>
                <w:color w:val="008000"/>
                <w:w w:val="88"/>
                <w:vertAlign w:val="superscript"/>
              </w:rPr>
              <w:t>(5)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93,604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an award of shares of common stock earned by the reporting person based on the level of performance criteria satisfied under certain performance-based restricted stock units ("PRSUs").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 withheld the reported shares to cover the reporting person's tax liability associated with the shares of common stock received in connection with the vesting of the PRSUs.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16, 2020.</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7,170 restricted stock units held by the reporting person vested and settled on March 15, 2020. The issuer withheld the reported shares to cover the reporting person's tax liability associated with these restricted stock units.</w:t>
      </w:r>
    </w:p>
    <w:p>
      <w:pPr>
        <w:spacing w:after="0" w:line="15" w:lineRule="exact"/>
        <w:rPr>
          <w:rFonts w:ascii="Arial" w:cs="Arial" w:eastAsia="Arial" w:hAnsi="Arial"/>
          <w:sz w:val="13"/>
          <w:szCs w:val="13"/>
          <w:color w:val="008000"/>
        </w:rPr>
      </w:pPr>
    </w:p>
    <w:p>
      <w:pPr>
        <w:ind w:left="40" w:right="8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2019. These restricted stock units will vest in three equal annual installments beginning on March 15,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Amy A. Quintana,</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03/17/2020</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399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2020-03-17T20:05:11Z</dcterms:created>
  <dcterms:modified xsi:type="dcterms:W3CDTF">2020-03-17T20:05:11Z</dcterms:modified>
</cp:coreProperties>
</file>