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May 2, 2013</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689"/>
        <w:spacing w:after="0" w:line="252" w:lineRule="auto"/>
        <w:rPr>
          <w:sz w:val="20"/>
          <w:szCs w:val="20"/>
          <w:color w:val="auto"/>
        </w:rPr>
      </w:pPr>
      <w:r>
        <w:rPr>
          <w:rFonts w:ascii="Arial" w:cs="Arial" w:eastAsia="Arial" w:hAnsi="Arial"/>
          <w:sz w:val="21"/>
          <w:szCs w:val="21"/>
          <w:color w:val="auto"/>
        </w:rPr>
        <w:t>On May 2, 2013, World Fuel Services Corporation (NYSE:INT) (the “Company”) announced that Michael J. Kasbar, the Company’s president and chief executive officer and Ira M. Birns, the Company’s executive vice president and chief financial officer, will present at the Bank of America Merrill Lynch Global Transportation Conference at The Four Seasons Hotel in Boston on May 16, 2013 at 10:00AM Eastern Time. A copy of the press release is attached hereto as Exhibit 99.1.</w:t>
      </w:r>
    </w:p>
    <w:p>
      <w:pPr>
        <w:spacing w:after="0" w:line="174" w:lineRule="exact"/>
        <w:rPr>
          <w:sz w:val="20"/>
          <w:szCs w:val="20"/>
          <w:color w:val="auto"/>
        </w:rPr>
      </w:pPr>
    </w:p>
    <w:p>
      <w:pPr>
        <w:jc w:val="both"/>
        <w:ind w:firstLine="576"/>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3"/>
          </w:tcPr>
          <w:p>
            <w:pPr>
              <w:ind w:left="360"/>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8400" w:type="dxa"/>
            <w:vAlign w:val="bottom"/>
          </w:tcPr>
          <w:p>
            <w:pPr>
              <w:spacing w:after="0"/>
              <w:rPr>
                <w:sz w:val="20"/>
                <w:szCs w:val="20"/>
                <w:color w:val="auto"/>
              </w:rPr>
            </w:pPr>
          </w:p>
        </w:tc>
      </w:tr>
      <w:tr>
        <w:trPr>
          <w:trHeight w:val="446"/>
        </w:trPr>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Exhibit No.</w:t>
            </w:r>
          </w:p>
        </w:tc>
        <w:tc>
          <w:tcPr>
            <w:tcW w:w="62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Press Release, dated May 2, 2013.</w:t>
            </w:r>
          </w:p>
        </w:tc>
      </w:tr>
      <w:tr>
        <w:trPr>
          <w:trHeight w:val="149"/>
        </w:trPr>
        <w:tc>
          <w:tcPr>
            <w:tcW w:w="7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0" w:type="dxa"/>
            <w:vAlign w:val="bottom"/>
            <w:tcBorders>
              <w:bottom w:val="single" w:sz="8" w:color="9A9A9A"/>
            </w:tcBorders>
          </w:tcPr>
          <w:p>
            <w:pPr>
              <w:spacing w:after="0"/>
              <w:rPr>
                <w:sz w:val="12"/>
                <w:szCs w:val="12"/>
                <w:color w:val="auto"/>
              </w:rPr>
            </w:pPr>
          </w:p>
        </w:tc>
      </w:tr>
      <w:tr>
        <w:trPr>
          <w:trHeight w:val="21"/>
        </w:trPr>
        <w:tc>
          <w:tcPr>
            <w:tcW w:w="7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May 2, 2013</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2, 2013.</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World Fuel Services Corporation to Present at Bank of America Merrill Lynch Global Transportation Conference</w:t>
      </w:r>
    </w:p>
    <w:p>
      <w:pPr>
        <w:spacing w:after="0" w:line="247"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MIAMI--(BUSINESS WIRE)--May 2, 2013--World Fuel Services Corporation (NYSE:INT) announced that Michael J. Kasbar, World Fuel’s president and chief executive officer and Ira M. Birns, World Fuel’s executive vice president and chief financial officer, will present at the Bank of America Merrill Lynch Global Transportation Conference at The Four Seasons Hotel in Boston on May 16, 2013 at 10:00 AM Eastern Time.</w:t>
      </w:r>
    </w:p>
    <w:p>
      <w:pPr>
        <w:spacing w:after="0" w:line="185"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 xml:space="preserve">The presentation will be available via webcast. To access the live webcast, visit </w:t>
      </w:r>
      <w:r>
        <w:rPr>
          <w:rFonts w:ascii="Arial" w:cs="Arial" w:eastAsia="Arial" w:hAnsi="Arial"/>
          <w:sz w:val="19"/>
          <w:szCs w:val="19"/>
          <w:u w:val="single" w:color="auto"/>
          <w:color w:val="auto"/>
        </w:rPr>
        <w:t>http://ir.wfscorp.com</w:t>
      </w:r>
      <w:r>
        <w:rPr>
          <w:rFonts w:ascii="Arial" w:cs="Arial" w:eastAsia="Arial" w:hAnsi="Arial"/>
          <w:sz w:val="19"/>
          <w:szCs w:val="19"/>
          <w:color w:val="auto"/>
        </w:rPr>
        <w:t>, where you can also view additional investor information. The webcast will remain available for two weeks following the presentation date.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Jason Bewley</w:t>
      </w:r>
    </w:p>
    <w:p>
      <w:pPr>
        <w:spacing w:after="0" w:line="231" w:lineRule="auto"/>
        <w:rPr>
          <w:sz w:val="20"/>
          <w:szCs w:val="20"/>
          <w:color w:val="auto"/>
        </w:rPr>
      </w:pPr>
      <w:r>
        <w:rPr>
          <w:rFonts w:ascii="Arial" w:cs="Arial" w:eastAsia="Arial" w:hAnsi="Arial"/>
          <w:sz w:val="22"/>
          <w:szCs w:val="22"/>
          <w:color w:val="auto"/>
        </w:rPr>
        <w:t>Vice President of Corporate Finance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2019-12-05T23:31:17Z</dcterms:created>
  <dcterms:modified xsi:type="dcterms:W3CDTF">2019-12-05T23:31:17Z</dcterms:modified>
</cp:coreProperties>
</file>