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July 26, 2018</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26, 2018, World Fuel Services Corporation (the “Company”) issued a press release reporting its financial results for the second quarter ended June 30, 2018.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86"/>
              </w:rPr>
              <w:t>Press Release, dated July 26, 2018</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July 26, 2018</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Second Quarter 2018 Results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MIAMI—July 26, 2018-- World Fuel Services Corporation (NYSE: INT)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Second-Quarter 2018 Highlights</w:t>
      </w:r>
    </w:p>
    <w:p>
      <w:pPr>
        <w:spacing w:after="0" w:line="1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$28.7 million or $0.42 per diluted share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net income of $31.7 million, or $0.47 per diluted share</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of 5.1 billion gallons of fuel sold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gross profit of $246.2 million, up 7% year-over-year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 of $84.2 million, up 8% year-over-year</w:t>
      </w:r>
    </w:p>
    <w:p>
      <w:pPr>
        <w:spacing w:after="0" w:line="242" w:lineRule="exact"/>
        <w:rPr>
          <w:sz w:val="20"/>
          <w:szCs w:val="20"/>
          <w:color w:val="auto"/>
        </w:rPr>
      </w:pPr>
    </w:p>
    <w:p>
      <w:pPr>
        <w:ind w:right="640"/>
        <w:spacing w:after="0" w:line="312" w:lineRule="auto"/>
        <w:rPr>
          <w:sz w:val="20"/>
          <w:szCs w:val="20"/>
          <w:color w:val="auto"/>
        </w:rPr>
      </w:pPr>
      <w:r>
        <w:rPr>
          <w:rFonts w:ascii="Arial" w:cs="Arial" w:eastAsia="Arial" w:hAnsi="Arial"/>
          <w:sz w:val="19"/>
          <w:szCs w:val="19"/>
          <w:color w:val="auto"/>
        </w:rPr>
        <w:t>“During the second quarter, our aviation segment posted record profitability,” stated Michael J. Kasbar, chairman and chief executive officer of World Fuel Services Corporation. “Our focus on operating efficiencies, portfolio refinement and organic growth initiatives should position the company for improved operating performance in 2018 and 2019.”</w:t>
      </w:r>
    </w:p>
    <w:p>
      <w:pPr>
        <w:spacing w:after="0" w:line="174"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color w:val="auto"/>
        </w:rPr>
        <w:t>For the quarter, the company’s aviation segment generated gross profit of $127.4 million, an increase of 15% year-over-year, primarily driven by strong government-related sales and international core resale operations. The company’s marine segment generated gross profit of $30.2 million, a decrease of 8% year-over-year, primarily due to exiting low return activities. The company’s land segment generated gross profit of $88.6 million, up 2% year-over-year, driven by growth in our payment solutions business and natural gas and power operations, partially offset by our continued reduction of certain non-core activities in North America.</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business performed well and recent cost management initiatives have contributed to a 170 basis point improvement in operating leverage during the first half of the year compared to 2017. These actions contributed to year-over-year adjusted EBITDA improvement for the fifth consecutive quarter,” said Ira M. Birns, executive vice president and chief financial officer. “We remain committed to improving our operating leverage by 250 basis points in 2018 and 2019, which will aid us in growing future profitability and free cash flow.”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w:t>
      </w:r>
    </w:p>
    <w:p>
      <w:pPr>
        <w:spacing w:after="0" w:line="26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Cash flow generated from operating activities was $0.3 million for the second quarter of 2018. This reflects the impact of a change in classification of $121.8 million of cash proceeds received from the beneficial interest of receivables sold from cash flow from operating activities to cash flow from investing activities due to a recently adopted accounting standard beginning in 2018. Strong working capital</w:t>
      </w:r>
    </w:p>
    <w:p>
      <w:pPr>
        <w:sectPr>
          <w:pgSz w:w="11900" w:h="16838" w:orient="portrait"/>
          <w:cols w:equalWidth="0" w:num="1">
            <w:col w:w="11420"/>
          </w:cols>
          <w:pgMar w:left="240" w:top="576" w:right="2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22"/>
          <w:szCs w:val="22"/>
          <w:color w:val="auto"/>
        </w:rPr>
        <w:t>management contributed to a reduction of our net debt to adjusted EBITDA ratio to 1.9x at June 30, 2018 from 2.2x at March 31, 2018.</w:t>
      </w:r>
    </w:p>
    <w:p>
      <w:pPr>
        <w:sectPr>
          <w:pgSz w:w="11900" w:h="16838" w:orient="portrait"/>
          <w:cols w:equalWidth="0" w:num="1">
            <w:col w:w="11180"/>
          </w:cols>
          <w:pgMar w:left="240" w:top="591" w:right="47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acquisition-related charges and severance and restructuring charges primarily because we do not believe they are reflective of the Company’s core operating results.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85"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beliefs and expectations with respect to our focus on operating efficiencies, portfolio refinement and organic growth initiatives and its impact on operating performance in 2018 and 2019, as well as our expectations about improvements to our operating leverage and growing future profitability and free cash flow.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our ability to successfully implement our growth strategy, our ability to effectively integrate acquired businesses and recognize the anticipated benefits, risks related to the complexity of U.S. Tax Reform and our ability to accurately predict its impact on our returns, our ability to capitalize on new market opportunities and changes in supply and other market dynamics in the regions where we operate, potential liabilities and the extent of any insurance coverage, the outcome of pending litigation and other proceedings, risks related to the complexity of U.S. Tax Reform and our ability to accurately predict its impact on our future earnings,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7" w:name="page8"/>
    <w:bookmarkEnd w:id="7"/>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187.6</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372.3</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505.0</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3,940.4</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856.7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845.5</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472.1</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2,536.0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2,239.7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344.9</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2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2,718.6</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884.6</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202.4</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3,849.8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Common stock, $0.01 par value; 100.0 shares authorized, 67.8 and 67.7 issued and outstanding as of June 30, 2018 and</w:t>
            </w: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2017, respectively</w:t>
            </w:r>
          </w:p>
        </w:tc>
        <w:tc>
          <w:tcPr>
            <w:tcW w:w="1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1,546.3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1,492.8</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1,721.9</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1,738.0</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5,757.0</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8,086.2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9,904.7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18,842.6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15,818.0</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462.4</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154.0</w:t>
            </w:r>
          </w:p>
        </w:tc>
      </w:tr>
      <w:tr>
        <w:trPr>
          <w:trHeight w:val="250"/>
        </w:trPr>
        <w:tc>
          <w:tcPr>
            <w:tcW w:w="59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185.1</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179.7</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371.3</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360.9</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50"/>
        </w:trPr>
        <w:tc>
          <w:tcPr>
            <w:tcW w:w="59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8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61.3</w:t>
            </w:r>
          </w:p>
        </w:tc>
      </w:tr>
      <w:tr>
        <w:trPr>
          <w:trHeight w:val="29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4"/>
              </w:rPr>
              <w:t>Cash flow hedges, net of income tax expense of $3.1 for the three months ended June 30, 2018 and</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net of income tax benefit of $1.1 and income tax expense of $6.6 for the six months ended June 30,</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8"/>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2018 and 2017, respectively</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43.3</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Foreign currency gains,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78"/>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 (reduced by beneficial interests received in exchange for accounts</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97"/>
              </w:rPr>
              <w:t>receivables sold of $122.5 million and $83.2 million for the three months ended June 30, 2018</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99"/>
              </w:rPr>
              <w:t>and 2017, respectively, and $241.5 million and $157.1 million for the six months ended June</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30, 2018 and 2017, respectively.)</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(72.7)</w:t>
            </w:r>
          </w:p>
        </w:tc>
      </w:tr>
      <w:tr>
        <w:trPr>
          <w:trHeight w:val="270"/>
        </w:trPr>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156.4</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(88.4)</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investing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1,991.8</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(1,474.5)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(2,111.1)</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57"/>
        </w:trPr>
        <w:tc>
          <w:tcPr>
            <w:tcW w:w="608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4"/>
              </w:rPr>
              <w:t>Purchases of common stock tendered by employees to satisfy the required withholding taxes related</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to share-based payment awards</w:t>
            </w:r>
          </w:p>
        </w:tc>
        <w:tc>
          <w:tcPr>
            <w:tcW w:w="2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w:t>
            </w:r>
          </w:p>
        </w:tc>
      </w:tr>
      <w:tr>
        <w:trPr>
          <w:trHeight w:val="25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698.6</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adoption of ASU 2016-15 resulted in operating cash flow decreases and investing cash flow increases of $121.8 million and $83.5 million for the three months ended June 30, 2018 and 2017, respectively, and $241.9 million and $156.4 million for the six months ended June 30, 2018 and 2017, respectively.</w:t>
      </w:r>
    </w:p>
    <w:p>
      <w:pPr>
        <w:sectPr>
          <w:pgSz w:w="11900" w:h="16838" w:orient="portrait"/>
          <w:cols w:equalWidth="0" w:num="1">
            <w:col w:w="11420"/>
          </w:cols>
          <w:pgMar w:left="240" w:top="918" w:right="239" w:bottom="1440" w:gutter="0" w:footer="0" w:header="0"/>
        </w:sectPr>
      </w:pPr>
    </w:p>
    <w:bookmarkStart w:id="10" w:name="page11"/>
    <w:bookmarkEnd w:id="10"/>
    <w:p>
      <w:pPr>
        <w:jc w:val="center"/>
        <w:ind w:left="2760" w:right="2760"/>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Severance and other restructuring-related costs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tax impacts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net income attributable to World Fuel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9"/>
                <w:szCs w:val="19"/>
                <w:color w:val="auto"/>
              </w:rPr>
            </w:pPr>
          </w:p>
        </w:tc>
      </w:tr>
      <w:tr>
        <w:trPr>
          <w:trHeight w:val="276"/>
        </w:trPr>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30.0</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1"/>
                <w:szCs w:val="21"/>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61.4</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6"/>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34.2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1"/>
                <w:szCs w:val="21"/>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-849630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-506095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-163195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48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r>
      <w:tr>
        <w:trPr>
          <w:trHeight w:val="264"/>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Severance and other restructuring-related costs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773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51.2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101.6</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20.8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43.3</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6"/>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r>
      <w:tr>
        <w:trPr>
          <w:trHeight w:val="237"/>
        </w:trPr>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77.7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154.8</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-874395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-530860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-187960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ind w:left="660" w:right="18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severance, restructuring and acquisition-related costs.</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6"/>
                <w:szCs w:val="16"/>
                <w:color w:val="auto"/>
              </w:rPr>
            </w:pPr>
          </w:p>
        </w:tc>
        <w:tc>
          <w:tcPr>
            <w:tcW w:w="21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50"/>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4,900.7</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3,508.4</w:t>
            </w:r>
          </w:p>
        </w:tc>
        <w:tc>
          <w:tcPr>
            <w:tcW w:w="120" w:type="dxa"/>
            <w:vAlign w:val="bottom"/>
          </w:tcPr>
          <w:p>
            <w:pPr>
              <w:spacing w:after="0"/>
              <w:rPr>
                <w:sz w:val="21"/>
                <w:szCs w:val="21"/>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9,193.6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6,825.8</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5,347.4</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2,289.9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2,013.8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4,317.7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4,107.3</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185.0</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277"/>
        </w:trPr>
        <w:tc>
          <w:tcPr>
            <w:tcW w:w="64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489.6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462.4</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90.2</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56"/>
        </w:trPr>
        <w:tc>
          <w:tcPr>
            <w:tcW w:w="6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82.3</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2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3,862.5</w:t>
            </w: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1,432.4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1,472.3</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2,890.7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2,969.4</w:t>
            </w:r>
          </w:p>
        </w:tc>
      </w:tr>
      <w:tr>
        <w:trPr>
          <w:trHeight w:val="270"/>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4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1,785.4</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3,078.9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3,589.1</w:t>
            </w: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5,077.0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5,289.3</w:t>
            </w:r>
          </w:p>
        </w:tc>
        <w:tc>
          <w:tcPr>
            <w:tcW w:w="10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10,027.0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10,421.0</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5.9 and 11.7 for the three and six months ended June 30,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2019-12-28T21:21:26Z</dcterms:created>
  <dcterms:modified xsi:type="dcterms:W3CDTF">2019-12-28T21:21:26Z</dcterms:modified>
</cp:coreProperties>
</file>