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Date of Report (Date of earliest event reported): April 27, 2017</w:t>
      </w:r>
    </w:p>
    <w:p>
      <w:pPr>
        <w:spacing w:after="0" w:line="366" w:lineRule="exact"/>
        <w:rPr>
          <w:sz w:val="24"/>
          <w:szCs w:val="24"/>
          <w:color w:val="auto"/>
        </w:rPr>
      </w:pPr>
    </w:p>
    <w:p>
      <w:pPr>
        <w:jc w:val="center"/>
        <w:ind w:right="-23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00"/>
          </w:cols>
          <w:pgMar w:left="240" w:top="679"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580"/>
          </w:cols>
          <w:pgMar w:left="240" w:top="679" w:right="45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240"/>
          </w:cols>
          <w:pgMar w:left="240" w:top="679" w:right="4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200"/>
          </w:cols>
          <w:pgMar w:left="240" w:top="679"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27, 2017, World Fuel Services Corporation (the “Company”) issued a press release reporting its financial results for the first quarter ended March 31, 2017.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w w:val="88"/>
              </w:rPr>
              <w:t>Press Release, dated April 27, 2017</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27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2740" w:type="dxa"/>
            <w:vAlign w:val="bottom"/>
          </w:tcPr>
          <w:p>
            <w:pPr>
              <w:ind w:left="40"/>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Press Release, dated April 27, 2017</w:t>
            </w:r>
          </w:p>
        </w:tc>
      </w:tr>
    </w:tbl>
    <w:p>
      <w:pPr>
        <w:sectPr>
          <w:pgSz w:w="11900" w:h="16838" w:orient="portrait"/>
          <w:cols w:equalWidth="0" w:num="1">
            <w:col w:w="11420"/>
          </w:cols>
          <w:pgMar w:left="240" w:top="90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Vice President, Assistant Treasurer</w:t>
      </w: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First Quarter 2017 Earnings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Generates $137 million of Cash Flow from Operations</w:t>
      </w:r>
      <w:r>
        <w:rPr>
          <w:rFonts w:ascii="Arial" w:cs="Arial" w:eastAsia="Arial" w:hAnsi="Arial"/>
          <w:sz w:val="22"/>
          <w:szCs w:val="22"/>
          <w:color w:val="auto"/>
        </w:rPr>
        <w:t xml:space="preserve"> ---</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Completes Acquisition of ExxonMobil On-Airport Fueling Operations --</w:t>
      </w:r>
    </w:p>
    <w:p>
      <w:pPr>
        <w:spacing w:after="0" w:line="200" w:lineRule="exact"/>
        <w:rPr>
          <w:sz w:val="20"/>
          <w:szCs w:val="20"/>
          <w:color w:val="auto"/>
        </w:rPr>
      </w:pP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MIAMI—April 27, 2017-- World Fuel Services Corporation (NYSE: INT) today reported first quarter 2017 net income of $31.3 million or $0.45 diluted earnings per share. Excluding the impact of certain one-time items, adjusted first quarter net income was $34.6 million or $0.50 adjusted diluted earnings per share. In the first quarter of 2016, net income as adjusted for one-time items was $53.0 million or $0.76 adjusted diluted earnings per share. Non-GAAP net income and diluted earnings per share for the first quarter of 2017, excluding share-based compensation, amortization of acquired intangible assets and other one-time items were $44.5 million and $0.64, respectively, compared to $62.5 million and $0.90 in 2016.</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the first quarter, we witnessed continued strength in the aviation segment and closed the final phases of the ExxonMobil transaction, while remaining focused on integrating and streamlining overall operations in order to reduce operating costs and gain identified efficiencies” stated Michael J. Kasbar, Chairman and Chief Executive Officer of World Fuel Services Corporation. “We remain focused on executing our strategy of building a ubiquitous global energy management, fulfillment and payments business, while driving improved levels of profitability as the year progresses.”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aviation segment generated gross profit of $100.0 million, an increase of $11.3 million or 12.7% year-over-year. The company’s marine segment generated gross profit of $33.6 million, a decrease of $5.5 million or 14.2% year-over-year. The company’s land segment generated gross profit of $97.8 million, an increase of $4.2 million or 4.5% year-over-year.</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first quarter, we generated $137 million of cash flow from operations, further strengthening our balance sheet, increasing the total cash generated over the past five years to $1.3 billion” said Ira M. Birns, Executive Vice President and Chief Financial Officer. “We repurchased $11 million of our common stock in the first quarter and we expect to repurchase additional shares over the course of the year, delivering incremental value to our shareholders.”</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This press release contains non-GAAP financial measures, including Non-GAAP and adjusted net income and diluted earnings per share (“EPS”) for the three months ended March 31, 2017 and 2016 (collectively, the “2017 Non-GAAP Measures”). The 2017 Non-GAAP Measures exclude costs associated with share-based compensation, amortization of acquired intangible assets, acquisition related charges, severance and other restructuring-related costs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acquisition related charges, severance and other restructuring-related costs are useful for purposes of evaluating operating performance of our core operating results and comparing them period over period. We believe that the 2017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Non-GAAP financial measures should not be considered in isolation from, or as a substitute for, financial information prepared in accordance with GAAP. In addition, our presentation of Non-GAAP and adjusted net income and Non-GAAP and adjusted diluted earnings per common share may not be comparable to the presentation of such metrics by other companies. Non-GAAP and adjusted diluted earnings per common share is computed by dividing non-GAAP net income and adjusted net income, respectively, attributable to World Fuel Services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expectations about executing on our strategy, reducing costs and gaining identified efficiencies, as well as our expectations about improving our level of profitability.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58"/>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698.6</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2,344.0</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458.0</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4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58.9</w:t>
            </w:r>
          </w:p>
        </w:tc>
      </w:tr>
      <w:tr>
        <w:trPr>
          <w:trHeight w:val="270"/>
        </w:trPr>
        <w:tc>
          <w:tcPr>
            <w:tcW w:w="8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230.6</w:t>
            </w:r>
          </w:p>
        </w:tc>
      </w:tr>
      <w:tr>
        <w:trPr>
          <w:trHeight w:val="250"/>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4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3,589.2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3,836.6</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311.2</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4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883.4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835.8</w:t>
            </w:r>
          </w:p>
        </w:tc>
      </w:tr>
      <w:tr>
        <w:trPr>
          <w:trHeight w:val="27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429.1</w:t>
            </w:r>
          </w:p>
        </w:tc>
      </w:tr>
      <w:tr>
        <w:trPr>
          <w:trHeight w:val="277"/>
        </w:trPr>
        <w:tc>
          <w:tcPr>
            <w:tcW w:w="8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5,263.6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5,412.6</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7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Short-term debt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4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1,729.5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1,770.4</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r>
      <w:tr>
        <w:trPr>
          <w:trHeight w:val="264"/>
        </w:trPr>
        <w:tc>
          <w:tcPr>
            <w:tcW w:w="8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306.0</w:t>
            </w:r>
          </w:p>
        </w:tc>
      </w:tr>
      <w:tr>
        <w:trPr>
          <w:trHeight w:val="25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2,094.7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2,182.7</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4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1,065.8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1,170.8</w:t>
            </w:r>
          </w:p>
        </w:tc>
      </w:tr>
      <w:tr>
        <w:trPr>
          <w:trHeight w:val="27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w:t>
            </w:r>
          </w:p>
        </w:tc>
      </w:tr>
      <w:tr>
        <w:trPr>
          <w:trHeight w:val="250"/>
        </w:trPr>
        <w:tc>
          <w:tcPr>
            <w:tcW w:w="8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3,288.0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3,472.6</w:t>
            </w: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78"/>
        </w:trPr>
        <w:tc>
          <w:tcPr>
            <w:tcW w:w="83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83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5"/>
              </w:rPr>
              <w:t>Common stock, $0.01 par value; 100.0 shares authorized, 69.6 and 69.9 issued and outstanding as of March 31, 2017 and December 31,</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8"/>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2016, respectively</w:t>
            </w:r>
          </w:p>
        </w:tc>
        <w:tc>
          <w:tcPr>
            <w:tcW w:w="4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399.9</w:t>
            </w:r>
          </w:p>
        </w:tc>
      </w:tr>
      <w:tr>
        <w:trPr>
          <w:trHeight w:val="264"/>
        </w:trPr>
        <w:tc>
          <w:tcPr>
            <w:tcW w:w="83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4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1,706.5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1,679.3</w:t>
            </w:r>
          </w:p>
        </w:tc>
      </w:tr>
      <w:tr>
        <w:trPr>
          <w:trHeight w:val="270"/>
        </w:trPr>
        <w:tc>
          <w:tcPr>
            <w:tcW w:w="8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r>
      <w:tr>
        <w:trPr>
          <w:trHeight w:val="250"/>
        </w:trPr>
        <w:tc>
          <w:tcPr>
            <w:tcW w:w="83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42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1,960.8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1,925.0</w:t>
            </w:r>
          </w:p>
        </w:tc>
      </w:tr>
      <w:tr>
        <w:trPr>
          <w:trHeight w:val="27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r>
      <w:tr>
        <w:trPr>
          <w:trHeight w:val="250"/>
        </w:trPr>
        <w:tc>
          <w:tcPr>
            <w:tcW w:w="8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1,940.0</w:t>
            </w:r>
          </w:p>
        </w:tc>
      </w:tr>
      <w:tr>
        <w:trPr>
          <w:trHeight w:val="23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5,263.6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5,412.6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796"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WORLD FUEL SERVICES CORPORATION AND SUBSIDIARIES</w:t>
      </w:r>
    </w:p>
    <w:p>
      <w:pPr>
        <w:spacing w:after="0" w:line="3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For the Three Months Ended</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514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and employee benefits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Provision for bad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5514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35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514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Non-operating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Interest expense and other financing costs,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5143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including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514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World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weighted 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weighted 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44"/>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8,194.3</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5,190.8</w:t>
            </w:r>
          </w:p>
        </w:tc>
      </w:tr>
      <w:tr>
        <w:trPr>
          <w:trHeight w:val="276"/>
        </w:trPr>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7,962.9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4,969.3</w:t>
            </w:r>
          </w:p>
        </w:tc>
      </w:tr>
      <w:tr>
        <w:trPr>
          <w:trHeight w:val="250"/>
        </w:trPr>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221.5</w:t>
            </w:r>
          </w:p>
        </w:tc>
      </w:tr>
      <w:tr>
        <w:trPr>
          <w:trHeight w:val="541"/>
        </w:trPr>
        <w:tc>
          <w:tcPr>
            <w:tcW w:w="4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95.9</w:t>
            </w:r>
          </w:p>
        </w:tc>
      </w:tr>
      <w:tr>
        <w:trPr>
          <w:trHeight w:val="270"/>
        </w:trPr>
        <w:tc>
          <w:tcPr>
            <w:tcW w:w="40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6"/>
        </w:trPr>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w:t>
            </w:r>
          </w:p>
        </w:tc>
      </w:tr>
      <w:tr>
        <w:trPr>
          <w:trHeight w:val="250"/>
        </w:trPr>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160.5</w:t>
            </w:r>
          </w:p>
        </w:tc>
      </w:tr>
      <w:tr>
        <w:trPr>
          <w:trHeight w:val="250"/>
        </w:trPr>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61.0</w:t>
            </w:r>
          </w:p>
        </w:tc>
      </w:tr>
      <w:tr>
        <w:trPr>
          <w:trHeight w:val="541"/>
        </w:trPr>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76"/>
        </w:trPr>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50"/>
        </w:trPr>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244"/>
        </w:trPr>
        <w:tc>
          <w:tcPr>
            <w:tcW w:w="40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54.8</w:t>
            </w:r>
          </w:p>
        </w:tc>
      </w:tr>
      <w:tr>
        <w:trPr>
          <w:trHeight w:val="276"/>
        </w:trPr>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r>
      <w:tr>
        <w:trPr>
          <w:trHeight w:val="244"/>
        </w:trPr>
        <w:tc>
          <w:tcPr>
            <w:tcW w:w="40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51.6</w:t>
            </w:r>
          </w:p>
        </w:tc>
      </w:tr>
      <w:tr>
        <w:trPr>
          <w:trHeight w:val="276"/>
        </w:trPr>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37"/>
        </w:trPr>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07"/>
        </w:trPr>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0.74</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07"/>
        </w:trPr>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07"/>
        </w:trPr>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0.74</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07"/>
        </w:trPr>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796" w:right="239" w:bottom="1440" w:gutter="0" w:footer="0" w:header="0"/>
          <w:type w:val="continuous"/>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6"/>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r>
      <w:tr>
        <w:trPr>
          <w:trHeight w:val="278"/>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 (loss):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8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Flow hedges, net of income tax benefit of $6.5 for the three months ended March 31, 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0"/>
        </w:trPr>
        <w:tc>
          <w:tcPr>
            <w:tcW w:w="8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50"/>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Comprehensive (loss) income including noncontrolling interest</w:t>
            </w:r>
          </w:p>
        </w:tc>
        <w:tc>
          <w:tcPr>
            <w:tcW w:w="50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52.7</w:t>
            </w:r>
          </w:p>
        </w:tc>
      </w:tr>
      <w:tr>
        <w:trPr>
          <w:trHeight w:val="270"/>
        </w:trPr>
        <w:tc>
          <w:tcPr>
            <w:tcW w:w="8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3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0"/>
                <w:szCs w:val="20"/>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51.2</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8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8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w:t>
            </w:r>
          </w:p>
        </w:tc>
      </w:tr>
      <w:tr>
        <w:trPr>
          <w:trHeight w:val="283"/>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18.4</w:t>
            </w:r>
          </w:p>
        </w:tc>
      </w:tr>
      <w:tr>
        <w:trPr>
          <w:trHeight w:val="276"/>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6"/>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(benefit) provision</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Extinguishment of liabilities, net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76"/>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Foreign currency losses (gains), net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r>
        <w:trPr>
          <w:trHeight w:val="264"/>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90"/>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Changes in assets and liabilities, net of acquisitions: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Accounts receivable, net</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142.9</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Prepaid expenses</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85.1</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Other current assets</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Other non-current assets</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w:t>
            </w:r>
          </w:p>
        </w:tc>
      </w:tr>
      <w:tr>
        <w:trPr>
          <w:trHeight w:val="264"/>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Customer deposits</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w:t>
            </w:r>
          </w:p>
        </w:tc>
      </w:tr>
      <w:tr>
        <w:trPr>
          <w:trHeight w:val="27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264"/>
        </w:trPr>
        <w:tc>
          <w:tcPr>
            <w:tcW w:w="87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50"/>
        </w:trPr>
        <w:tc>
          <w:tcPr>
            <w:tcW w:w="8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86.9</w:t>
            </w:r>
          </w:p>
        </w:tc>
      </w:tr>
      <w:tr>
        <w:trPr>
          <w:trHeight w:val="250"/>
        </w:trPr>
        <w:tc>
          <w:tcPr>
            <w:tcW w:w="8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provided by operating activities</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138.6</w:t>
            </w:r>
          </w:p>
        </w:tc>
      </w:tr>
      <w:tr>
        <w:trPr>
          <w:trHeight w:val="28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264"/>
        </w:trPr>
        <w:tc>
          <w:tcPr>
            <w:tcW w:w="8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r>
      <w:tr>
        <w:trPr>
          <w:trHeight w:val="250"/>
        </w:trPr>
        <w:tc>
          <w:tcPr>
            <w:tcW w:w="8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investing activities</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27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689.6</w:t>
            </w:r>
          </w:p>
        </w:tc>
      </w:tr>
      <w:tr>
        <w:trPr>
          <w:trHeight w:val="264"/>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(664.6)</w:t>
            </w: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Purchases of common stock</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 of common stock tendered by employees to satisfy the required withholding taxes related to share-based payment awards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64"/>
        </w:trPr>
        <w:tc>
          <w:tcPr>
            <w:tcW w:w="8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0"/>
        </w:trPr>
        <w:tc>
          <w:tcPr>
            <w:tcW w:w="8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56"/>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107.2</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698.6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582.5</w:t>
            </w:r>
          </w:p>
        </w:tc>
      </w:tr>
      <w:tr>
        <w:trPr>
          <w:trHeight w:val="23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689.7</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18" w:right="239" w:bottom="1440" w:gutter="0" w:footer="0" w:header="0"/>
        </w:sectPr>
      </w:pPr>
    </w:p>
    <w:bookmarkStart w:id="8" w:name="page9"/>
    <w:bookmarkEnd w:id="8"/>
    <w:p>
      <w:pPr>
        <w:jc w:val="center"/>
        <w:ind w:left="2760" w:right="2760"/>
        <w:spacing w:after="0" w:line="266" w:lineRule="auto"/>
        <w:rPr>
          <w:sz w:val="20"/>
          <w:szCs w:val="20"/>
          <w:color w:val="auto"/>
        </w:rPr>
      </w:pPr>
      <w:r>
        <w:rPr>
          <w:rFonts w:ascii="Arial" w:cs="Arial" w:eastAsia="Arial" w:hAnsi="Arial"/>
          <w:sz w:val="18"/>
          <w:szCs w:val="18"/>
          <w:b w:val="1"/>
          <w:bCs w:val="1"/>
          <w:color w:val="auto"/>
        </w:rPr>
        <w:t xml:space="preserve">WORLD FUEL SERVICES CORPORATION AND SUBSIDIARIES RECONCILIATION OF GAAP TO NON-GAAP FINANCIAL MEASURES </w:t>
      </w:r>
      <w:r>
        <w:rPr>
          <w:rFonts w:ascii="Arial" w:cs="Arial" w:eastAsia="Arial" w:hAnsi="Arial"/>
          <w:sz w:val="18"/>
          <w:szCs w:val="18"/>
          <w:color w:val="auto"/>
        </w:rPr>
        <w:t>(Unaudited - In millions, except per share data)</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GAAP net income attributable to World Fuel</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related charges, net of income taxes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Severance and other restructuring-related costs, net of income taxes (2)</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net income attributable to World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Share-based compensation expense, net of income taxes (3)</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Intangible asset amortization expense, net of income taxes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Non-GAAP net income attributable to World Fuel</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For the Three Months Ended</w:t>
      </w:r>
    </w:p>
    <w:p>
      <w:pPr>
        <w:spacing w:after="0" w:line="150"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655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51.8</w:t>
            </w:r>
          </w:p>
        </w:tc>
      </w:tr>
      <w:tr>
        <w:trPr>
          <w:trHeight w:val="270"/>
        </w:trPr>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6"/>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53.0</w:t>
            </w:r>
          </w:p>
        </w:tc>
      </w:tr>
      <w:tr>
        <w:trPr>
          <w:trHeight w:val="270"/>
        </w:trPr>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796" w:right="2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GAAP diluted earnings per common share</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0.74</w:t>
            </w:r>
          </w:p>
        </w:tc>
      </w:tr>
      <w:tr>
        <w:trPr>
          <w:trHeight w:val="264"/>
        </w:trPr>
        <w:tc>
          <w:tcPr>
            <w:tcW w:w="8820" w:type="dxa"/>
            <w:vAlign w:val="bottom"/>
          </w:tcPr>
          <w:p>
            <w:pPr>
              <w:ind w:left="280"/>
              <w:spacing w:after="0"/>
              <w:rPr>
                <w:sz w:val="20"/>
                <w:szCs w:val="20"/>
                <w:color w:val="auto"/>
              </w:rPr>
            </w:pPr>
            <w:r>
              <w:rPr>
                <w:rFonts w:ascii="Arial" w:cs="Arial" w:eastAsia="Arial" w:hAnsi="Arial"/>
                <w:sz w:val="14"/>
                <w:szCs w:val="14"/>
                <w:color w:val="auto"/>
              </w:rPr>
              <w:t>Acquisition related charges, net of income taxes (1)</w:t>
            </w:r>
          </w:p>
        </w:tc>
        <w:tc>
          <w:tcPr>
            <w:tcW w:w="5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0"/>
        </w:trPr>
        <w:tc>
          <w:tcPr>
            <w:tcW w:w="8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Severance and other restructuring-related costs, net of income taxes (2)</w:t>
            </w:r>
          </w:p>
        </w:tc>
        <w:tc>
          <w:tcPr>
            <w:tcW w:w="5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820" w:type="dxa"/>
            <w:vAlign w:val="bottom"/>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0.76</w:t>
            </w:r>
          </w:p>
        </w:tc>
      </w:tr>
      <w:tr>
        <w:trPr>
          <w:trHeight w:val="276"/>
        </w:trPr>
        <w:tc>
          <w:tcPr>
            <w:tcW w:w="8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expense, net of income taxes (3)</w:t>
            </w: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r>
      <w:tr>
        <w:trPr>
          <w:trHeight w:val="264"/>
        </w:trPr>
        <w:tc>
          <w:tcPr>
            <w:tcW w:w="88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Intangible asset amortization expense, net of income taxes (4)</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r>
      <w:tr>
        <w:trPr>
          <w:trHeight w:val="237"/>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Non-GAAP diluted earnings per common share</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0.90</w:t>
            </w:r>
          </w:p>
        </w:tc>
      </w:tr>
      <w:tr>
        <w:trPr>
          <w:trHeight w:val="20"/>
        </w:trPr>
        <w:tc>
          <w:tcPr>
            <w:tcW w:w="8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acquisition related charges was $2.9 million and $1.5 million for the three months ended March 31, 2017 and 2016, respectively.</w:t>
      </w:r>
    </w:p>
    <w:p>
      <w:pPr>
        <w:spacing w:after="0" w:line="176"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severance and other restructuring-related costs was $1.9 million for the three months ended March 31, 2017</w:t>
      </w:r>
    </w:p>
    <w:p>
      <w:pPr>
        <w:spacing w:after="0" w:line="176"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share-based compensation expense was $4.1 million and $4.1 million for the three months ended March 31, 2017 and 2016, respectively.</w:t>
      </w:r>
    </w:p>
    <w:p>
      <w:pPr>
        <w:spacing w:after="0" w:line="176" w:lineRule="exact"/>
        <w:rPr>
          <w:rFonts w:ascii="Arial" w:cs="Arial" w:eastAsia="Arial" w:hAnsi="Arial"/>
          <w:sz w:val="14"/>
          <w:szCs w:val="14"/>
          <w:color w:val="auto"/>
        </w:rPr>
      </w:pPr>
    </w:p>
    <w:p>
      <w:pPr>
        <w:ind w:left="660" w:right="12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pre-tax amount of intangible asset amortization expense attributable to World Fuel Services was $9.7 million and $8.4 million for the three months ended March 31, 2017 and 2016, respectively.</w:t>
      </w:r>
    </w:p>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92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3,317.4</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2,219.4</w:t>
            </w:r>
          </w:p>
        </w:tc>
        <w:tc>
          <w:tcPr>
            <w:tcW w:w="0" w:type="dxa"/>
            <w:vAlign w:val="bottom"/>
          </w:tcPr>
          <w:p>
            <w:pPr>
              <w:spacing w:after="0"/>
              <w:rPr>
                <w:sz w:val="1"/>
                <w:szCs w:val="1"/>
                <w:color w:val="auto"/>
              </w:rPr>
            </w:pPr>
          </w:p>
        </w:tc>
      </w:tr>
      <w:tr>
        <w:trPr>
          <w:trHeight w:val="276"/>
        </w:trPr>
        <w:tc>
          <w:tcPr>
            <w:tcW w:w="8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1,695.0</w:t>
            </w:r>
          </w:p>
        </w:tc>
        <w:tc>
          <w:tcPr>
            <w:tcW w:w="0" w:type="dxa"/>
            <w:vAlign w:val="bottom"/>
          </w:tcPr>
          <w:p>
            <w:pPr>
              <w:spacing w:after="0"/>
              <w:rPr>
                <w:sz w:val="1"/>
                <w:szCs w:val="1"/>
                <w:color w:val="auto"/>
              </w:rPr>
            </w:pPr>
          </w:p>
        </w:tc>
      </w:tr>
      <w:tr>
        <w:trPr>
          <w:trHeight w:val="264"/>
        </w:trPr>
        <w:tc>
          <w:tcPr>
            <w:tcW w:w="892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2,093.5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1,276.5</w:t>
            </w:r>
          </w:p>
        </w:tc>
        <w:tc>
          <w:tcPr>
            <w:tcW w:w="0" w:type="dxa"/>
            <w:vAlign w:val="bottom"/>
          </w:tcPr>
          <w:p>
            <w:pPr>
              <w:spacing w:after="0"/>
              <w:rPr>
                <w:sz w:val="1"/>
                <w:szCs w:val="1"/>
                <w:color w:val="auto"/>
              </w:rPr>
            </w:pPr>
          </w:p>
        </w:tc>
      </w:tr>
      <w:tr>
        <w:trPr>
          <w:trHeight w:val="237"/>
        </w:trPr>
        <w:tc>
          <w:tcPr>
            <w:tcW w:w="8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8,194.3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5,190.8</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ind w:left="40"/>
              <w:spacing w:after="0"/>
              <w:rPr>
                <w:sz w:val="20"/>
                <w:szCs w:val="20"/>
                <w:color w:val="auto"/>
              </w:rPr>
            </w:pPr>
            <w:r>
              <w:rPr>
                <w:rFonts w:ascii="Arial" w:cs="Arial" w:eastAsia="Arial" w:hAnsi="Arial"/>
                <w:sz w:val="14"/>
                <w:szCs w:val="14"/>
                <w:color w:val="auto"/>
              </w:rPr>
              <w:t>Gross profit:</w:t>
            </w: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92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64"/>
        </w:trPr>
        <w:tc>
          <w:tcPr>
            <w:tcW w:w="892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3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70"/>
        </w:trPr>
        <w:tc>
          <w:tcPr>
            <w:tcW w:w="8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77"/>
        </w:trPr>
        <w:tc>
          <w:tcPr>
            <w:tcW w:w="880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231.4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221.5</w:t>
            </w:r>
          </w:p>
        </w:tc>
        <w:tc>
          <w:tcPr>
            <w:tcW w:w="0" w:type="dxa"/>
            <w:vAlign w:val="bottom"/>
          </w:tcPr>
          <w:p>
            <w:pPr>
              <w:spacing w:after="0"/>
              <w:rPr>
                <w:sz w:val="1"/>
                <w:szCs w:val="1"/>
                <w:color w:val="auto"/>
              </w:rPr>
            </w:pPr>
          </w:p>
        </w:tc>
      </w:tr>
      <w:tr>
        <w:trPr>
          <w:trHeight w:val="270"/>
        </w:trPr>
        <w:tc>
          <w:tcPr>
            <w:tcW w:w="8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92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76"/>
        </w:trPr>
        <w:tc>
          <w:tcPr>
            <w:tcW w:w="8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64"/>
        </w:trPr>
        <w:tc>
          <w:tcPr>
            <w:tcW w:w="892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56"/>
        </w:trPr>
        <w:tc>
          <w:tcPr>
            <w:tcW w:w="8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264"/>
        </w:trPr>
        <w:tc>
          <w:tcPr>
            <w:tcW w:w="892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37"/>
        </w:trPr>
        <w:tc>
          <w:tcPr>
            <w:tcW w:w="880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
        </w:trPr>
        <w:tc>
          <w:tcPr>
            <w:tcW w:w="8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8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8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Volume (Gallons):</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r>
      <w:tr>
        <w:trPr>
          <w:trHeight w:val="256"/>
        </w:trPr>
        <w:tc>
          <w:tcPr>
            <w:tcW w:w="89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1,831.0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1,626.4</w:t>
            </w:r>
          </w:p>
        </w:tc>
      </w:tr>
      <w:tr>
        <w:trPr>
          <w:trHeight w:val="264"/>
        </w:trPr>
        <w:tc>
          <w:tcPr>
            <w:tcW w:w="8920" w:type="dxa"/>
            <w:vAlign w:val="bottom"/>
            <w:gridSpan w:val="2"/>
          </w:tcPr>
          <w:p>
            <w:pPr>
              <w:ind w:left="280"/>
              <w:spacing w:after="0"/>
              <w:rPr>
                <w:sz w:val="20"/>
                <w:szCs w:val="20"/>
                <w:color w:val="auto"/>
              </w:rPr>
            </w:pPr>
            <w:r>
              <w:rPr>
                <w:rFonts w:ascii="Arial" w:cs="Arial" w:eastAsia="Arial" w:hAnsi="Arial"/>
                <w:sz w:val="14"/>
                <w:szCs w:val="14"/>
                <w:color w:val="auto"/>
              </w:rPr>
              <w:t>Land Segment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1,497.1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1,213.1</w:t>
            </w:r>
          </w:p>
        </w:tc>
      </w:tr>
      <w:tr>
        <w:trPr>
          <w:trHeight w:val="270"/>
        </w:trPr>
        <w:tc>
          <w:tcPr>
            <w:tcW w:w="8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(1)</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1,803.6</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2,022.9</w:t>
            </w:r>
          </w:p>
        </w:tc>
      </w:tr>
      <w:tr>
        <w:trPr>
          <w:trHeight w:val="237"/>
        </w:trPr>
        <w:tc>
          <w:tcPr>
            <w:tcW w:w="892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5,131.7</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4,862.4</w:t>
            </w:r>
          </w:p>
        </w:tc>
      </w:tr>
      <w:tr>
        <w:trPr>
          <w:trHeight w:val="20"/>
        </w:trPr>
        <w:tc>
          <w:tcPr>
            <w:tcW w:w="8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Converted from metric tons to gallons at a rate of 264 gallons per metric ton. Marine segment metric tons was 6.8 for the three months ended March 31, 2017.</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Assistant Treasurer</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2019-12-05T13:36:44Z</dcterms:created>
  <dcterms:modified xsi:type="dcterms:W3CDTF">2019-12-05T13:36:44Z</dcterms:modified>
</cp:coreProperties>
</file>