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2019</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Emerging growth company</w:t>
      </w:r>
    </w:p>
    <w:p>
      <w:pPr>
        <w:spacing w:after="0" w:line="206"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60" w:type="dxa"/>
            <w:vAlign w:val="bottom"/>
          </w:tcPr>
          <w:p>
            <w:pPr>
              <w:spacing w:after="0"/>
              <w:rPr>
                <w:sz w:val="18"/>
                <w:szCs w:val="18"/>
                <w:color w:val="auto"/>
              </w:rPr>
            </w:pPr>
          </w:p>
        </w:tc>
        <w:tc>
          <w:tcPr>
            <w:tcW w:w="34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07"/>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980" w:type="dxa"/>
            <w:vAlign w:val="bottom"/>
          </w:tcPr>
          <w:p>
            <w:pPr>
              <w:spacing w:after="0"/>
              <w:rPr>
                <w:sz w:val="24"/>
                <w:szCs w:val="24"/>
                <w:color w:val="auto"/>
              </w:rPr>
            </w:pPr>
          </w:p>
        </w:tc>
        <w:tc>
          <w:tcPr>
            <w:tcW w:w="246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INT</w:t>
            </w:r>
          </w:p>
        </w:tc>
        <w:tc>
          <w:tcPr>
            <w:tcW w:w="39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49"/>
        </w:trPr>
        <w:tc>
          <w:tcPr>
            <w:tcW w:w="1360" w:type="dxa"/>
            <w:vAlign w:val="bottom"/>
            <w:tcBorders>
              <w:bottom w:val="single" w:sz="8" w:color="9A9A9A"/>
            </w:tcBorders>
          </w:tcPr>
          <w:p>
            <w:pPr>
              <w:spacing w:after="0"/>
              <w:rPr>
                <w:sz w:val="12"/>
                <w:szCs w:val="12"/>
                <w:color w:val="auto"/>
              </w:rPr>
            </w:pPr>
          </w:p>
        </w:tc>
        <w:tc>
          <w:tcPr>
            <w:tcW w:w="26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r>
      <w:tr>
        <w:trPr>
          <w:trHeight w:val="21"/>
        </w:trPr>
        <w:tc>
          <w:tcPr>
            <w:tcW w:w="13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3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World Fuel Services Corporation (the “Company”) announced today that its board of directors has approved an increase to the Company’s share repurchase program, authorizing the purchase of up to an additional $100 million in common stock. In addition, the Company announced that its board of directors has declared a quarterly cash dividend of $0.10 per share payable on July 5, 2019 to shareholders of record on June 10, 2019. A copy of the press release is attached hereto as Exhibit 99.1.</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46"/>
        </w:trPr>
        <w:tc>
          <w:tcPr>
            <w:tcW w:w="1220" w:type="dxa"/>
            <w:vAlign w:val="bottom"/>
          </w:tcPr>
          <w:p>
            <w:pPr>
              <w:spacing w:after="0"/>
              <w:rPr>
                <w:sz w:val="24"/>
                <w:szCs w:val="24"/>
                <w:color w:val="auto"/>
              </w:rPr>
            </w:pP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Exhibit No.</w:t>
            </w:r>
          </w:p>
        </w:tc>
        <w:tc>
          <w:tcPr>
            <w:tcW w:w="89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May 29, 2019.</w:t>
            </w:r>
          </w:p>
        </w:tc>
      </w:tr>
      <w:tr>
        <w:trPr>
          <w:trHeight w:val="230"/>
        </w:trPr>
        <w:tc>
          <w:tcPr>
            <w:tcW w:w="12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40" w:type="dxa"/>
            <w:vAlign w:val="bottom"/>
            <w:tcBorders>
              <w:bottom w:val="single" w:sz="8" w:color="9A9A9A"/>
            </w:tcBorders>
          </w:tcPr>
          <w:p>
            <w:pPr>
              <w:spacing w:after="0"/>
              <w:rPr>
                <w:sz w:val="19"/>
                <w:szCs w:val="19"/>
                <w:color w:val="auto"/>
              </w:rPr>
            </w:pPr>
          </w:p>
        </w:tc>
      </w:tr>
      <w:tr>
        <w:trPr>
          <w:trHeight w:val="21"/>
        </w:trPr>
        <w:tc>
          <w:tcPr>
            <w:tcW w:w="12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p>
      <w:pPr>
        <w:spacing w:after="0"/>
        <w:tabs>
          <w:tab w:leader="none" w:pos="560" w:val="left"/>
          <w:tab w:leader="none" w:pos="5940" w:val="left"/>
        </w:tabs>
        <w:rPr>
          <w:sz w:val="20"/>
          <w:szCs w:val="20"/>
          <w:color w:val="auto"/>
        </w:rPr>
      </w:pPr>
      <w:r>
        <w:rPr>
          <w:rFonts w:ascii="Times New Roman" w:cs="Times New Roman" w:eastAsia="Times New Roman" w:hAnsi="Times New Roman"/>
          <w:sz w:val="18"/>
          <w:szCs w:val="18"/>
          <w:color w:val="auto"/>
        </w:rPr>
        <w:t>Date:</w:t>
        <w:tab/>
        <w:t>May 29, 2019</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26035</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08" w:right="49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7"/>
            <w:szCs w:val="17"/>
            <w:u w:val="single" w:color="auto"/>
            <w:color w:val="0000EE"/>
          </w:rPr>
          <w:t>Press Release, dated May 29, 2019.</w:t>
        </w:r>
      </w:hyperlink>
    </w:p>
    <w:p>
      <w:pPr>
        <w:sectPr>
          <w:pgSz w:w="11900" w:h="16838" w:orient="portrait"/>
          <w:cols w:equalWidth="0" w:num="1">
            <w:col w:w="10219"/>
          </w:cols>
          <w:pgMar w:left="240" w:top="112" w:right="1440" w:bottom="1440" w:gutter="0" w:footer="0" w:header="0"/>
        </w:sectPr>
      </w:pPr>
    </w:p>
    <w:bookmarkStart w:id="4" w:name="page5"/>
    <w:bookmarkEnd w:id="4"/>
    <w:p>
      <w:pPr>
        <w:ind w:left="103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b w:val="1"/>
          <w:bCs w:val="1"/>
          <w:color w:val="auto"/>
        </w:rPr>
        <w:t>World Fuel Services Corporation Announces Increase of Share Repurchase Program and Quarterly Cash Dividend</w:t>
      </w:r>
    </w:p>
    <w:p>
      <w:pPr>
        <w:spacing w:after="0" w:line="21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MIAMI--(BUSINESS WIRE)--May 29, 2019--World Fuel Services Corporation (NYSE: INT) today announced that its Board of Directors has approved a $100 million increase to the company’s share repurchase program announced in October 2017, increasing the available authorization remaining under the program to approximately $150 million.</w:t>
      </w:r>
    </w:p>
    <w:p>
      <w:pPr>
        <w:spacing w:after="0" w:line="174" w:lineRule="exact"/>
        <w:rPr>
          <w:sz w:val="20"/>
          <w:szCs w:val="20"/>
          <w:color w:val="auto"/>
        </w:rPr>
      </w:pPr>
    </w:p>
    <w:p>
      <w:pPr>
        <w:jc w:val="both"/>
        <w:ind w:right="40"/>
        <w:spacing w:after="0" w:line="239" w:lineRule="auto"/>
        <w:rPr>
          <w:sz w:val="20"/>
          <w:szCs w:val="20"/>
          <w:color w:val="auto"/>
        </w:rPr>
      </w:pPr>
      <w:r>
        <w:rPr>
          <w:rFonts w:ascii="Times New Roman" w:cs="Times New Roman" w:eastAsia="Times New Roman" w:hAnsi="Times New Roman"/>
          <w:sz w:val="22"/>
          <w:szCs w:val="22"/>
          <w:color w:val="auto"/>
        </w:rPr>
        <w:t>Share repurchases may be made from time to time in the open market or through privately negotiated transactions. The timing and amount of shares to be repurchased under the program will depend on market conditions, share price, securities law and other legal requirements and factors. The program does not require the purchase of any minimum number of shares, has no expiration date and may be suspended or discontinued at any time without prior notice.</w:t>
      </w:r>
    </w:p>
    <w:p>
      <w:pPr>
        <w:spacing w:after="0" w:line="1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In addition, the Board of Directors also declared the company’s quarterly cash dividend which, as previously announced, has been increased to $0.10 per share and will be payable on July 5, 2019 to shareholders of record on June 10,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Information Relating to Forward-Looking Statements</w:t>
      </w:r>
    </w:p>
    <w:p>
      <w:pPr>
        <w:spacing w:after="0" w:line="206"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release includes forward-looking statements within the meaning of the Private Securities Litigation Reform Act of 1995, including statements regarding share repurchases.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generate expected cash from operations, the availability and price of our stock on the open market,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 Executive Vice President &amp;</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 Klevitz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Treasurer &amp; Investor Relations</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2019-12-28T11:29:54Z</dcterms:created>
  <dcterms:modified xsi:type="dcterms:W3CDTF">2019-12-28T11:29:54Z</dcterms:modified>
</cp:coreProperties>
</file>