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March 3, 2017</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7"/>
              </w:rPr>
              <w:t>Miami, Florida</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World Fuel Services Corporation announced today that its board of directors has declared a quarterly cash dividend of $0.06 per share payable on April 7, 2017 to shareholders of record on March 17, 2017.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80" w:type="dxa"/>
            <w:vAlign w:val="bottom"/>
          </w:tcPr>
          <w:p>
            <w:pPr>
              <w:ind w:left="620"/>
              <w:spacing w:after="0"/>
              <w:rPr>
                <w:sz w:val="20"/>
                <w:szCs w:val="20"/>
                <w:color w:val="auto"/>
              </w:rPr>
            </w:pPr>
            <w:r>
              <w:rPr>
                <w:rFonts w:ascii="Arial" w:cs="Arial" w:eastAsia="Arial" w:hAnsi="Arial"/>
                <w:sz w:val="22"/>
                <w:szCs w:val="22"/>
                <w:color w:val="auto"/>
              </w:rPr>
              <w:t>(c)</w:t>
            </w:r>
          </w:p>
        </w:tc>
        <w:tc>
          <w:tcPr>
            <w:tcW w:w="100" w:type="dxa"/>
            <w:vAlign w:val="bottom"/>
          </w:tcPr>
          <w:p>
            <w:pPr>
              <w:spacing w:after="0"/>
              <w:rPr>
                <w:sz w:val="23"/>
                <w:szCs w:val="23"/>
                <w:color w:val="auto"/>
              </w:rPr>
            </w:pPr>
          </w:p>
        </w:tc>
        <w:tc>
          <w:tcPr>
            <w:tcW w:w="1200" w:type="dxa"/>
            <w:vAlign w:val="bottom"/>
            <w:gridSpan w:val="2"/>
          </w:tcPr>
          <w:p>
            <w:pPr>
              <w:ind w:left="160"/>
              <w:spacing w:after="0"/>
              <w:rPr>
                <w:sz w:val="20"/>
                <w:szCs w:val="20"/>
                <w:color w:val="auto"/>
              </w:rPr>
            </w:pPr>
            <w:r>
              <w:rPr>
                <w:rFonts w:ascii="Arial" w:cs="Arial" w:eastAsia="Arial" w:hAnsi="Arial"/>
                <w:sz w:val="22"/>
                <w:szCs w:val="22"/>
                <w:color w:val="auto"/>
              </w:rPr>
              <w:t>Exhibits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820" w:type="dxa"/>
            <w:vAlign w:val="bottom"/>
          </w:tcPr>
          <w:p>
            <w:pPr>
              <w:spacing w:after="0"/>
              <w:rPr>
                <w:sz w:val="23"/>
                <w:szCs w:val="23"/>
                <w:color w:val="auto"/>
              </w:rPr>
            </w:pPr>
          </w:p>
        </w:tc>
      </w:tr>
      <w:tr>
        <w:trPr>
          <w:trHeight w:val="409"/>
        </w:trPr>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Description</w:t>
            </w:r>
          </w:p>
        </w:tc>
        <w:tc>
          <w:tcPr>
            <w:tcW w:w="7820" w:type="dxa"/>
            <w:vAlign w:val="bottom"/>
          </w:tcPr>
          <w:p>
            <w:pPr>
              <w:spacing w:after="0"/>
              <w:rPr>
                <w:sz w:val="24"/>
                <w:szCs w:val="24"/>
                <w:color w:val="auto"/>
              </w:rPr>
            </w:pPr>
          </w:p>
        </w:tc>
      </w:tr>
      <w:tr>
        <w:trPr>
          <w:trHeight w:val="490"/>
        </w:trPr>
        <w:tc>
          <w:tcPr>
            <w:tcW w:w="980" w:type="dxa"/>
            <w:vAlign w:val="bottom"/>
          </w:tcPr>
          <w:p>
            <w:pPr>
              <w:spacing w:after="0"/>
              <w:rPr>
                <w:sz w:val="24"/>
                <w:szCs w:val="24"/>
                <w:color w:val="auto"/>
              </w:rPr>
            </w:pPr>
          </w:p>
        </w:tc>
        <w:tc>
          <w:tcPr>
            <w:tcW w:w="1120" w:type="dxa"/>
            <w:vAlign w:val="bottom"/>
            <w:gridSpan w:val="2"/>
          </w:tcPr>
          <w:p>
            <w:pPr>
              <w:ind w:left="240"/>
              <w:spacing w:after="0"/>
              <w:rPr>
                <w:sz w:val="20"/>
                <w:szCs w:val="20"/>
                <w:color w:val="auto"/>
              </w:rPr>
            </w:pPr>
            <w:r>
              <w:rPr>
                <w:rFonts w:ascii="Arial" w:cs="Arial" w:eastAsia="Arial" w:hAnsi="Arial"/>
                <w:sz w:val="22"/>
                <w:szCs w:val="22"/>
                <w:color w:val="auto"/>
              </w:rPr>
              <w:t>99.1</w:t>
            </w:r>
          </w:p>
        </w:tc>
        <w:tc>
          <w:tcPr>
            <w:tcW w:w="180" w:type="dxa"/>
            <w:vAlign w:val="bottom"/>
          </w:tcPr>
          <w:p>
            <w:pPr>
              <w:spacing w:after="0"/>
              <w:rPr>
                <w:sz w:val="24"/>
                <w:szCs w:val="24"/>
                <w:color w:val="auto"/>
              </w:rPr>
            </w:pPr>
          </w:p>
        </w:tc>
        <w:tc>
          <w:tcPr>
            <w:tcW w:w="9140" w:type="dxa"/>
            <w:vAlign w:val="bottom"/>
            <w:gridSpan w:val="3"/>
          </w:tcPr>
          <w:p>
            <w:pPr>
              <w:ind w:left="180"/>
              <w:spacing w:after="0"/>
              <w:rPr>
                <w:sz w:val="20"/>
                <w:szCs w:val="20"/>
                <w:color w:val="auto"/>
              </w:rPr>
            </w:pPr>
            <w:r>
              <w:rPr>
                <w:rFonts w:ascii="Arial" w:cs="Arial" w:eastAsia="Arial" w:hAnsi="Arial"/>
                <w:sz w:val="22"/>
                <w:szCs w:val="22"/>
                <w:color w:val="auto"/>
              </w:rPr>
              <w:t>Press Release, dated March 3, 2017.</w:t>
            </w:r>
          </w:p>
        </w:tc>
      </w:tr>
      <w:tr>
        <w:trPr>
          <w:trHeight w:val="206"/>
        </w:trPr>
        <w:tc>
          <w:tcPr>
            <w:tcW w:w="9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7820" w:type="dxa"/>
            <w:vAlign w:val="bottom"/>
            <w:tcBorders>
              <w:bottom w:val="single" w:sz="8" w:color="9A9A9A"/>
            </w:tcBorders>
          </w:tcPr>
          <w:p>
            <w:pPr>
              <w:spacing w:after="0"/>
              <w:rPr>
                <w:sz w:val="17"/>
                <w:szCs w:val="17"/>
                <w:color w:val="auto"/>
              </w:rPr>
            </w:pPr>
          </w:p>
        </w:tc>
      </w:tr>
      <w:tr>
        <w:trPr>
          <w:trHeight w:val="21"/>
        </w:trPr>
        <w:tc>
          <w:tcPr>
            <w:tcW w:w="9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78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March 3, 2017</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Chief Legal Officer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3, 2017.</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Declares Regular Quarterly Cash Dividend</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22"/>
          <w:szCs w:val="22"/>
          <w:color w:val="auto"/>
        </w:rPr>
        <w:t>MIAMI--(BUSINESS WIRE)--March 3, 2017--World Fuel Services Corporation (NYSE:INT) announced today that its board of directors has declared a quarterly cash dividend of $0.06 per share payable on April 7, 2017 to shareholders of record on March 17, 2017.</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54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auto"/>
        </w:rPr>
        <w:t>www.wfscorp.com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305-428-8000</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305-428-8000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Assistant Treasurer</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2019-12-05T13:18:29Z</dcterms:created>
  <dcterms:modified xsi:type="dcterms:W3CDTF">2019-12-05T13:18:29Z</dcterms:modified>
</cp:coreProperties>
</file>