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World Fuel Services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981475106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10020" w:hanging="3"/>
        <w:spacing w:after="0" w:line="276" w:lineRule="auto"/>
        <w:tabs>
          <w:tab w:leader="none" w:pos="39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7" w:lineRule="exact"/>
        <w:rPr>
          <w:sz w:val="24"/>
          <w:szCs w:val="24"/>
          <w:color w:val="auto"/>
        </w:rPr>
      </w:pPr>
    </w:p>
    <w:p>
      <w:pPr>
        <w:ind w:right="220" w:firstLine="90"/>
        <w:spacing w:after="0" w:line="28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6"/>
        <w:spacing w:after="0" w:line="28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356235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981475106</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 X</w:t>
            </w:r>
          </w:p>
        </w:tc>
      </w:tr>
      <w:tr>
        <w:trPr>
          <w:trHeight w:val="4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3" w:lineRule="exact"/>
        <w:rPr>
          <w:sz w:val="20"/>
          <w:szCs w:val="20"/>
          <w:color w:val="auto"/>
        </w:rPr>
      </w:pPr>
    </w:p>
    <w:p>
      <w:pPr>
        <w:ind w:left="100" w:right="81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52,521</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100" w:right="77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3,840,124</w:t>
      </w:r>
    </w:p>
    <w:p>
      <w:pPr>
        <w:spacing w:after="0" w:line="1" w:lineRule="exact"/>
        <w:rPr>
          <w:rFonts w:ascii="Times New Roman" w:cs="Times New Roman" w:eastAsia="Times New Roman" w:hAnsi="Times New Roman"/>
          <w:sz w:val="18"/>
          <w:szCs w:val="18"/>
          <w:color w:val="auto"/>
        </w:rPr>
      </w:pPr>
    </w:p>
    <w:p>
      <w:pPr>
        <w:ind w:left="140" w:right="7459" w:hanging="132"/>
        <w:spacing w:after="0" w:line="498" w:lineRule="auto"/>
        <w:tabs>
          <w:tab w:leader="none" w:pos="2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48,621</w:t>
      </w:r>
    </w:p>
    <w:p>
      <w:pPr>
        <w:spacing w:after="0" w:line="1" w:lineRule="exact"/>
        <w:rPr>
          <w:rFonts w:ascii="Times New Roman" w:cs="Times New Roman" w:eastAsia="Times New Roman" w:hAnsi="Times New Roman"/>
          <w:sz w:val="18"/>
          <w:szCs w:val="18"/>
          <w:color w:val="auto"/>
        </w:rPr>
      </w:pPr>
    </w:p>
    <w:p>
      <w:pPr>
        <w:ind w:left="100" w:right="3479" w:hanging="92"/>
        <w:spacing w:after="0" w:line="498"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3,888,745</w:t>
      </w:r>
    </w:p>
    <w:p>
      <w:pPr>
        <w:spacing w:after="0" w:line="1" w:lineRule="exact"/>
        <w:rPr>
          <w:rFonts w:ascii="Times New Roman" w:cs="Times New Roman" w:eastAsia="Times New Roman" w:hAnsi="Times New Roman"/>
          <w:sz w:val="18"/>
          <w:szCs w:val="18"/>
          <w:color w:val="auto"/>
        </w:rPr>
      </w:pPr>
    </w:p>
    <w:p>
      <w:pPr>
        <w:ind w:left="100" w:right="2859" w:hanging="92"/>
        <w:spacing w:after="0" w:line="49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5.39%</w:t>
      </w:r>
    </w:p>
    <w:p>
      <w:pPr>
        <w:spacing w:after="0" w:line="22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78"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5" w:lineRule="exact"/>
        <w:rPr>
          <w:sz w:val="20"/>
          <w:szCs w:val="20"/>
          <w:color w:val="auto"/>
        </w:rPr>
      </w:pPr>
    </w:p>
    <w:p>
      <w:pPr>
        <w:ind w:right="4979"/>
        <w:spacing w:after="0" w:line="498" w:lineRule="auto"/>
        <w:rPr>
          <w:sz w:val="20"/>
          <w:szCs w:val="20"/>
          <w:color w:val="auto"/>
        </w:rPr>
      </w:pPr>
      <w:r>
        <w:rPr>
          <w:rFonts w:ascii="Times New Roman" w:cs="Times New Roman" w:eastAsia="Times New Roman" w:hAnsi="Times New Roman"/>
          <w:sz w:val="18"/>
          <w:szCs w:val="18"/>
          <w:color w:val="auto"/>
        </w:rPr>
        <w:t xml:space="preserve">Check the following [line] if a fee is being paid with this statement N/A </w:t>
      </w:r>
      <w:r>
        <w:rPr>
          <w:rFonts w:ascii="Times New Roman" w:cs="Times New Roman" w:eastAsia="Times New Roman" w:hAnsi="Times New Roman"/>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World Fuel Services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9800 N.W. 41ST STREET</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SUITE 400</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MIAMI, FL 33178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981475106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3,888,745</w:t>
      </w:r>
    </w:p>
    <w:p>
      <w:pPr>
        <w:spacing w:after="0" w:line="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78" w:right="1440" w:bottom="1440" w:gutter="0" w:footer="0" w:header="0"/>
        </w:sectPr>
      </w:pPr>
    </w:p>
    <w:bookmarkStart w:id="3" w:name="page4"/>
    <w:bookmarkEnd w:id="3"/>
    <w:p>
      <w:pPr>
        <w:ind w:left="380" w:hanging="283"/>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3"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52,521</w:t>
      </w:r>
    </w:p>
    <w:p>
      <w:pPr>
        <w:spacing w:after="0" w:line="223" w:lineRule="exact"/>
        <w:rPr>
          <w:rFonts w:ascii="Times New Roman" w:cs="Times New Roman" w:eastAsia="Times New Roman" w:hAnsi="Times New Roman"/>
          <w:sz w:val="18"/>
          <w:szCs w:val="18"/>
          <w:color w:val="auto"/>
        </w:rPr>
      </w:pPr>
    </w:p>
    <w:p>
      <w:pPr>
        <w:ind w:left="400" w:hanging="303"/>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w:t>
      </w:r>
    </w:p>
    <w:p>
      <w:pPr>
        <w:spacing w:after="0" w:line="223" w:lineRule="exact"/>
        <w:rPr>
          <w:rFonts w:ascii="Times New Roman" w:cs="Times New Roman" w:eastAsia="Times New Roman" w:hAnsi="Times New Roman"/>
          <w:sz w:val="18"/>
          <w:szCs w:val="18"/>
          <w:color w:val="auto"/>
        </w:rPr>
      </w:pPr>
    </w:p>
    <w:p>
      <w:pPr>
        <w:ind w:left="100" w:right="6120" w:hanging="3"/>
        <w:spacing w:after="0" w:line="498"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3,840,124 (iv) shared power to dispose or to direct the disposition of: 48,621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3" w:lineRule="exact"/>
        <w:rPr>
          <w:sz w:val="20"/>
          <w:szCs w:val="20"/>
          <w:color w:val="auto"/>
        </w:rPr>
      </w:pPr>
    </w:p>
    <w:p>
      <w:pPr>
        <w:jc w:val="both"/>
        <w:ind w:firstLine="90"/>
        <w:spacing w:after="0" w:line="26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02/07/13</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-8255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617220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7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3" w:lineRule="exact"/>
        <w:rPr>
          <w:sz w:val="20"/>
          <w:szCs w:val="20"/>
          <w:color w:val="auto"/>
        </w:rPr>
      </w:pPr>
    </w:p>
    <w:p>
      <w:pPr>
        <w:ind w:firstLine="41"/>
        <w:spacing w:after="0" w:line="280" w:lineRule="auto"/>
        <w:rPr>
          <w:sz w:val="20"/>
          <w:szCs w:val="20"/>
          <w:color w:val="auto"/>
        </w:rPr>
      </w:pPr>
      <w:r>
        <w:rPr>
          <w:rFonts w:ascii="Times New Roman" w:cs="Times New Roman" w:eastAsia="Times New Roman" w:hAnsi="Times New Roman"/>
          <w:sz w:val="18"/>
          <w:szCs w:val="18"/>
          <w:color w:val="auto"/>
        </w:rPr>
        <w:t>Vanguard Fiduciary Trust Company ("VFTC"), a wholly-owned subsidiary of The Vanguard Group, Inc., is the beneficial owner of 48,621 shares or .06% of the Common Stock outstanding of the Company as a result of its serving as investment manager of collective trust accounts.</w:t>
      </w:r>
    </w:p>
    <w:p>
      <w:pPr>
        <w:spacing w:after="0" w:line="16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Vanguard Investments Australia, Ltd. ("VIA"), a wholly-owned subsidiary of The Vanguard Group, Inc., is the beneficial owner of 3,900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-8255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on January 29, 2010, see File Number 005-81485, Incorporated by Reference</w:t>
      </w:r>
    </w:p>
    <w:sectPr>
      <w:pgSz w:w="11900" w:h="16838" w:orient="portrait"/>
      <w:cols w:equalWidth="0" w:num="1">
        <w:col w:w="11380"/>
      </w:cols>
      <w:pgMar w:left="240" w:top="10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2019-12-05T22:34:33Z</dcterms:created>
  <dcterms:modified xsi:type="dcterms:W3CDTF">2019-12-05T22:34:33Z</dcterms:modified>
</cp:coreProperties>
</file>