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290195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135890</wp:posOffset>
            </wp:positionV>
            <wp:extent cx="221234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30, 2014</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Written communications pursuant to Rule 425 under the Securities Act (17 CFR 230.425)</w:t>
      </w:r>
    </w:p>
    <w:p>
      <w:pPr>
        <w:ind w:left="240" w:hanging="232"/>
        <w:spacing w:after="0" w:line="238" w:lineRule="auto"/>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Soliciting material pursuant to Rule 14a-12 under the Exchange Act (17 CFR 240.14a-12)</w:t>
      </w:r>
    </w:p>
    <w:p>
      <w:pPr>
        <w:ind w:left="240" w:hanging="232"/>
        <w:spacing w:after="0" w:line="230" w:lineRule="auto"/>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Pre-commencement communications pursuant to Rule 14d-2(b) under the Exchange Act (17 CFR 240.14d-2(b))</w:t>
      </w:r>
    </w:p>
    <w:p>
      <w:pPr>
        <w:spacing w:after="0" w:line="1" w:lineRule="exact"/>
        <w:rPr>
          <w:sz w:val="24"/>
          <w:szCs w:val="24"/>
          <w:color w:val="auto"/>
        </w:rPr>
      </w:pP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22"/>
          <w:szCs w:val="22"/>
          <w:color w:val="auto"/>
        </w:rPr>
        <w:t>World Fuel Services Corporation announced today that it has completed the previously announced acquisition of Colt International, L.L.C. A copy of the press release is attached hereto as Exhibit 99.1.</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1160" w:hanging="676"/>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8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700" w:type="dxa"/>
            <w:vAlign w:val="bottom"/>
          </w:tcPr>
          <w:p>
            <w:pPr>
              <w:spacing w:after="0"/>
              <w:rPr>
                <w:sz w:val="17"/>
                <w:szCs w:val="17"/>
                <w:color w:val="auto"/>
              </w:rPr>
            </w:pPr>
          </w:p>
        </w:tc>
      </w:tr>
      <w:tr>
        <w:trPr>
          <w:trHeight w:val="507"/>
        </w:trPr>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99.1</w:t>
            </w:r>
          </w:p>
        </w:tc>
        <w:tc>
          <w:tcPr>
            <w:tcW w:w="8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Press Release, dated July 30, 2014.</w:t>
            </w:r>
          </w:p>
        </w:tc>
      </w:tr>
      <w:tr>
        <w:trPr>
          <w:trHeight w:val="230"/>
        </w:trPr>
        <w:tc>
          <w:tcPr>
            <w:tcW w:w="1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700" w:type="dxa"/>
            <w:vAlign w:val="bottom"/>
            <w:tcBorders>
              <w:bottom w:val="single" w:sz="8" w:color="9A9A9A"/>
            </w:tcBorders>
          </w:tcPr>
          <w:p>
            <w:pPr>
              <w:spacing w:after="0"/>
              <w:rPr>
                <w:sz w:val="19"/>
                <w:szCs w:val="19"/>
                <w:color w:val="auto"/>
              </w:rPr>
            </w:pPr>
          </w:p>
        </w:tc>
      </w:tr>
      <w:tr>
        <w:trPr>
          <w:trHeight w:val="21"/>
        </w:trPr>
        <w:tc>
          <w:tcPr>
            <w:tcW w:w="11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July 30, 2014</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30, 2014.</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Completes Colt International, LLC Acquisition</w:t>
      </w:r>
    </w:p>
    <w:p>
      <w:pPr>
        <w:spacing w:after="0" w:line="212"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MIAMI--(BUSINESS WIRE)--July 30, 2014--World Fuel Services Corporation (NYSE: INT) announced today that it has completed the previously announced acquisition of Colt International, LLC.</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“We are pleased to welcome the Colt team to the World Fuel Services organization,” said Michael J. Kasbar, chairman and chief executive officer of World Fuel Services Corporation. “The Colt transaction, combined with the existing World Fuel business, will provide customers with the largest contract fueling network in the general aviation industry and deliver a premier global platform for international trip planning services.”</w:t>
      </w:r>
    </w:p>
    <w:p>
      <w:pPr>
        <w:spacing w:after="0" w:line="18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Colt, headquartered in Houston, Texas, with 150 employees and 2013 revenue of approximately $400 million, is a leading provider of contract fuel and trip planning services at more than 3,000 locations worldwide.</w:t>
      </w:r>
    </w:p>
    <w:p>
      <w:pPr>
        <w:spacing w:after="0" w:line="17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transaction is expected to be $0.06 to $0.09 accretive to earnings on a GAAP basis in the first twelve months. Non-GAAP accretion, which excludes amortization of acquired intangible assets of approximately $0.02 per share, is expected to be $0.08 to $0.11 in the first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within the meaning of the Private Securities Litigation Reform Act of 1995, including statements regarding our expectations about expanding the contract fuel network and global platform, the effect of the acquisition on our general aviation business, as well as our expectation regarding the effect of the transaction on our earnings. These forward-looking statements are qualified in their entirety by cautionary statements and risk factor disclosures contained in the company’s Securities and Exchange Commission (“SEC”) filings, including the company’s Annual Report on Form 10-K filed with the SEC on February 14, 2014. Actual results may differ materially from any forward-looking statements due to risks and uncertainties, including, but not limited to: our ability to effectively integrate and derive benefits from the Colt business, our ability to capitalize on new market opportunities, particularly in general aviation market, potential liabilities and the extent of any insurance coverage, the outcome of pending litigation and other proceedings, the impact of quarterly fluctuations in results, the creditworthiness of our customers and counterparties and our ability to collect accounts receivable, environmental and other risks associated with the storage, transportation and delivery of petroleum products, our failure to effectively hedge certain financial risks associated with the use of derivatives, non-performance by counterparties or customers on derivatives contracts, loss of, or reduced sales, to a significant government customer, uninsured losses, the failure of fuel and other products we sell to meet specifications, fluctuations in world oil prices or foreign currency, changes in political, economic, regulatory, or environmental conditions, adverse conditions in the markets or industries in which we or our customers and suppliers operate,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Specifically, we have used non-GAAP accretion to earnings per share, which excludes amortization of acquired intangible assets, primarily because we do not believe it is reflective of the company’s core operating results. We believe that this non-GAAP financial measure, when considered in conjunction with our financial information prepared in accordance with GAAP, is useful for investors to evaluate our core operating results and trends.</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Non-GAAP financial measures should not be considered in isolation from, or as a substitute for, financial information prepared in accordance with GAAP. In addition, our presentation of non-GAAP accretion may not be comparable to the presentation of such metric by other companies. Investors are encouraged to review the reconciliation of this non-GAAP measure to its most directly comparable GAAP financial measure contained in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and related products and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www.wfscorp.com.</w:t>
      </w:r>
    </w:p>
    <w:p>
      <w:pPr>
        <w:sectPr>
          <w:pgSz w:w="11900" w:h="16838" w:orient="portrait"/>
          <w:cols w:equalWidth="0" w:num="1">
            <w:col w:w="11420"/>
          </w:cols>
          <w:pgMar w:left="240" w:top="112"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1"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&amp; Chief Financial Officer</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2019-12-05T21:29:45Z</dcterms:created>
  <dcterms:modified xsi:type="dcterms:W3CDTF">2019-12-05T21:29:45Z</dcterms:modified>
</cp:coreProperties>
</file>