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33" w:lineRule="exact"/>
        <w:rPr>
          <w:sz w:val="24"/>
          <w:szCs w:val="24"/>
          <w:color w:val="auto"/>
        </w:rPr>
      </w:pPr>
    </w:p>
    <w:p>
      <w:pPr>
        <w:ind w:left="4020" w:right="1900" w:hanging="3888"/>
        <w:spacing w:after="0" w:line="477" w:lineRule="auto"/>
        <w:tabs>
          <w:tab w:leader="none" w:pos="36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March 31, 2019</w:t>
      </w:r>
    </w:p>
    <w:p>
      <w:pPr>
        <w:spacing w:after="0" w:line="1" w:lineRule="exact"/>
        <w:rPr>
          <w:sz w:val="24"/>
          <w:szCs w:val="24"/>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5" w:lineRule="exact"/>
        <w:rPr>
          <w:sz w:val="24"/>
          <w:szCs w:val="24"/>
          <w:color w:val="auto"/>
        </w:rPr>
      </w:pPr>
    </w:p>
    <w:p>
      <w:pPr>
        <w:ind w:left="3080" w:right="1880" w:hanging="2984"/>
        <w:spacing w:after="0" w:line="454" w:lineRule="auto"/>
        <w:tabs>
          <w:tab w:leader="none" w:pos="36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 to ___________</w:t>
      </w:r>
    </w:p>
    <w:p>
      <w:pPr>
        <w:ind w:left="41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88265</wp:posOffset>
            </wp:positionV>
            <wp:extent cx="13379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9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WORLD FUEL SERVICES CORPORATION</w:t>
      </w:r>
    </w:p>
    <w:p>
      <w:pPr>
        <w:sectPr>
          <w:pgSz w:w="11900" w:h="16838" w:orient="portrait"/>
          <w:cols w:equalWidth="0" w:num="1">
            <w:col w:w="11420"/>
          </w:cols>
          <w:pgMar w:left="240" w:top="214" w:right="239" w:bottom="1440" w:gutter="0" w:footer="0" w:header="0"/>
        </w:sectPr>
      </w:pPr>
    </w:p>
    <w:p>
      <w:pPr>
        <w:spacing w:after="0" w:line="200" w:lineRule="exact"/>
        <w:rPr>
          <w:sz w:val="24"/>
          <w:szCs w:val="24"/>
          <w:color w:val="auto"/>
        </w:rPr>
      </w:pPr>
    </w:p>
    <w:p>
      <w:pPr>
        <w:spacing w:after="0" w:line="308"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31" w:lineRule="exact"/>
        <w:rPr>
          <w:sz w:val="24"/>
          <w:szCs w:val="24"/>
          <w:color w:val="auto"/>
        </w:rPr>
      </w:pPr>
    </w:p>
    <w:p>
      <w:pPr>
        <w:jc w:val="both"/>
        <w:ind w:left="860" w:right="100" w:firstLine="38"/>
        <w:spacing w:after="0" w:line="261" w:lineRule="auto"/>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Common Stock , $0.01 par value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9800 N.W. 41</w:t>
            </w:r>
            <w:r>
              <w:rPr>
                <w:rFonts w:ascii="Times New Roman" w:cs="Times New Roman" w:eastAsia="Times New Roman" w:hAnsi="Times New Roman"/>
                <w:sz w:val="12"/>
                <w:szCs w:val="12"/>
                <w:b w:val="1"/>
                <w:bCs w:val="1"/>
                <w:color w:val="auto"/>
                <w:w w:val="98"/>
              </w:rPr>
              <w:t>st</w:t>
            </w:r>
            <w:r>
              <w:rPr>
                <w:rFonts w:ascii="Times New Roman" w:cs="Times New Roman" w:eastAsia="Times New Roman" w:hAnsi="Times New Roman"/>
                <w:sz w:val="18"/>
                <w:szCs w:val="18"/>
                <w:b w:val="1"/>
                <w:bCs w:val="1"/>
                <w:color w:val="auto"/>
                <w:w w:val="98"/>
              </w:rPr>
              <w:t xml:space="preserve"> Street</w:t>
            </w:r>
          </w:p>
        </w:tc>
        <w:tc>
          <w:tcPr>
            <w:tcW w:w="33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59-2459427</w:t>
            </w:r>
          </w:p>
        </w:tc>
        <w:tc>
          <w:tcPr>
            <w:tcW w:w="0" w:type="dxa"/>
            <w:vAlign w:val="bottom"/>
          </w:tcPr>
          <w:p>
            <w:pPr>
              <w:spacing w:after="0"/>
              <w:rPr>
                <w:sz w:val="1"/>
                <w:szCs w:val="1"/>
                <w:color w:val="auto"/>
              </w:rPr>
            </w:pPr>
          </w:p>
        </w:tc>
      </w:tr>
      <w:tr>
        <w:trPr>
          <w:trHeight w:val="112"/>
        </w:trPr>
        <w:tc>
          <w:tcPr>
            <w:tcW w:w="3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Miami, Florida 33178</w:t>
            </w:r>
          </w:p>
        </w:tc>
        <w:tc>
          <w:tcPr>
            <w:tcW w:w="3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00" w:type="dxa"/>
            <w:vAlign w:val="bottom"/>
            <w:vMerge w:val="continue"/>
          </w:tcPr>
          <w:p>
            <w:pPr>
              <w:spacing w:after="0"/>
              <w:rPr>
                <w:sz w:val="9"/>
                <w:szCs w:val="9"/>
                <w:color w:val="auto"/>
              </w:rPr>
            </w:pPr>
          </w:p>
        </w:tc>
        <w:tc>
          <w:tcPr>
            <w:tcW w:w="33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108"/>
        </w:trPr>
        <w:tc>
          <w:tcPr>
            <w:tcW w:w="3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Offices)(Zip</w:t>
            </w:r>
          </w:p>
        </w:tc>
        <w:tc>
          <w:tcPr>
            <w:tcW w:w="3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00" w:type="dxa"/>
            <w:vAlign w:val="bottom"/>
            <w:vMerge w:val="continue"/>
          </w:tcPr>
          <w:p>
            <w:pPr>
              <w:spacing w:after="0"/>
              <w:rPr>
                <w:sz w:val="9"/>
                <w:szCs w:val="9"/>
                <w:color w:val="auto"/>
              </w:rPr>
            </w:pPr>
          </w:p>
        </w:tc>
        <w:tc>
          <w:tcPr>
            <w:tcW w:w="338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126"/>
        </w:trPr>
        <w:tc>
          <w:tcPr>
            <w:tcW w:w="3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Code)</w:t>
            </w:r>
          </w:p>
        </w:tc>
        <w:tc>
          <w:tcPr>
            <w:tcW w:w="3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00" w:type="dxa"/>
            <w:vAlign w:val="bottom"/>
            <w:vMerge w:val="continue"/>
          </w:tcPr>
          <w:p>
            <w:pPr>
              <w:spacing w:after="0"/>
              <w:rPr>
                <w:sz w:val="9"/>
                <w:szCs w:val="9"/>
                <w:color w:val="auto"/>
              </w:rPr>
            </w:pPr>
          </w:p>
        </w:tc>
        <w:tc>
          <w:tcPr>
            <w:tcW w:w="3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code: (305) 428-8000</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Act</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 (s)</w:t>
            </w:r>
          </w:p>
        </w:tc>
        <w:tc>
          <w:tcPr>
            <w:tcW w:w="33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08"/>
        </w:trPr>
        <w:tc>
          <w:tcPr>
            <w:tcW w:w="3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INT</w:t>
            </w:r>
          </w:p>
        </w:tc>
        <w:tc>
          <w:tcPr>
            <w:tcW w:w="3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900" w:type="dxa"/>
            <w:vAlign w:val="bottom"/>
            <w:vMerge w:val="continue"/>
          </w:tcPr>
          <w:p>
            <w:pPr>
              <w:spacing w:after="0"/>
              <w:rPr>
                <w:sz w:val="10"/>
                <w:szCs w:val="10"/>
                <w:color w:val="auto"/>
              </w:rPr>
            </w:pPr>
          </w:p>
        </w:tc>
        <w:tc>
          <w:tcPr>
            <w:tcW w:w="3380" w:type="dxa"/>
            <w:vAlign w:val="bottom"/>
            <w:vMerge w:val="restart"/>
          </w:tcPr>
          <w:p>
            <w:pPr>
              <w:ind w:left="980"/>
              <w:spacing w:after="0"/>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140" w:space="720"/>
            <w:col w:w="7560"/>
          </w:cols>
          <w:pgMar w:left="240" w:top="214" w:right="239" w:bottom="1440" w:gutter="0" w:footer="0" w:header="0"/>
          <w:type w:val="continuous"/>
        </w:sectPr>
      </w:pPr>
    </w:p>
    <w:p>
      <w:pPr>
        <w:spacing w:after="0" w:line="34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jc w:val="both"/>
        <w:ind w:firstLine="243"/>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jc w:val="both"/>
        <w:ind w:firstLine="243"/>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25" w:lineRule="exact"/>
        <w:rPr>
          <w:sz w:val="24"/>
          <w:szCs w:val="24"/>
          <w:color w:val="auto"/>
        </w:rPr>
      </w:pPr>
    </w:p>
    <w:p>
      <w:pPr>
        <w:ind w:right="100" w:firstLine="243"/>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14" w:right="239" w:bottom="1440" w:gutter="0" w:footer="0" w:header="0"/>
          <w:type w:val="continuous"/>
        </w:sectPr>
      </w:pPr>
    </w:p>
    <w:bookmarkStart w:id="1" w:name="page2"/>
    <w:bookmarkEnd w:id="1"/>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registrant had a total of 67,251,473 shares of common stock, par value $0.01 per share, issued and outstanding as of April 18,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0" w:type="dxa"/>
            <w:vAlign w:val="bottom"/>
            <w:gridSpan w:val="9"/>
          </w:tcPr>
          <w:p>
            <w:pPr>
              <w:ind w:left="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r>
      <w:tr>
        <w:trPr>
          <w:trHeight w:val="554"/>
        </w:trPr>
        <w:tc>
          <w:tcPr>
            <w:tcW w:w="44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w:anchor="page3">
              <w:r>
                <w:rPr>
                  <w:rFonts w:ascii="Times New Roman" w:cs="Times New Roman" w:eastAsia="Times New Roman" w:hAnsi="Times New Roman"/>
                  <w:sz w:val="18"/>
                  <w:szCs w:val="18"/>
                  <w:color w:val="0000EE"/>
                  <w:w w:val="95"/>
                </w:rPr>
                <w:t>Part I.</w:t>
              </w:r>
            </w:hyperlink>
          </w:p>
        </w:tc>
        <w:tc>
          <w:tcPr>
            <w:tcW w:w="360" w:type="dxa"/>
            <w:vAlign w:val="bottom"/>
            <w:gridSpan w:val="3"/>
          </w:tcPr>
          <w:p>
            <w:pPr>
              <w:spacing w:after="0"/>
              <w:rPr>
                <w:sz w:val="24"/>
                <w:szCs w:val="24"/>
                <w:color w:val="auto"/>
              </w:rPr>
            </w:pPr>
          </w:p>
        </w:tc>
        <w:tc>
          <w:tcPr>
            <w:tcW w:w="15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Information</w:t>
              </w:r>
            </w:hyperlink>
          </w:p>
        </w:tc>
        <w:tc>
          <w:tcPr>
            <w:tcW w:w="8360" w:type="dxa"/>
            <w:vAlign w:val="bottom"/>
            <w:gridSpan w:val="12"/>
          </w:tcPr>
          <w:p>
            <w:pPr>
              <w:spacing w:after="0"/>
              <w:rPr>
                <w:sz w:val="24"/>
                <w:szCs w:val="24"/>
                <w:color w:val="auto"/>
              </w:rPr>
            </w:pPr>
          </w:p>
        </w:tc>
        <w:tc>
          <w:tcPr>
            <w:tcW w:w="620" w:type="dxa"/>
            <w:vAlign w:val="bottom"/>
          </w:tcPr>
          <w:p>
            <w:pPr>
              <w:spacing w:after="0"/>
              <w:rPr>
                <w:sz w:val="24"/>
                <w:szCs w:val="24"/>
                <w:color w:val="auto"/>
              </w:rPr>
            </w:pPr>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400" w:type="dxa"/>
            <w:vAlign w:val="bottom"/>
          </w:tcPr>
          <w:p>
            <w:pPr>
              <w:spacing w:after="0"/>
              <w:rPr>
                <w:sz w:val="24"/>
                <w:szCs w:val="24"/>
                <w:color w:val="auto"/>
              </w:rPr>
            </w:pPr>
          </w:p>
        </w:tc>
        <w:tc>
          <w:tcPr>
            <w:tcW w:w="902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6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Consolidated Balance Sheets as of March 31, 2019 and December 31, 2018</w:t>
              </w:r>
            </w:hyperlink>
          </w:p>
        </w:tc>
        <w:tc>
          <w:tcPr>
            <w:tcW w:w="3580" w:type="dxa"/>
            <w:vAlign w:val="bottom"/>
            <w:gridSpan w:val="5"/>
          </w:tcPr>
          <w:p>
            <w:pPr>
              <w:spacing w:after="0"/>
              <w:rPr>
                <w:sz w:val="21"/>
                <w:szCs w:val="21"/>
                <w:color w:val="auto"/>
              </w:rPr>
            </w:pPr>
          </w:p>
        </w:tc>
        <w:tc>
          <w:tcPr>
            <w:tcW w:w="62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20" w:type="dxa"/>
            <w:vAlign w:val="bottom"/>
            <w:gridSpan w:val="1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Income and Comprehensive Income for the Three Months ended March 31, 2019 and 2018</w:t>
              </w:r>
            </w:hyperlink>
          </w:p>
        </w:tc>
        <w:tc>
          <w:tcPr>
            <w:tcW w:w="62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2</w:t>
              </w:r>
            </w:hyperlink>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8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Shareholders’ Equity for the Three Months ended March 31, 2019 and 2018</w:t>
              </w:r>
            </w:hyperlink>
          </w:p>
        </w:tc>
        <w:tc>
          <w:tcPr>
            <w:tcW w:w="440" w:type="dxa"/>
            <w:vAlign w:val="bottom"/>
          </w:tcPr>
          <w:p>
            <w:pPr>
              <w:spacing w:after="0"/>
              <w:rPr>
                <w:sz w:val="21"/>
                <w:szCs w:val="21"/>
                <w:color w:val="auto"/>
              </w:rPr>
            </w:pPr>
          </w:p>
        </w:tc>
        <w:tc>
          <w:tcPr>
            <w:tcW w:w="62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3</w:t>
              </w:r>
            </w:hyperlink>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0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Cash Flows for the Three Months ended March 31, 2019 and 2018</w:t>
              </w:r>
            </w:hyperlink>
          </w:p>
        </w:tc>
        <w:tc>
          <w:tcPr>
            <w:tcW w:w="1520" w:type="dxa"/>
            <w:vAlign w:val="bottom"/>
            <w:gridSpan w:val="2"/>
          </w:tcPr>
          <w:p>
            <w:pPr>
              <w:spacing w:after="0"/>
              <w:rPr>
                <w:sz w:val="21"/>
                <w:szCs w:val="21"/>
                <w:color w:val="auto"/>
              </w:rPr>
            </w:pPr>
          </w:p>
        </w:tc>
        <w:tc>
          <w:tcPr>
            <w:tcW w:w="62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4</w:t>
              </w:r>
            </w:hyperlink>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2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the Consolidated Financial Statements</w:t>
              </w:r>
            </w:hyperlink>
          </w:p>
        </w:tc>
        <w:tc>
          <w:tcPr>
            <w:tcW w:w="3400" w:type="dxa"/>
            <w:vAlign w:val="bottom"/>
            <w:tcBorders>
              <w:top w:val="single" w:sz="8" w:color="0000EE"/>
            </w:tcBorders>
            <w:gridSpan w:val="5"/>
          </w:tcPr>
          <w:p>
            <w:pPr>
              <w:spacing w:after="0"/>
              <w:rPr>
                <w:sz w:val="21"/>
                <w:szCs w:val="21"/>
                <w:color w:val="auto"/>
              </w:rPr>
            </w:pPr>
          </w:p>
        </w:tc>
        <w:tc>
          <w:tcPr>
            <w:tcW w:w="2200" w:type="dxa"/>
            <w:vAlign w:val="bottom"/>
            <w:gridSpan w:val="3"/>
          </w:tcPr>
          <w:p>
            <w:pPr>
              <w:spacing w:after="0"/>
              <w:rPr>
                <w:sz w:val="21"/>
                <w:szCs w:val="21"/>
                <w:color w:val="auto"/>
              </w:rPr>
            </w:pPr>
          </w:p>
        </w:tc>
        <w:tc>
          <w:tcPr>
            <w:tcW w:w="620" w:type="dxa"/>
            <w:vAlign w:val="bottom"/>
          </w:tcPr>
          <w:p>
            <w:pPr>
              <w:jc w:val="right"/>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6</w:t>
              </w:r>
            </w:hyperlink>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Item 2.</w:t>
              </w:r>
            </w:hyperlink>
          </w:p>
        </w:tc>
        <w:tc>
          <w:tcPr>
            <w:tcW w:w="400" w:type="dxa"/>
            <w:vAlign w:val="bottom"/>
          </w:tcPr>
          <w:p>
            <w:pPr>
              <w:spacing w:after="0"/>
              <w:rPr>
                <w:sz w:val="24"/>
                <w:szCs w:val="24"/>
                <w:color w:val="auto"/>
              </w:rPr>
            </w:pPr>
          </w:p>
        </w:tc>
        <w:tc>
          <w:tcPr>
            <w:tcW w:w="9020" w:type="dxa"/>
            <w:vAlign w:val="bottom"/>
            <w:gridSpan w:val="15"/>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20" w:type="dxa"/>
            <w:vAlign w:val="bottom"/>
          </w:tcPr>
          <w:p>
            <w:pPr>
              <w:jc w:val="right"/>
              <w:spacing w:after="0"/>
              <w:rPr>
                <w:rFonts w:ascii="Times New Roman" w:cs="Times New Roman" w:eastAsia="Times New Roman" w:hAnsi="Times New Roman"/>
                <w:sz w:val="18"/>
                <w:szCs w:val="18"/>
                <w:color w:val="auto"/>
              </w:rPr>
            </w:pPr>
            <w:hyperlink w:anchor="page23">
              <w:r>
                <w:rPr>
                  <w:rFonts w:ascii="Times New Roman" w:cs="Times New Roman" w:eastAsia="Times New Roman" w:hAnsi="Times New Roman"/>
                  <w:sz w:val="18"/>
                  <w:szCs w:val="18"/>
                  <w:color w:val="auto"/>
                </w:rPr>
                <w:t>21</w:t>
              </w:r>
            </w:hyperlink>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Item 3.</w:t>
              </w:r>
            </w:hyperlink>
          </w:p>
        </w:tc>
        <w:tc>
          <w:tcPr>
            <w:tcW w:w="400" w:type="dxa"/>
            <w:vAlign w:val="bottom"/>
          </w:tcPr>
          <w:p>
            <w:pPr>
              <w:spacing w:after="0"/>
              <w:rPr>
                <w:sz w:val="24"/>
                <w:szCs w:val="24"/>
                <w:color w:val="auto"/>
              </w:rPr>
            </w:pPr>
          </w:p>
        </w:tc>
        <w:tc>
          <w:tcPr>
            <w:tcW w:w="438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560" w:type="dxa"/>
            <w:vAlign w:val="bottom"/>
            <w:gridSpan w:val="4"/>
          </w:tcPr>
          <w:p>
            <w:pPr>
              <w:spacing w:after="0"/>
              <w:rPr>
                <w:sz w:val="24"/>
                <w:szCs w:val="24"/>
                <w:color w:val="auto"/>
              </w:rPr>
            </w:pPr>
          </w:p>
        </w:tc>
        <w:tc>
          <w:tcPr>
            <w:tcW w:w="620" w:type="dxa"/>
            <w:vAlign w:val="bottom"/>
          </w:tcPr>
          <w:p>
            <w:pPr>
              <w:jc w:val="right"/>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30</w:t>
              </w:r>
            </w:hyperlink>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Item 4.</w:t>
              </w:r>
            </w:hyperlink>
          </w:p>
        </w:tc>
        <w:tc>
          <w:tcPr>
            <w:tcW w:w="400" w:type="dxa"/>
            <w:vAlign w:val="bottom"/>
          </w:tcPr>
          <w:p>
            <w:pPr>
              <w:spacing w:after="0"/>
              <w:rPr>
                <w:sz w:val="24"/>
                <w:szCs w:val="24"/>
                <w:color w:val="auto"/>
              </w:rPr>
            </w:pPr>
          </w:p>
        </w:tc>
        <w:tc>
          <w:tcPr>
            <w:tcW w:w="17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Controls and Procedures</w:t>
              </w:r>
            </w:hyperlink>
          </w:p>
        </w:tc>
        <w:tc>
          <w:tcPr>
            <w:tcW w:w="7240" w:type="dxa"/>
            <w:vAlign w:val="bottom"/>
            <w:gridSpan w:val="10"/>
          </w:tcPr>
          <w:p>
            <w:pPr>
              <w:spacing w:after="0"/>
              <w:rPr>
                <w:sz w:val="24"/>
                <w:szCs w:val="24"/>
                <w:color w:val="auto"/>
              </w:rPr>
            </w:pPr>
          </w:p>
        </w:tc>
        <w:tc>
          <w:tcPr>
            <w:tcW w:w="620" w:type="dxa"/>
            <w:vAlign w:val="bottom"/>
          </w:tcPr>
          <w:p>
            <w:pPr>
              <w:jc w:val="right"/>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30</w:t>
              </w:r>
            </w:hyperlink>
          </w:p>
        </w:tc>
      </w:tr>
      <w:tr>
        <w:trPr>
          <w:trHeight w:val="520"/>
        </w:trPr>
        <w:tc>
          <w:tcPr>
            <w:tcW w:w="5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w:anchor="page33">
              <w:r>
                <w:rPr>
                  <w:rFonts w:ascii="Times New Roman" w:cs="Times New Roman" w:eastAsia="Times New Roman" w:hAnsi="Times New Roman"/>
                  <w:sz w:val="18"/>
                  <w:szCs w:val="18"/>
                  <w:color w:val="0000EE"/>
                  <w:w w:val="95"/>
                </w:rPr>
                <w:t>Part II.</w:t>
              </w:r>
            </w:hyperlink>
          </w:p>
        </w:tc>
        <w:tc>
          <w:tcPr>
            <w:tcW w:w="300" w:type="dxa"/>
            <w:vAlign w:val="bottom"/>
            <w:gridSpan w:val="2"/>
          </w:tcPr>
          <w:p>
            <w:pPr>
              <w:spacing w:after="0"/>
              <w:rPr>
                <w:sz w:val="24"/>
                <w:szCs w:val="24"/>
                <w:color w:val="auto"/>
              </w:rPr>
            </w:pPr>
          </w:p>
        </w:tc>
        <w:tc>
          <w:tcPr>
            <w:tcW w:w="13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Other Information</w:t>
              </w:r>
            </w:hyperlink>
          </w:p>
        </w:tc>
        <w:tc>
          <w:tcPr>
            <w:tcW w:w="8620" w:type="dxa"/>
            <w:vAlign w:val="bottom"/>
            <w:gridSpan w:val="14"/>
          </w:tcPr>
          <w:p>
            <w:pPr>
              <w:spacing w:after="0"/>
              <w:rPr>
                <w:sz w:val="24"/>
                <w:szCs w:val="24"/>
                <w:color w:val="auto"/>
              </w:rPr>
            </w:pPr>
          </w:p>
        </w:tc>
        <w:tc>
          <w:tcPr>
            <w:tcW w:w="620" w:type="dxa"/>
            <w:vAlign w:val="bottom"/>
          </w:tcPr>
          <w:p>
            <w:pPr>
              <w:spacing w:after="0"/>
              <w:rPr>
                <w:sz w:val="24"/>
                <w:szCs w:val="24"/>
                <w:color w:val="auto"/>
              </w:rPr>
            </w:pPr>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Item 1.</w:t>
              </w:r>
            </w:hyperlink>
          </w:p>
        </w:tc>
        <w:tc>
          <w:tcPr>
            <w:tcW w:w="400" w:type="dxa"/>
            <w:vAlign w:val="bottom"/>
          </w:tcPr>
          <w:p>
            <w:pPr>
              <w:spacing w:after="0"/>
              <w:rPr>
                <w:sz w:val="24"/>
                <w:szCs w:val="24"/>
                <w:color w:val="auto"/>
              </w:rPr>
            </w:pPr>
          </w:p>
        </w:tc>
        <w:tc>
          <w:tcPr>
            <w:tcW w:w="1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Legal Proceedings</w:t>
              </w:r>
            </w:hyperlink>
          </w:p>
        </w:tc>
        <w:tc>
          <w:tcPr>
            <w:tcW w:w="7680" w:type="dxa"/>
            <w:vAlign w:val="bottom"/>
            <w:gridSpan w:val="11"/>
          </w:tcPr>
          <w:p>
            <w:pPr>
              <w:spacing w:after="0"/>
              <w:rPr>
                <w:sz w:val="24"/>
                <w:szCs w:val="24"/>
                <w:color w:val="auto"/>
              </w:rPr>
            </w:pPr>
          </w:p>
        </w:tc>
        <w:tc>
          <w:tcPr>
            <w:tcW w:w="62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31</w:t>
              </w:r>
            </w:hyperlink>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Item 2.</w:t>
              </w:r>
            </w:hyperlink>
          </w:p>
        </w:tc>
        <w:tc>
          <w:tcPr>
            <w:tcW w:w="400" w:type="dxa"/>
            <w:vAlign w:val="bottom"/>
          </w:tcPr>
          <w:p>
            <w:pPr>
              <w:spacing w:after="0"/>
              <w:rPr>
                <w:sz w:val="24"/>
                <w:szCs w:val="24"/>
                <w:color w:val="auto"/>
              </w:rPr>
            </w:pPr>
          </w:p>
        </w:tc>
        <w:tc>
          <w:tcPr>
            <w:tcW w:w="43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Unregistered Sales of Equity Securities and Use of Proceeds</w:t>
              </w:r>
            </w:hyperlink>
          </w:p>
        </w:tc>
        <w:tc>
          <w:tcPr>
            <w:tcW w:w="4660" w:type="dxa"/>
            <w:vAlign w:val="bottom"/>
            <w:gridSpan w:val="7"/>
          </w:tcPr>
          <w:p>
            <w:pPr>
              <w:spacing w:after="0"/>
              <w:rPr>
                <w:sz w:val="24"/>
                <w:szCs w:val="24"/>
                <w:color w:val="auto"/>
              </w:rPr>
            </w:pPr>
          </w:p>
        </w:tc>
        <w:tc>
          <w:tcPr>
            <w:tcW w:w="62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31</w:t>
              </w:r>
            </w:hyperlink>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6.</w:t>
              </w:r>
            </w:hyperlink>
          </w:p>
        </w:tc>
        <w:tc>
          <w:tcPr>
            <w:tcW w:w="9020" w:type="dxa"/>
            <w:vAlign w:val="bottom"/>
            <w:gridSpan w:val="15"/>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Exhibits</w:t>
              </w:r>
            </w:hyperlink>
          </w:p>
        </w:tc>
        <w:tc>
          <w:tcPr>
            <w:tcW w:w="620" w:type="dxa"/>
            <w:vAlign w:val="bottom"/>
          </w:tcPr>
          <w:p>
            <w:pPr>
              <w:jc w:val="right"/>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32</w:t>
              </w:r>
            </w:hyperlink>
          </w:p>
        </w:tc>
      </w:tr>
      <w:tr>
        <w:trPr>
          <w:trHeight w:val="520"/>
        </w:trPr>
        <w:tc>
          <w:tcPr>
            <w:tcW w:w="7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Signatures</w:t>
              </w:r>
            </w:hyperlink>
          </w:p>
        </w:tc>
        <w:tc>
          <w:tcPr>
            <w:tcW w:w="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jc w:val="right"/>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33</w:t>
              </w:r>
            </w:hyperlink>
          </w:p>
        </w:tc>
      </w:tr>
    </w:tbl>
    <w:p>
      <w:pPr>
        <w:sectPr>
          <w:pgSz w:w="11900" w:h="16838" w:orient="portrait"/>
          <w:cols w:equalWidth="0" w:num="1">
            <w:col w:w="11360"/>
          </w:cols>
          <w:pgMar w:left="280" w:top="336"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8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World Fuel Services Corporation</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8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8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rPr>
              <w:t>(Unaudited - In millions, except per share data)</w:t>
            </w: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6"/>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5"/>
        </w:trPr>
        <w:tc>
          <w:tcPr>
            <w:tcW w:w="9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shd w:val="clear" w:color="auto" w:fill="CCEEFF"/>
          </w:tcPr>
          <w:p>
            <w:pPr>
              <w:spacing w:after="0"/>
              <w:rPr>
                <w:sz w:val="23"/>
                <w:szCs w:val="23"/>
                <w:color w:val="auto"/>
              </w:rPr>
            </w:pPr>
          </w:p>
        </w:tc>
        <w:tc>
          <w:tcPr>
            <w:tcW w:w="6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30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40" w:type="dxa"/>
            <w:vAlign w:val="bottom"/>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5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211.7</w:t>
            </w:r>
          </w:p>
        </w:tc>
        <w:tc>
          <w:tcPr>
            <w:tcW w:w="0" w:type="dxa"/>
            <w:vAlign w:val="bottom"/>
          </w:tcPr>
          <w:p>
            <w:pPr>
              <w:spacing w:after="0"/>
              <w:rPr>
                <w:sz w:val="1"/>
                <w:szCs w:val="1"/>
                <w:color w:val="auto"/>
              </w:rPr>
            </w:pPr>
          </w:p>
        </w:tc>
      </w:tr>
      <w:tr>
        <w:trPr>
          <w:trHeight w:val="265"/>
        </w:trPr>
        <w:tc>
          <w:tcPr>
            <w:tcW w:w="76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Accounts receivable, net</w:t>
            </w:r>
          </w:p>
        </w:tc>
        <w:tc>
          <w:tcPr>
            <w:tcW w:w="1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2,728.7</w:t>
            </w:r>
          </w:p>
        </w:tc>
        <w:tc>
          <w:tcPr>
            <w:tcW w:w="500" w:type="dxa"/>
            <w:vAlign w:val="bottom"/>
          </w:tcPr>
          <w:p>
            <w:pPr>
              <w:spacing w:after="0"/>
              <w:rPr>
                <w:sz w:val="23"/>
                <w:szCs w:val="23"/>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2,739.6</w:t>
            </w:r>
          </w:p>
        </w:tc>
        <w:tc>
          <w:tcPr>
            <w:tcW w:w="0" w:type="dxa"/>
            <w:vAlign w:val="bottom"/>
          </w:tcPr>
          <w:p>
            <w:pPr>
              <w:spacing w:after="0"/>
              <w:rPr>
                <w:sz w:val="1"/>
                <w:szCs w:val="1"/>
                <w:color w:val="auto"/>
              </w:rPr>
            </w:pPr>
          </w:p>
        </w:tc>
      </w:tr>
      <w:tr>
        <w:trPr>
          <w:trHeight w:val="275"/>
        </w:trPr>
        <w:tc>
          <w:tcPr>
            <w:tcW w:w="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300" w:type="dxa"/>
            <w:vAlign w:val="bottom"/>
            <w:shd w:val="clear" w:color="auto" w:fill="CCEEFF"/>
          </w:tcPr>
          <w:p>
            <w:pPr>
              <w:spacing w:after="0"/>
              <w:rPr>
                <w:sz w:val="23"/>
                <w:szCs w:val="23"/>
                <w:color w:val="auto"/>
              </w:rPr>
            </w:pPr>
          </w:p>
        </w:tc>
        <w:tc>
          <w:tcPr>
            <w:tcW w:w="6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598.7</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523.1</w:t>
            </w:r>
          </w:p>
        </w:tc>
        <w:tc>
          <w:tcPr>
            <w:tcW w:w="0" w:type="dxa"/>
            <w:vAlign w:val="bottom"/>
          </w:tcPr>
          <w:p>
            <w:pPr>
              <w:spacing w:after="0"/>
              <w:rPr>
                <w:sz w:val="1"/>
                <w:szCs w:val="1"/>
                <w:color w:val="auto"/>
              </w:rPr>
            </w:pPr>
          </w:p>
        </w:tc>
      </w:tr>
      <w:tr>
        <w:trPr>
          <w:trHeight w:val="265"/>
        </w:trPr>
        <w:tc>
          <w:tcPr>
            <w:tcW w:w="76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1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500" w:type="dxa"/>
            <w:vAlign w:val="bottom"/>
          </w:tcPr>
          <w:p>
            <w:pPr>
              <w:spacing w:after="0"/>
              <w:rPr>
                <w:sz w:val="23"/>
                <w:szCs w:val="23"/>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65.7</w:t>
            </w:r>
          </w:p>
        </w:tc>
        <w:tc>
          <w:tcPr>
            <w:tcW w:w="0" w:type="dxa"/>
            <w:vAlign w:val="bottom"/>
          </w:tcPr>
          <w:p>
            <w:pPr>
              <w:spacing w:after="0"/>
              <w:rPr>
                <w:sz w:val="1"/>
                <w:szCs w:val="1"/>
                <w:color w:val="auto"/>
              </w:rPr>
            </w:pPr>
          </w:p>
        </w:tc>
      </w:tr>
      <w:tr>
        <w:trPr>
          <w:trHeight w:val="275"/>
        </w:trPr>
        <w:tc>
          <w:tcPr>
            <w:tcW w:w="7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Short-term derivative assets, net</w:t>
            </w:r>
          </w:p>
        </w:tc>
        <w:tc>
          <w:tcPr>
            <w:tcW w:w="12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12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5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279.5</w:t>
            </w:r>
          </w:p>
        </w:tc>
        <w:tc>
          <w:tcPr>
            <w:tcW w:w="0" w:type="dxa"/>
            <w:vAlign w:val="bottom"/>
          </w:tcPr>
          <w:p>
            <w:pPr>
              <w:spacing w:after="0"/>
              <w:rPr>
                <w:sz w:val="1"/>
                <w:szCs w:val="1"/>
                <w:color w:val="auto"/>
              </w:rPr>
            </w:pPr>
          </w:p>
        </w:tc>
      </w:tr>
      <w:tr>
        <w:trPr>
          <w:trHeight w:val="269"/>
        </w:trPr>
        <w:tc>
          <w:tcPr>
            <w:tcW w:w="76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12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3,894.7</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3,974.8</w:t>
            </w:r>
          </w:p>
        </w:tc>
        <w:tc>
          <w:tcPr>
            <w:tcW w:w="0" w:type="dxa"/>
            <w:vAlign w:val="bottom"/>
          </w:tcPr>
          <w:p>
            <w:pPr>
              <w:spacing w:after="0"/>
              <w:rPr>
                <w:sz w:val="1"/>
                <w:szCs w:val="1"/>
                <w:color w:val="auto"/>
              </w:rPr>
            </w:pPr>
          </w:p>
        </w:tc>
      </w:tr>
      <w:tr>
        <w:trPr>
          <w:trHeight w:val="265"/>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500" w:type="dxa"/>
            <w:vAlign w:val="bottom"/>
          </w:tcPr>
          <w:p>
            <w:pPr>
              <w:spacing w:after="0"/>
              <w:rPr>
                <w:sz w:val="23"/>
                <w:szCs w:val="23"/>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350.3</w:t>
            </w:r>
          </w:p>
        </w:tc>
        <w:tc>
          <w:tcPr>
            <w:tcW w:w="0" w:type="dxa"/>
            <w:vAlign w:val="bottom"/>
          </w:tcPr>
          <w:p>
            <w:pPr>
              <w:spacing w:after="0"/>
              <w:rPr>
                <w:sz w:val="1"/>
                <w:szCs w:val="1"/>
                <w:color w:val="auto"/>
              </w:rPr>
            </w:pPr>
          </w:p>
        </w:tc>
      </w:tr>
      <w:tr>
        <w:trPr>
          <w:trHeight w:val="275"/>
        </w:trPr>
        <w:tc>
          <w:tcPr>
            <w:tcW w:w="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shd w:val="clear" w:color="auto" w:fill="CCEEFF"/>
          </w:tcPr>
          <w:p>
            <w:pPr>
              <w:spacing w:after="0"/>
              <w:rPr>
                <w:sz w:val="23"/>
                <w:szCs w:val="23"/>
                <w:color w:val="auto"/>
              </w:rPr>
            </w:pPr>
          </w:p>
        </w:tc>
        <w:tc>
          <w:tcPr>
            <w:tcW w:w="6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853.3</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852.7</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Identifiable intangible and other non-current assets</w:t>
            </w:r>
          </w:p>
        </w:tc>
        <w:tc>
          <w:tcPr>
            <w:tcW w:w="12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629.1</w:t>
            </w:r>
          </w:p>
        </w:tc>
        <w:tc>
          <w:tcPr>
            <w:tcW w:w="5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499.0</w:t>
            </w:r>
          </w:p>
        </w:tc>
        <w:tc>
          <w:tcPr>
            <w:tcW w:w="0" w:type="dxa"/>
            <w:vAlign w:val="bottom"/>
          </w:tcPr>
          <w:p>
            <w:pPr>
              <w:spacing w:after="0"/>
              <w:rPr>
                <w:sz w:val="1"/>
                <w:szCs w:val="1"/>
                <w:color w:val="auto"/>
              </w:rPr>
            </w:pP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shd w:val="clear" w:color="auto" w:fill="CCEEFF"/>
          </w:tcPr>
          <w:p>
            <w:pPr>
              <w:spacing w:after="0"/>
              <w:rPr>
                <w:sz w:val="22"/>
                <w:szCs w:val="22"/>
                <w:color w:val="auto"/>
              </w:rPr>
            </w:pPr>
          </w:p>
        </w:tc>
        <w:tc>
          <w:tcPr>
            <w:tcW w:w="6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5,733.2</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5,676.9</w:t>
            </w: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12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Current maturities of long-term debt and finance leases</w:t>
            </w:r>
          </w:p>
        </w:tc>
        <w:tc>
          <w:tcPr>
            <w:tcW w:w="124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r>
        <w:trPr>
          <w:trHeight w:val="275"/>
        </w:trPr>
        <w:tc>
          <w:tcPr>
            <w:tcW w:w="7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2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2,376.6</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2,399.6</w:t>
            </w:r>
          </w:p>
        </w:tc>
        <w:tc>
          <w:tcPr>
            <w:tcW w:w="0" w:type="dxa"/>
            <w:vAlign w:val="bottom"/>
          </w:tcPr>
          <w:p>
            <w:pPr>
              <w:spacing w:after="0"/>
              <w:rPr>
                <w:sz w:val="1"/>
                <w:szCs w:val="1"/>
                <w:color w:val="auto"/>
              </w:rPr>
            </w:pPr>
          </w:p>
        </w:tc>
      </w:tr>
      <w:tr>
        <w:trPr>
          <w:trHeight w:val="265"/>
        </w:trPr>
        <w:tc>
          <w:tcPr>
            <w:tcW w:w="76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Customer deposits</w:t>
            </w:r>
          </w:p>
        </w:tc>
        <w:tc>
          <w:tcPr>
            <w:tcW w:w="1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500" w:type="dxa"/>
            <w:vAlign w:val="bottom"/>
          </w:tcPr>
          <w:p>
            <w:pPr>
              <w:spacing w:after="0"/>
              <w:rPr>
                <w:sz w:val="23"/>
                <w:szCs w:val="23"/>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118.2</w:t>
            </w:r>
          </w:p>
        </w:tc>
        <w:tc>
          <w:tcPr>
            <w:tcW w:w="0" w:type="dxa"/>
            <w:vAlign w:val="bottom"/>
          </w:tcPr>
          <w:p>
            <w:pPr>
              <w:spacing w:after="0"/>
              <w:rPr>
                <w:sz w:val="1"/>
                <w:szCs w:val="1"/>
                <w:color w:val="auto"/>
              </w:rPr>
            </w:pPr>
          </w:p>
        </w:tc>
      </w:tr>
      <w:tr>
        <w:trPr>
          <w:trHeight w:val="270"/>
        </w:trPr>
        <w:tc>
          <w:tcPr>
            <w:tcW w:w="7660" w:type="dxa"/>
            <w:vAlign w:val="bottom"/>
            <w:tcBorders>
              <w:bottom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377.0</w:t>
            </w:r>
          </w:p>
        </w:tc>
        <w:tc>
          <w:tcPr>
            <w:tcW w:w="0" w:type="dxa"/>
            <w:vAlign w:val="bottom"/>
          </w:tcPr>
          <w:p>
            <w:pPr>
              <w:spacing w:after="0"/>
              <w:rPr>
                <w:sz w:val="1"/>
                <w:szCs w:val="1"/>
                <w:color w:val="auto"/>
              </w:rPr>
            </w:pPr>
          </w:p>
        </w:tc>
      </w:tr>
      <w:tr>
        <w:trPr>
          <w:trHeight w:val="264"/>
        </w:trPr>
        <w:tc>
          <w:tcPr>
            <w:tcW w:w="76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2,873.2</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2,935.9</w:t>
            </w:r>
          </w:p>
        </w:tc>
        <w:tc>
          <w:tcPr>
            <w:tcW w:w="0" w:type="dxa"/>
            <w:vAlign w:val="bottom"/>
          </w:tcPr>
          <w:p>
            <w:pPr>
              <w:spacing w:after="0"/>
              <w:rPr>
                <w:sz w:val="1"/>
                <w:szCs w:val="1"/>
                <w:color w:val="auto"/>
              </w:rPr>
            </w:pPr>
          </w:p>
        </w:tc>
      </w:tr>
      <w:tr>
        <w:trPr>
          <w:trHeight w:val="275"/>
        </w:trPr>
        <w:tc>
          <w:tcPr>
            <w:tcW w:w="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debt</w:t>
            </w:r>
          </w:p>
        </w:tc>
        <w:tc>
          <w:tcPr>
            <w:tcW w:w="300" w:type="dxa"/>
            <w:vAlign w:val="bottom"/>
            <w:shd w:val="clear" w:color="auto" w:fill="CCEEFF"/>
          </w:tcPr>
          <w:p>
            <w:pPr>
              <w:spacing w:after="0"/>
              <w:rPr>
                <w:sz w:val="23"/>
                <w:szCs w:val="23"/>
                <w:color w:val="auto"/>
              </w:rPr>
            </w:pPr>
          </w:p>
        </w:tc>
        <w:tc>
          <w:tcPr>
            <w:tcW w:w="6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649.7</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659.9</w:t>
            </w:r>
          </w:p>
        </w:tc>
        <w:tc>
          <w:tcPr>
            <w:tcW w:w="0" w:type="dxa"/>
            <w:vAlign w:val="bottom"/>
          </w:tcPr>
          <w:p>
            <w:pPr>
              <w:spacing w:after="0"/>
              <w:rPr>
                <w:sz w:val="1"/>
                <w:szCs w:val="1"/>
                <w:color w:val="auto"/>
              </w:rPr>
            </w:pPr>
          </w:p>
        </w:tc>
      </w:tr>
      <w:tr>
        <w:trPr>
          <w:trHeight w:val="265"/>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Non-current income tax liabilities, net</w:t>
            </w:r>
          </w:p>
        </w:tc>
        <w:tc>
          <w:tcPr>
            <w:tcW w:w="1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500" w:type="dxa"/>
            <w:vAlign w:val="bottom"/>
          </w:tcPr>
          <w:p>
            <w:pPr>
              <w:spacing w:after="0"/>
              <w:rPr>
                <w:sz w:val="23"/>
                <w:szCs w:val="23"/>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194.6</w:t>
            </w:r>
          </w:p>
        </w:tc>
        <w:tc>
          <w:tcPr>
            <w:tcW w:w="0" w:type="dxa"/>
            <w:vAlign w:val="bottom"/>
          </w:tcPr>
          <w:p>
            <w:pPr>
              <w:spacing w:after="0"/>
              <w:rPr>
                <w:sz w:val="1"/>
                <w:szCs w:val="1"/>
                <w:color w:val="auto"/>
              </w:rPr>
            </w:pPr>
          </w:p>
        </w:tc>
      </w:tr>
      <w:tr>
        <w:trPr>
          <w:trHeight w:val="270"/>
        </w:trPr>
        <w:tc>
          <w:tcPr>
            <w:tcW w:w="7660" w:type="dxa"/>
            <w:vAlign w:val="bottom"/>
            <w:tcBorders>
              <w:bottom w:val="single" w:sz="8" w:color="auto"/>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2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54.9</w:t>
            </w:r>
          </w:p>
        </w:tc>
        <w:tc>
          <w:tcPr>
            <w:tcW w:w="0" w:type="dxa"/>
            <w:vAlign w:val="bottom"/>
          </w:tcPr>
          <w:p>
            <w:pPr>
              <w:spacing w:after="0"/>
              <w:rPr>
                <w:sz w:val="1"/>
                <w:szCs w:val="1"/>
                <w:color w:val="auto"/>
              </w:rPr>
            </w:pPr>
          </w:p>
        </w:tc>
      </w:tr>
      <w:tr>
        <w:trPr>
          <w:trHeight w:val="304"/>
        </w:trPr>
        <w:tc>
          <w:tcPr>
            <w:tcW w:w="76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1240" w:type="dxa"/>
            <w:vAlign w:val="bottom"/>
            <w:tcBorders>
              <w:bottom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3,877.5</w:t>
            </w:r>
          </w:p>
        </w:tc>
        <w:tc>
          <w:tcPr>
            <w:tcW w:w="5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3,845.3</w:t>
            </w:r>
          </w:p>
        </w:tc>
        <w:tc>
          <w:tcPr>
            <w:tcW w:w="0" w:type="dxa"/>
            <w:vAlign w:val="bottom"/>
          </w:tcPr>
          <w:p>
            <w:pPr>
              <w:spacing w:after="0"/>
              <w:rPr>
                <w:sz w:val="1"/>
                <w:szCs w:val="1"/>
                <w:color w:val="auto"/>
              </w:rPr>
            </w:pPr>
          </w:p>
        </w:tc>
      </w:tr>
      <w:tr>
        <w:trPr>
          <w:trHeight w:val="256"/>
        </w:trPr>
        <w:tc>
          <w:tcPr>
            <w:tcW w:w="7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2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w:t>
            </w:r>
          </w:p>
        </w:tc>
        <w:tc>
          <w:tcPr>
            <w:tcW w:w="30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World Fuel shareholders' equity:</w:t>
            </w:r>
          </w:p>
        </w:tc>
        <w:tc>
          <w:tcPr>
            <w:tcW w:w="12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Preferred stock, $1.00 par value; 0.1 shares authorized, none issued</w:t>
            </w:r>
          </w:p>
        </w:tc>
        <w:tc>
          <w:tcPr>
            <w:tcW w:w="1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3"/>
                <w:szCs w:val="23"/>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7660" w:type="dxa"/>
            <w:vAlign w:val="bottom"/>
            <w:gridSpan w:val="3"/>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Common stock, $0.01 par value; 100.0 shares authorized, 67.1 and 67.0 issued and outstanding as of March 31, 2019 and</w:t>
            </w:r>
          </w:p>
        </w:tc>
        <w:tc>
          <w:tcPr>
            <w:tcW w:w="124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50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98"/>
        </w:trPr>
        <w:tc>
          <w:tcPr>
            <w:tcW w:w="7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December 31, 2018, respectively</w:t>
            </w:r>
          </w:p>
        </w:tc>
        <w:tc>
          <w:tcPr>
            <w:tcW w:w="124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6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Capital in excess of par value</w:t>
            </w:r>
          </w:p>
        </w:tc>
        <w:tc>
          <w:tcPr>
            <w:tcW w:w="1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500" w:type="dxa"/>
            <w:vAlign w:val="bottom"/>
          </w:tcPr>
          <w:p>
            <w:pPr>
              <w:spacing w:after="0"/>
              <w:rPr>
                <w:sz w:val="23"/>
                <w:szCs w:val="23"/>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340.4</w:t>
            </w:r>
          </w:p>
        </w:tc>
        <w:tc>
          <w:tcPr>
            <w:tcW w:w="0" w:type="dxa"/>
            <w:vAlign w:val="bottom"/>
          </w:tcPr>
          <w:p>
            <w:pPr>
              <w:spacing w:after="0"/>
              <w:rPr>
                <w:sz w:val="1"/>
                <w:szCs w:val="1"/>
                <w:color w:val="auto"/>
              </w:rPr>
            </w:pPr>
          </w:p>
        </w:tc>
      </w:tr>
      <w:tr>
        <w:trPr>
          <w:trHeight w:val="275"/>
        </w:trPr>
        <w:tc>
          <w:tcPr>
            <w:tcW w:w="7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12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1,639.3</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1,606.1</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Times New Roman" w:cs="Times New Roman" w:eastAsia="Times New Roman" w:hAnsi="Times New Roman"/>
                <w:sz w:val="14"/>
                <w:szCs w:val="14"/>
                <w:color w:val="auto"/>
              </w:rPr>
              <w:t>(142.7)</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0" w:type="dxa"/>
            <w:vAlign w:val="bottom"/>
          </w:tcPr>
          <w:p>
            <w:pPr>
              <w:spacing w:after="0"/>
              <w:rPr>
                <w:sz w:val="1"/>
                <w:szCs w:val="1"/>
                <w:color w:val="auto"/>
              </w:rPr>
            </w:pPr>
          </w:p>
        </w:tc>
      </w:tr>
      <w:tr>
        <w:trPr>
          <w:trHeight w:val="269"/>
        </w:trPr>
        <w:tc>
          <w:tcPr>
            <w:tcW w:w="76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World Fuel shareholders' equity</w:t>
            </w:r>
          </w:p>
        </w:tc>
        <w:tc>
          <w:tcPr>
            <w:tcW w:w="12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1,840.3</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1,815.4</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Noncontrolling interest</w:t>
            </w:r>
          </w:p>
        </w:tc>
        <w:tc>
          <w:tcPr>
            <w:tcW w:w="12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5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9"/>
              </w:rPr>
              <w:t>Total equity</w:t>
            </w:r>
          </w:p>
        </w:tc>
        <w:tc>
          <w:tcPr>
            <w:tcW w:w="300" w:type="dxa"/>
            <w:vAlign w:val="bottom"/>
            <w:tcBorders>
              <w:bottom w:val="single" w:sz="8" w:color="auto"/>
            </w:tcBorders>
            <w:shd w:val="clear" w:color="auto" w:fill="CCEEFF"/>
          </w:tcPr>
          <w:p>
            <w:pPr>
              <w:spacing w:after="0"/>
              <w:rPr>
                <w:sz w:val="22"/>
                <w:szCs w:val="22"/>
                <w:color w:val="auto"/>
              </w:rPr>
            </w:pPr>
          </w:p>
        </w:tc>
        <w:tc>
          <w:tcPr>
            <w:tcW w:w="6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1,855.8</w:t>
            </w:r>
          </w:p>
        </w:tc>
        <w:tc>
          <w:tcPr>
            <w:tcW w:w="5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1,831.6</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240" w:type="dxa"/>
            <w:vAlign w:val="bottom"/>
            <w:tcBorders>
              <w:bottom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5,733.2</w:t>
            </w:r>
          </w:p>
        </w:tc>
        <w:tc>
          <w:tcPr>
            <w:tcW w:w="5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5,676.9</w:t>
            </w: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400"/>
          </w:cols>
          <w:pgMar w:left="240" w:top="10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108" w:right="25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In millions, except per share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20" w:type="dxa"/>
            <w:vAlign w:val="bottom"/>
            <w:gridSpan w:val="3"/>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275"/>
        </w:trPr>
        <w:tc>
          <w:tcPr>
            <w:tcW w:w="76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8,678.8</w:t>
            </w:r>
          </w:p>
        </w:tc>
        <w:tc>
          <w:tcPr>
            <w:tcW w:w="58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9,181.3</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Cost of revenue</w:t>
            </w:r>
          </w:p>
        </w:tc>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8,427.7</w:t>
            </w:r>
          </w:p>
        </w:tc>
        <w:tc>
          <w:tcPr>
            <w:tcW w:w="5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8,937.9</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4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251.1</w:t>
            </w:r>
          </w:p>
        </w:tc>
        <w:tc>
          <w:tcPr>
            <w:tcW w:w="5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243.4</w:t>
            </w: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110.1</w:t>
            </w: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113.9</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70.6</w:t>
            </w:r>
          </w:p>
        </w:tc>
        <w:tc>
          <w:tcPr>
            <w:tcW w:w="5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180.7</w:t>
            </w:r>
          </w:p>
        </w:tc>
        <w:tc>
          <w:tcPr>
            <w:tcW w:w="5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186.2</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Income from operations</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70.4</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269"/>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Non-operating expenses, net:</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 and other financing costs, net</w:t>
            </w:r>
          </w:p>
        </w:tc>
        <w:tc>
          <w:tcPr>
            <w:tcW w:w="4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(19.4)</w:t>
            </w:r>
          </w:p>
        </w:tc>
        <w:tc>
          <w:tcPr>
            <w:tcW w:w="5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70"/>
        </w:trPr>
        <w:tc>
          <w:tcPr>
            <w:tcW w:w="76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0.4</w:t>
            </w:r>
          </w:p>
        </w:tc>
        <w:tc>
          <w:tcPr>
            <w:tcW w:w="5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(19.0)</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69"/>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51.3</w:t>
            </w: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38.6</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14.0</w:t>
            </w:r>
          </w:p>
        </w:tc>
        <w:tc>
          <w:tcPr>
            <w:tcW w:w="5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69"/>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including noncontrolling interest</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37.3</w:t>
            </w: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attributable to World Fuel</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37.2</w:t>
            </w:r>
          </w:p>
        </w:tc>
        <w:tc>
          <w:tcPr>
            <w:tcW w:w="58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0.55</w:t>
            </w:r>
          </w:p>
        </w:tc>
        <w:tc>
          <w:tcPr>
            <w:tcW w:w="58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Basic weighted average common shares</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67.1</w:t>
            </w:r>
          </w:p>
        </w:tc>
        <w:tc>
          <w:tcPr>
            <w:tcW w:w="5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0.55</w:t>
            </w:r>
          </w:p>
        </w:tc>
        <w:tc>
          <w:tcPr>
            <w:tcW w:w="58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Diluted weighted average common shares</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67.4</w:t>
            </w:r>
          </w:p>
        </w:tc>
        <w:tc>
          <w:tcPr>
            <w:tcW w:w="5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67.9</w:t>
            </w:r>
          </w:p>
        </w:tc>
        <w:tc>
          <w:tcPr>
            <w:tcW w:w="0" w:type="dxa"/>
            <w:vAlign w:val="bottom"/>
          </w:tcPr>
          <w:p>
            <w:pPr>
              <w:spacing w:after="0"/>
              <w:rPr>
                <w:sz w:val="1"/>
                <w:szCs w:val="1"/>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income:</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 including noncontrolling interest</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37.3</w:t>
            </w:r>
          </w:p>
        </w:tc>
        <w:tc>
          <w:tcPr>
            <w:tcW w:w="5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440" w:type="dxa"/>
            <w:vAlign w:val="bottom"/>
          </w:tcPr>
          <w:p>
            <w:pPr>
              <w:spacing w:after="0"/>
              <w:rPr>
                <w:sz w:val="23"/>
                <w:szCs w:val="23"/>
                <w:color w:val="auto"/>
              </w:rPr>
            </w:pP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0.2</w:t>
            </w:r>
          </w:p>
        </w:tc>
        <w:tc>
          <w:tcPr>
            <w:tcW w:w="5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58"/>
        </w:trPr>
        <w:tc>
          <w:tcPr>
            <w:tcW w:w="766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Cash flow hedges, net of income tax benefit of $4.1 and $4.2 for the three months ended March 31, 2019 and 2018,</w:t>
            </w:r>
          </w:p>
        </w:tc>
        <w:tc>
          <w:tcPr>
            <w:tcW w:w="44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w:t>
            </w:r>
          </w:p>
        </w:tc>
        <w:tc>
          <w:tcPr>
            <w:tcW w:w="58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93"/>
        </w:trPr>
        <w:tc>
          <w:tcPr>
            <w:tcW w:w="76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respectively</w:t>
            </w:r>
          </w:p>
        </w:tc>
        <w:tc>
          <w:tcPr>
            <w:tcW w:w="4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vMerge w:val="continue"/>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(11.7)</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69"/>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income (loss) including noncontrolling interest</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25.6</w:t>
            </w: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Comprehensive income (loss) attributable to noncontrolling interest</w:t>
            </w:r>
          </w:p>
        </w:tc>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5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income (loss) attributable to World Fuel</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26.3</w:t>
            </w:r>
          </w:p>
        </w:tc>
        <w:tc>
          <w:tcPr>
            <w:tcW w:w="58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World Fuel Services Corporation</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(Unaudited - In millions)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2"/>
                <w:szCs w:val="12"/>
                <w:color w:val="auto"/>
              </w:rPr>
            </w:pPr>
          </w:p>
        </w:tc>
        <w:tc>
          <w:tcPr>
            <w:tcW w:w="1500" w:type="dxa"/>
            <w:vAlign w:val="bottom"/>
            <w:gridSpan w:val="3"/>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9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1500" w:type="dxa"/>
            <w:vAlign w:val="bottom"/>
            <w:tcBorders>
              <w:bottom w:val="single" w:sz="8" w:color="auto"/>
            </w:tcBorders>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131"/>
              <w:spacing w:after="0" w:line="142" w:lineRule="exact"/>
              <w:rPr>
                <w:sz w:val="20"/>
                <w:szCs w:val="20"/>
                <w:color w:val="auto"/>
              </w:rPr>
            </w:pPr>
            <w:r>
              <w:rPr>
                <w:rFonts w:ascii="Times New Roman" w:cs="Times New Roman" w:eastAsia="Times New Roman" w:hAnsi="Times New Roman"/>
                <w:sz w:val="13"/>
                <w:szCs w:val="13"/>
                <w:b w:val="1"/>
                <w:bCs w:val="1"/>
                <w:color w:val="auto"/>
                <w:w w:val="97"/>
              </w:rPr>
              <w:t>Capital in</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91"/>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2"/>
                <w:szCs w:val="12"/>
                <w:color w:val="auto"/>
              </w:rPr>
            </w:pPr>
          </w:p>
        </w:tc>
        <w:tc>
          <w:tcPr>
            <w:tcW w:w="940" w:type="dxa"/>
            <w:vAlign w:val="bottom"/>
          </w:tcPr>
          <w:p>
            <w:pPr>
              <w:jc w:val="center"/>
              <w:ind w:right="91"/>
              <w:spacing w:after="0" w:line="142" w:lineRule="exact"/>
              <w:rPr>
                <w:sz w:val="20"/>
                <w:szCs w:val="20"/>
                <w:color w:val="auto"/>
              </w:rPr>
            </w:pPr>
            <w:r>
              <w:rPr>
                <w:rFonts w:ascii="Times New Roman" w:cs="Times New Roman" w:eastAsia="Times New Roman" w:hAnsi="Times New Roman"/>
                <w:sz w:val="13"/>
                <w:szCs w:val="13"/>
                <w:b w:val="1"/>
                <w:bCs w:val="1"/>
                <w:color w:val="auto"/>
                <w:w w:val="96"/>
              </w:rPr>
              <w:t>World Fuel</w:t>
            </w:r>
          </w:p>
        </w:tc>
        <w:tc>
          <w:tcPr>
            <w:tcW w:w="180" w:type="dxa"/>
            <w:vAlign w:val="bottom"/>
          </w:tcPr>
          <w:p>
            <w:pPr>
              <w:spacing w:after="0"/>
              <w:rPr>
                <w:sz w:val="12"/>
                <w:szCs w:val="12"/>
                <w:color w:val="auto"/>
              </w:rPr>
            </w:pPr>
          </w:p>
        </w:tc>
        <w:tc>
          <w:tcPr>
            <w:tcW w:w="1020" w:type="dxa"/>
            <w:vAlign w:val="bottom"/>
          </w:tcPr>
          <w:p>
            <w:pPr>
              <w:jc w:val="center"/>
              <w:ind w:right="71"/>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center"/>
              <w:ind w:right="131"/>
              <w:spacing w:after="0" w:line="109" w:lineRule="exact"/>
              <w:rPr>
                <w:sz w:val="20"/>
                <w:szCs w:val="20"/>
                <w:color w:val="auto"/>
              </w:rPr>
            </w:pPr>
            <w:r>
              <w:rPr>
                <w:rFonts w:ascii="Times New Roman" w:cs="Times New Roman" w:eastAsia="Times New Roman" w:hAnsi="Times New Roman"/>
                <w:sz w:val="12"/>
                <w:szCs w:val="12"/>
                <w:b w:val="1"/>
                <w:bCs w:val="1"/>
                <w:color w:val="auto"/>
              </w:rPr>
              <w:t>Excess of</w:t>
            </w:r>
          </w:p>
        </w:tc>
        <w:tc>
          <w:tcPr>
            <w:tcW w:w="200" w:type="dxa"/>
            <w:vAlign w:val="bottom"/>
          </w:tcPr>
          <w:p>
            <w:pPr>
              <w:spacing w:after="0"/>
              <w:rPr>
                <w:sz w:val="9"/>
                <w:szCs w:val="9"/>
                <w:color w:val="auto"/>
              </w:rPr>
            </w:pPr>
          </w:p>
        </w:tc>
        <w:tc>
          <w:tcPr>
            <w:tcW w:w="680" w:type="dxa"/>
            <w:vAlign w:val="bottom"/>
          </w:tcPr>
          <w:p>
            <w:pPr>
              <w:jc w:val="right"/>
              <w:ind w:right="11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220" w:type="dxa"/>
            <w:vAlign w:val="bottom"/>
          </w:tcPr>
          <w:p>
            <w:pPr>
              <w:spacing w:after="0"/>
              <w:rPr>
                <w:sz w:val="9"/>
                <w:szCs w:val="9"/>
                <w:color w:val="auto"/>
              </w:rPr>
            </w:pPr>
          </w:p>
        </w:tc>
        <w:tc>
          <w:tcPr>
            <w:tcW w:w="1120" w:type="dxa"/>
            <w:vAlign w:val="bottom"/>
          </w:tcPr>
          <w:p>
            <w:pPr>
              <w:jc w:val="center"/>
              <w:ind w:right="91"/>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80" w:type="dxa"/>
            <w:vAlign w:val="bottom"/>
          </w:tcPr>
          <w:p>
            <w:pPr>
              <w:spacing w:after="0"/>
              <w:rPr>
                <w:sz w:val="9"/>
                <w:szCs w:val="9"/>
                <w:color w:val="auto"/>
              </w:rPr>
            </w:pPr>
          </w:p>
        </w:tc>
        <w:tc>
          <w:tcPr>
            <w:tcW w:w="940" w:type="dxa"/>
            <w:vAlign w:val="bottom"/>
          </w:tcPr>
          <w:p>
            <w:pPr>
              <w:jc w:val="center"/>
              <w:ind w:right="91"/>
              <w:spacing w:after="0" w:line="109"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180" w:type="dxa"/>
            <w:vAlign w:val="bottom"/>
          </w:tcPr>
          <w:p>
            <w:pPr>
              <w:spacing w:after="0"/>
              <w:rPr>
                <w:sz w:val="9"/>
                <w:szCs w:val="9"/>
                <w:color w:val="auto"/>
              </w:rPr>
            </w:pPr>
          </w:p>
        </w:tc>
        <w:tc>
          <w:tcPr>
            <w:tcW w:w="1020" w:type="dxa"/>
            <w:vAlign w:val="bottom"/>
          </w:tcPr>
          <w:p>
            <w:pPr>
              <w:jc w:val="center"/>
              <w:ind w:right="91"/>
              <w:spacing w:after="0" w:line="109"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0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Balance as of December 31, 2018</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340.4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1,606.1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1,815.4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1,831.6</w:t>
            </w:r>
          </w:p>
        </w:tc>
        <w:tc>
          <w:tcPr>
            <w:tcW w:w="0" w:type="dxa"/>
            <w:vAlign w:val="bottom"/>
          </w:tcPr>
          <w:p>
            <w:pPr>
              <w:spacing w:after="0"/>
              <w:rPr>
                <w:sz w:val="1"/>
                <w:szCs w:val="1"/>
                <w:color w:val="auto"/>
              </w:rPr>
            </w:pPr>
          </w:p>
        </w:tc>
      </w:tr>
      <w:tr>
        <w:trPr>
          <w:trHeight w:val="265"/>
        </w:trPr>
        <w:tc>
          <w:tcPr>
            <w:tcW w:w="30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37.2</w:t>
            </w:r>
          </w:p>
        </w:tc>
        <w:tc>
          <w:tcPr>
            <w:tcW w:w="220" w:type="dxa"/>
            <w:vAlign w:val="bottom"/>
          </w:tcPr>
          <w:p>
            <w:pPr>
              <w:spacing w:after="0"/>
              <w:rPr>
                <w:sz w:val="23"/>
                <w:szCs w:val="23"/>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37.2</w:t>
            </w:r>
          </w:p>
        </w:tc>
        <w:tc>
          <w:tcPr>
            <w:tcW w:w="1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spacing w:after="0"/>
              <w:rPr>
                <w:sz w:val="23"/>
                <w:szCs w:val="23"/>
                <w:color w:val="auto"/>
              </w:rPr>
            </w:pP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275"/>
        </w:trPr>
        <w:tc>
          <w:tcPr>
            <w:tcW w:w="3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Cash dividends declared</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65"/>
        </w:trPr>
        <w:tc>
          <w:tcPr>
            <w:tcW w:w="30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Amortization of share-based payment awards</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4.0</w:t>
            </w:r>
          </w:p>
        </w:tc>
        <w:tc>
          <w:tcPr>
            <w:tcW w:w="200" w:type="dxa"/>
            <w:vAlign w:val="bottom"/>
          </w:tcPr>
          <w:p>
            <w:pPr>
              <w:spacing w:after="0"/>
              <w:rPr>
                <w:sz w:val="23"/>
                <w:szCs w:val="23"/>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58"/>
        </w:trPr>
        <w:tc>
          <w:tcPr>
            <w:tcW w:w="3080" w:type="dxa"/>
            <w:vAlign w:val="bottom"/>
            <w:shd w:val="clear" w:color="auto" w:fill="CCEEFF"/>
          </w:tcPr>
          <w:p>
            <w:pPr>
              <w:ind w:left="300"/>
              <w:spacing w:after="0" w:line="158" w:lineRule="exact"/>
              <w:rPr>
                <w:sz w:val="20"/>
                <w:szCs w:val="20"/>
                <w:color w:val="auto"/>
              </w:rPr>
            </w:pPr>
            <w:r>
              <w:rPr>
                <w:rFonts w:ascii="Times New Roman" w:cs="Times New Roman" w:eastAsia="Times New Roman" w:hAnsi="Times New Roman"/>
                <w:sz w:val="14"/>
                <w:szCs w:val="14"/>
                <w:color w:val="auto"/>
              </w:rPr>
              <w:t>Issuance of common stock related to share-</w:t>
            </w:r>
          </w:p>
        </w:tc>
        <w:tc>
          <w:tcPr>
            <w:tcW w:w="7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based payment awards</w:t>
            </w:r>
          </w:p>
        </w:tc>
        <w:tc>
          <w:tcPr>
            <w:tcW w:w="7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300"/>
              <w:spacing w:after="0" w:line="153" w:lineRule="exact"/>
              <w:rPr>
                <w:sz w:val="20"/>
                <w:szCs w:val="20"/>
                <w:color w:val="auto"/>
              </w:rPr>
            </w:pPr>
            <w:r>
              <w:rPr>
                <w:rFonts w:ascii="Times New Roman" w:cs="Times New Roman" w:eastAsia="Times New Roman" w:hAnsi="Times New Roman"/>
                <w:sz w:val="14"/>
                <w:szCs w:val="14"/>
                <w:color w:val="auto"/>
              </w:rPr>
              <w:t>Purchases of common stock tendered by</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employees to satisfy the required withholding</w:t>
            </w:r>
          </w:p>
        </w:tc>
        <w:tc>
          <w:tcPr>
            <w:tcW w:w="7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2"/>
                <w:szCs w:val="12"/>
                <w:color w:val="auto"/>
              </w:rPr>
            </w:pPr>
          </w:p>
        </w:tc>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(1.4)</w:t>
            </w:r>
          </w:p>
        </w:tc>
        <w:tc>
          <w:tcPr>
            <w:tcW w:w="180" w:type="dxa"/>
            <w:vAlign w:val="bottom"/>
          </w:tcPr>
          <w:p>
            <w:pPr>
              <w:spacing w:after="0"/>
              <w:rPr>
                <w:sz w:val="12"/>
                <w:szCs w:val="12"/>
                <w:color w:val="auto"/>
              </w:rPr>
            </w:pPr>
          </w:p>
        </w:tc>
        <w:tc>
          <w:tcPr>
            <w:tcW w:w="10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3"/>
        </w:trPr>
        <w:tc>
          <w:tcPr>
            <w:tcW w:w="30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taxes related to share-based payment awards</w:t>
            </w: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0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(11.0)</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(11.0)</w:t>
            </w: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(0.8)</w:t>
            </w: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Balance as of March 31, 2019</w:t>
            </w: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67.1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0.7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343.0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1,639.3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(142.7)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1,840.3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15.5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1,855.8</w:t>
            </w: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1520" w:type="dxa"/>
            <w:vAlign w:val="bottom"/>
            <w:gridSpan w:val="3"/>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2"/>
                <w:szCs w:val="12"/>
                <w:color w:val="auto"/>
              </w:rPr>
            </w:pPr>
          </w:p>
        </w:tc>
        <w:tc>
          <w:tcPr>
            <w:tcW w:w="92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0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131"/>
              <w:spacing w:after="0" w:line="142" w:lineRule="exact"/>
              <w:rPr>
                <w:sz w:val="20"/>
                <w:szCs w:val="20"/>
                <w:color w:val="auto"/>
              </w:rPr>
            </w:pPr>
            <w:r>
              <w:rPr>
                <w:rFonts w:ascii="Times New Roman" w:cs="Times New Roman" w:eastAsia="Times New Roman" w:hAnsi="Times New Roman"/>
                <w:sz w:val="13"/>
                <w:szCs w:val="13"/>
                <w:b w:val="1"/>
                <w:bCs w:val="1"/>
                <w:color w:val="auto"/>
                <w:w w:val="97"/>
              </w:rPr>
              <w:t>Capital in</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1"/>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2"/>
                <w:szCs w:val="12"/>
                <w:color w:val="auto"/>
              </w:rPr>
            </w:pPr>
          </w:p>
        </w:tc>
        <w:tc>
          <w:tcPr>
            <w:tcW w:w="920" w:type="dxa"/>
            <w:vAlign w:val="bottom"/>
          </w:tcPr>
          <w:p>
            <w:pPr>
              <w:jc w:val="center"/>
              <w:ind w:right="91"/>
              <w:spacing w:after="0" w:line="142" w:lineRule="exact"/>
              <w:rPr>
                <w:sz w:val="20"/>
                <w:szCs w:val="20"/>
                <w:color w:val="auto"/>
              </w:rPr>
            </w:pPr>
            <w:r>
              <w:rPr>
                <w:rFonts w:ascii="Times New Roman" w:cs="Times New Roman" w:eastAsia="Times New Roman" w:hAnsi="Times New Roman"/>
                <w:sz w:val="13"/>
                <w:szCs w:val="13"/>
                <w:b w:val="1"/>
                <w:bCs w:val="1"/>
                <w:color w:val="auto"/>
                <w:w w:val="93"/>
              </w:rPr>
              <w:t>World Fuel</w:t>
            </w:r>
          </w:p>
        </w:tc>
        <w:tc>
          <w:tcPr>
            <w:tcW w:w="200" w:type="dxa"/>
            <w:vAlign w:val="bottom"/>
          </w:tcPr>
          <w:p>
            <w:pPr>
              <w:spacing w:after="0"/>
              <w:rPr>
                <w:sz w:val="12"/>
                <w:szCs w:val="12"/>
                <w:color w:val="auto"/>
              </w:rPr>
            </w:pPr>
          </w:p>
        </w:tc>
        <w:tc>
          <w:tcPr>
            <w:tcW w:w="1040" w:type="dxa"/>
            <w:vAlign w:val="bottom"/>
          </w:tcPr>
          <w:p>
            <w:pPr>
              <w:jc w:val="center"/>
              <w:ind w:right="91"/>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center"/>
              <w:ind w:right="131"/>
              <w:spacing w:after="0" w:line="109" w:lineRule="exact"/>
              <w:rPr>
                <w:sz w:val="20"/>
                <w:szCs w:val="20"/>
                <w:color w:val="auto"/>
              </w:rPr>
            </w:pPr>
            <w:r>
              <w:rPr>
                <w:rFonts w:ascii="Times New Roman" w:cs="Times New Roman" w:eastAsia="Times New Roman" w:hAnsi="Times New Roman"/>
                <w:sz w:val="12"/>
                <w:szCs w:val="12"/>
                <w:b w:val="1"/>
                <w:bCs w:val="1"/>
                <w:color w:val="auto"/>
              </w:rPr>
              <w:t>Excess of</w:t>
            </w:r>
          </w:p>
        </w:tc>
        <w:tc>
          <w:tcPr>
            <w:tcW w:w="200" w:type="dxa"/>
            <w:vAlign w:val="bottom"/>
          </w:tcPr>
          <w:p>
            <w:pPr>
              <w:spacing w:after="0"/>
              <w:rPr>
                <w:sz w:val="9"/>
                <w:szCs w:val="9"/>
                <w:color w:val="auto"/>
              </w:rPr>
            </w:pPr>
          </w:p>
        </w:tc>
        <w:tc>
          <w:tcPr>
            <w:tcW w:w="720" w:type="dxa"/>
            <w:vAlign w:val="bottom"/>
          </w:tcPr>
          <w:p>
            <w:pPr>
              <w:jc w:val="right"/>
              <w:ind w:right="13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220" w:type="dxa"/>
            <w:vAlign w:val="bottom"/>
          </w:tcPr>
          <w:p>
            <w:pPr>
              <w:spacing w:after="0"/>
              <w:rPr>
                <w:sz w:val="9"/>
                <w:szCs w:val="9"/>
                <w:color w:val="auto"/>
              </w:rPr>
            </w:pPr>
          </w:p>
        </w:tc>
        <w:tc>
          <w:tcPr>
            <w:tcW w:w="1120" w:type="dxa"/>
            <w:vAlign w:val="bottom"/>
          </w:tcPr>
          <w:p>
            <w:pPr>
              <w:jc w:val="center"/>
              <w:ind w:right="131"/>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0" w:type="dxa"/>
            <w:vAlign w:val="bottom"/>
          </w:tcPr>
          <w:p>
            <w:pPr>
              <w:spacing w:after="0"/>
              <w:rPr>
                <w:sz w:val="9"/>
                <w:szCs w:val="9"/>
                <w:color w:val="auto"/>
              </w:rPr>
            </w:pPr>
          </w:p>
        </w:tc>
        <w:tc>
          <w:tcPr>
            <w:tcW w:w="920" w:type="dxa"/>
            <w:vAlign w:val="bottom"/>
          </w:tcPr>
          <w:p>
            <w:pPr>
              <w:jc w:val="center"/>
              <w:ind w:right="71"/>
              <w:spacing w:after="0" w:line="109"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200" w:type="dxa"/>
            <w:vAlign w:val="bottom"/>
          </w:tcPr>
          <w:p>
            <w:pPr>
              <w:spacing w:after="0"/>
              <w:rPr>
                <w:sz w:val="9"/>
                <w:szCs w:val="9"/>
                <w:color w:val="auto"/>
              </w:rPr>
            </w:pPr>
          </w:p>
        </w:tc>
        <w:tc>
          <w:tcPr>
            <w:tcW w:w="1040" w:type="dxa"/>
            <w:vAlign w:val="bottom"/>
          </w:tcPr>
          <w:p>
            <w:pPr>
              <w:jc w:val="center"/>
              <w:ind w:right="111"/>
              <w:spacing w:after="0" w:line="109"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Balance as of December 31, 2017</w:t>
            </w: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67.7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354.9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1,492.8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(126.5)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1,721.9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1,738.0</w:t>
            </w:r>
          </w:p>
        </w:tc>
        <w:tc>
          <w:tcPr>
            <w:tcW w:w="0" w:type="dxa"/>
            <w:vAlign w:val="bottom"/>
          </w:tcPr>
          <w:p>
            <w:pPr>
              <w:spacing w:after="0"/>
              <w:rPr>
                <w:sz w:val="1"/>
                <w:szCs w:val="1"/>
                <w:color w:val="auto"/>
              </w:rPr>
            </w:pPr>
          </w:p>
        </w:tc>
      </w:tr>
      <w:tr>
        <w:trPr>
          <w:trHeight w:val="265"/>
        </w:trPr>
        <w:tc>
          <w:tcPr>
            <w:tcW w:w="3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31.2</w:t>
            </w:r>
          </w:p>
        </w:tc>
        <w:tc>
          <w:tcPr>
            <w:tcW w:w="220" w:type="dxa"/>
            <w:vAlign w:val="bottom"/>
          </w:tcPr>
          <w:p>
            <w:pPr>
              <w:spacing w:after="0"/>
              <w:rPr>
                <w:sz w:val="23"/>
                <w:szCs w:val="23"/>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31.2</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75"/>
        </w:trPr>
        <w:tc>
          <w:tcPr>
            <w:tcW w:w="3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Cash dividends declared</w:t>
            </w: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65"/>
        </w:trPr>
        <w:tc>
          <w:tcPr>
            <w:tcW w:w="3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Amortization of share-based payment awards</w:t>
            </w: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Pr>
          <w:p>
            <w:pPr>
              <w:spacing w:after="0"/>
              <w:rPr>
                <w:sz w:val="23"/>
                <w:szCs w:val="23"/>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58"/>
        </w:trPr>
        <w:tc>
          <w:tcPr>
            <w:tcW w:w="3100" w:type="dxa"/>
            <w:vAlign w:val="bottom"/>
            <w:shd w:val="clear" w:color="auto" w:fill="CCEEFF"/>
          </w:tcPr>
          <w:p>
            <w:pPr>
              <w:ind w:left="300"/>
              <w:spacing w:after="0" w:line="158" w:lineRule="exact"/>
              <w:rPr>
                <w:sz w:val="20"/>
                <w:szCs w:val="20"/>
                <w:color w:val="auto"/>
              </w:rPr>
            </w:pPr>
            <w:r>
              <w:rPr>
                <w:rFonts w:ascii="Times New Roman" w:cs="Times New Roman" w:eastAsia="Times New Roman" w:hAnsi="Times New Roman"/>
                <w:sz w:val="14"/>
                <w:szCs w:val="14"/>
                <w:color w:val="auto"/>
              </w:rPr>
              <w:t>Cancellation of common stock related to share-</w:t>
            </w:r>
          </w:p>
        </w:tc>
        <w:tc>
          <w:tcPr>
            <w:tcW w:w="7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(0.3)</w:t>
            </w:r>
          </w:p>
        </w:tc>
        <w:tc>
          <w:tcPr>
            <w:tcW w:w="2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(0.3)</w:t>
            </w:r>
          </w:p>
        </w:tc>
        <w:tc>
          <w:tcPr>
            <w:tcW w:w="2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based payment awards</w:t>
            </w:r>
          </w:p>
        </w:tc>
        <w:tc>
          <w:tcPr>
            <w:tcW w:w="7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100" w:type="dxa"/>
            <w:vAlign w:val="bottom"/>
          </w:tcPr>
          <w:p>
            <w:pPr>
              <w:ind w:left="300"/>
              <w:spacing w:after="0" w:line="153" w:lineRule="exact"/>
              <w:rPr>
                <w:sz w:val="20"/>
                <w:szCs w:val="20"/>
                <w:color w:val="auto"/>
              </w:rPr>
            </w:pPr>
            <w:r>
              <w:rPr>
                <w:rFonts w:ascii="Times New Roman" w:cs="Times New Roman" w:eastAsia="Times New Roman" w:hAnsi="Times New Roman"/>
                <w:sz w:val="14"/>
                <w:szCs w:val="14"/>
                <w:color w:val="auto"/>
              </w:rPr>
              <w:t>Purchases of common stock tendered by</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employees to satisfy the required withholding</w:t>
            </w:r>
          </w:p>
        </w:tc>
        <w:tc>
          <w:tcPr>
            <w:tcW w:w="7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(0.3)</w:t>
            </w:r>
          </w:p>
        </w:tc>
        <w:tc>
          <w:tcPr>
            <w:tcW w:w="200" w:type="dxa"/>
            <w:vAlign w:val="bottom"/>
          </w:tcPr>
          <w:p>
            <w:pPr>
              <w:spacing w:after="0"/>
              <w:rPr>
                <w:sz w:val="12"/>
                <w:szCs w:val="12"/>
                <w:color w:val="auto"/>
              </w:rPr>
            </w:pPr>
          </w:p>
        </w:tc>
        <w:tc>
          <w:tcPr>
            <w:tcW w:w="7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(0.3)</w:t>
            </w:r>
          </w:p>
        </w:tc>
        <w:tc>
          <w:tcPr>
            <w:tcW w:w="200" w:type="dxa"/>
            <w:vAlign w:val="bottom"/>
          </w:tcPr>
          <w:p>
            <w:pPr>
              <w:spacing w:after="0"/>
              <w:rPr>
                <w:sz w:val="12"/>
                <w:szCs w:val="12"/>
                <w:color w:val="auto"/>
              </w:rPr>
            </w:pPr>
          </w:p>
        </w:tc>
        <w:tc>
          <w:tcPr>
            <w:tcW w:w="10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3"/>
        </w:trPr>
        <w:tc>
          <w:tcPr>
            <w:tcW w:w="3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taxes related to share-based payment awards</w:t>
            </w: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0.8</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0.8</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(0.3)</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53"/>
        </w:trPr>
        <w:tc>
          <w:tcPr>
            <w:tcW w:w="3100" w:type="dxa"/>
            <w:vAlign w:val="bottom"/>
          </w:tcPr>
          <w:p>
            <w:pPr>
              <w:ind w:left="300"/>
              <w:spacing w:after="0" w:line="153" w:lineRule="exact"/>
              <w:rPr>
                <w:sz w:val="20"/>
                <w:szCs w:val="20"/>
                <w:color w:val="auto"/>
              </w:rPr>
            </w:pPr>
            <w:r>
              <w:rPr>
                <w:rFonts w:ascii="Times New Roman" w:cs="Times New Roman" w:eastAsia="Times New Roman" w:hAnsi="Times New Roman"/>
                <w:sz w:val="14"/>
                <w:szCs w:val="14"/>
                <w:color w:val="auto"/>
              </w:rPr>
              <w:t>Reclassification of certain tax effects from U.S.</w:t>
            </w:r>
          </w:p>
        </w:tc>
        <w:tc>
          <w:tcPr>
            <w:tcW w:w="7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5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9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3"/>
                <w:szCs w:val="13"/>
                <w:color w:val="auto"/>
              </w:rPr>
            </w:pPr>
          </w:p>
        </w:tc>
        <w:tc>
          <w:tcPr>
            <w:tcW w:w="10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3"/>
        </w:trPr>
        <w:tc>
          <w:tcPr>
            <w:tcW w:w="3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Tax Reform</w:t>
            </w: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Balance as of March 31, 2018</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358.6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1,521.6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(125.7)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1,755.1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1,771.0</w:t>
            </w: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and 2018, the Company's Board of Directors declared quarterly cash dividends of $0.06 per common share, respectively, representing $4.0 million in total dividends, which were paid on April 12, 2019 and April 6, 2018,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World Fuel Services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06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766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2"/>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Net income including noncontrolling interest</w:t>
            </w:r>
          </w:p>
        </w:tc>
        <w:tc>
          <w:tcPr>
            <w:tcW w:w="1140" w:type="dxa"/>
            <w:vAlign w:val="bottom"/>
            <w:tcBorders>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37.3</w:t>
            </w:r>
          </w:p>
        </w:tc>
        <w:tc>
          <w:tcPr>
            <w:tcW w:w="1200" w:type="dxa"/>
            <w:vAlign w:val="bottom"/>
            <w:tcBorders>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69"/>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including noncontrolling interest to net cash provided by operating activities: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4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22.3</w:t>
            </w:r>
          </w:p>
        </w:tc>
        <w:tc>
          <w:tcPr>
            <w:tcW w:w="1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bad debt</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2.4</w:t>
            </w:r>
          </w:p>
        </w:tc>
        <w:tc>
          <w:tcPr>
            <w:tcW w:w="1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65"/>
        </w:trPr>
        <w:tc>
          <w:tcPr>
            <w:tcW w:w="7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Share-based payment award compensation costs</w:t>
            </w:r>
          </w:p>
        </w:tc>
        <w:tc>
          <w:tcPr>
            <w:tcW w:w="114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w:t>
            </w:r>
          </w:p>
        </w:tc>
        <w:tc>
          <w:tcPr>
            <w:tcW w:w="1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1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65"/>
        </w:trPr>
        <w:tc>
          <w:tcPr>
            <w:tcW w:w="7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Foreign currency losses, net</w:t>
            </w:r>
          </w:p>
        </w:tc>
        <w:tc>
          <w:tcPr>
            <w:tcW w:w="114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w:t>
            </w:r>
          </w:p>
        </w:tc>
        <w:tc>
          <w:tcPr>
            <w:tcW w:w="1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8.2</w:t>
            </w:r>
          </w:p>
        </w:tc>
        <w:tc>
          <w:tcPr>
            <w:tcW w:w="1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65"/>
        </w:trPr>
        <w:tc>
          <w:tcPr>
            <w:tcW w:w="7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assets and liabilities, net of acquisitions:</w:t>
            </w:r>
          </w:p>
        </w:tc>
        <w:tc>
          <w:tcPr>
            <w:tcW w:w="1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766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Accounts receivable, net (reduced by beneficial interests received in exchange for accounts receivables sold of $120.0 for</w:t>
            </w:r>
          </w:p>
        </w:tc>
        <w:tc>
          <w:tcPr>
            <w:tcW w:w="1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11.2</w:t>
            </w:r>
          </w:p>
        </w:tc>
        <w:tc>
          <w:tcPr>
            <w:tcW w:w="1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98"/>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the three months ended March 31, 2018)</w:t>
            </w:r>
          </w:p>
        </w:tc>
        <w:tc>
          <w:tcPr>
            <w:tcW w:w="1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Inventories</w:t>
            </w:r>
          </w:p>
        </w:tc>
        <w:tc>
          <w:tcPr>
            <w:tcW w:w="114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(83.4)</w:t>
            </w:r>
          </w:p>
        </w:tc>
        <w:tc>
          <w:tcPr>
            <w:tcW w:w="1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Prepaid expenses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8.7</w:t>
            </w:r>
          </w:p>
        </w:tc>
        <w:tc>
          <w:tcPr>
            <w:tcW w:w="1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Short-term derivative assets, net</w:t>
            </w:r>
          </w:p>
        </w:tc>
        <w:tc>
          <w:tcPr>
            <w:tcW w:w="114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164.2</w:t>
            </w:r>
          </w:p>
        </w:tc>
        <w:tc>
          <w:tcPr>
            <w:tcW w:w="1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current assets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27.3</w:t>
            </w:r>
          </w:p>
        </w:tc>
        <w:tc>
          <w:tcPr>
            <w:tcW w:w="1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collateral with financial counterparties</w:t>
            </w:r>
          </w:p>
        </w:tc>
        <w:tc>
          <w:tcPr>
            <w:tcW w:w="114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(32.6)</w:t>
            </w:r>
          </w:p>
        </w:tc>
        <w:tc>
          <w:tcPr>
            <w:tcW w:w="1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non-current assets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27.3</w:t>
            </w:r>
          </w:p>
        </w:tc>
        <w:tc>
          <w:tcPr>
            <w:tcW w:w="1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114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c>
          <w:tcPr>
            <w:tcW w:w="1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Customer deposits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(24.7)</w:t>
            </w:r>
          </w:p>
        </w:tc>
        <w:tc>
          <w:tcPr>
            <w:tcW w:w="1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65"/>
        </w:trPr>
        <w:tc>
          <w:tcPr>
            <w:tcW w:w="7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14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(103.2)</w:t>
            </w:r>
          </w:p>
        </w:tc>
        <w:tc>
          <w:tcPr>
            <w:tcW w:w="1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270"/>
        </w:trPr>
        <w:tc>
          <w:tcPr>
            <w:tcW w:w="76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Non-current income tax, net and other long-term liabilities</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(46.4)</w:t>
            </w:r>
          </w:p>
        </w:tc>
        <w:tc>
          <w:tcPr>
            <w:tcW w:w="1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Total adjustments</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(26.5)</w:t>
            </w:r>
          </w:p>
        </w:tc>
        <w:tc>
          <w:tcPr>
            <w:tcW w:w="1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10.8</w:t>
            </w:r>
          </w:p>
        </w:tc>
        <w:tc>
          <w:tcPr>
            <w:tcW w:w="1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receipts of retained beneficial interests in receivable sales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265"/>
        </w:trPr>
        <w:tc>
          <w:tcPr>
            <w:tcW w:w="7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of businesses, net of cash acquired</w:t>
            </w:r>
          </w:p>
        </w:tc>
        <w:tc>
          <w:tcPr>
            <w:tcW w:w="114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(21.8)</w:t>
            </w:r>
          </w:p>
        </w:tc>
        <w:tc>
          <w:tcPr>
            <w:tcW w:w="1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1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3.3</w:t>
            </w:r>
          </w:p>
        </w:tc>
        <w:tc>
          <w:tcPr>
            <w:tcW w:w="1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(18.5)</w:t>
            </w:r>
          </w:p>
        </w:tc>
        <w:tc>
          <w:tcPr>
            <w:tcW w:w="1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Borrowings of debt</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1,542.0</w:t>
            </w:r>
          </w:p>
        </w:tc>
        <w:tc>
          <w:tcPr>
            <w:tcW w:w="1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1,468.9</w:t>
            </w:r>
          </w:p>
        </w:tc>
        <w:tc>
          <w:tcPr>
            <w:tcW w:w="0" w:type="dxa"/>
            <w:vAlign w:val="bottom"/>
          </w:tcPr>
          <w:p>
            <w:pPr>
              <w:spacing w:after="0"/>
              <w:rPr>
                <w:sz w:val="1"/>
                <w:szCs w:val="1"/>
                <w:color w:val="auto"/>
              </w:rPr>
            </w:pPr>
          </w:p>
        </w:tc>
      </w:tr>
      <w:tr>
        <w:trPr>
          <w:trHeight w:val="265"/>
        </w:trPr>
        <w:tc>
          <w:tcPr>
            <w:tcW w:w="7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 of debt</w:t>
            </w:r>
          </w:p>
        </w:tc>
        <w:tc>
          <w:tcPr>
            <w:tcW w:w="114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(1,547.5)</w:t>
            </w:r>
          </w:p>
        </w:tc>
        <w:tc>
          <w:tcPr>
            <w:tcW w:w="1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(1,545.1)</w:t>
            </w:r>
          </w:p>
        </w:tc>
        <w:tc>
          <w:tcPr>
            <w:tcW w:w="0" w:type="dxa"/>
            <w:vAlign w:val="bottom"/>
          </w:tcPr>
          <w:p>
            <w:pPr>
              <w:spacing w:after="0"/>
              <w:rPr>
                <w:sz w:val="1"/>
                <w:szCs w:val="1"/>
                <w:color w:val="auto"/>
              </w:rPr>
            </w:pPr>
          </w:p>
        </w:tc>
      </w:tr>
      <w:tr>
        <w:trPr>
          <w:trHeight w:val="275"/>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paid on common stock</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c>
          <w:tcPr>
            <w:tcW w:w="1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1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c>
          <w:tcPr>
            <w:tcW w:w="1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0.9</w:t>
            </w:r>
          </w:p>
        </w:tc>
        <w:tc>
          <w:tcPr>
            <w:tcW w:w="1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69"/>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(decrease) increase in cash and cash equivalents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(17.7)</w:t>
            </w:r>
          </w:p>
        </w:tc>
        <w:tc>
          <w:tcPr>
            <w:tcW w:w="1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as of the beginning of the period</w:t>
            </w:r>
          </w:p>
        </w:tc>
        <w:tc>
          <w:tcPr>
            <w:tcW w:w="1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211.7</w:t>
            </w:r>
          </w:p>
        </w:tc>
        <w:tc>
          <w:tcPr>
            <w:tcW w:w="1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372.3</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and cash equivalents, as of the end of the period</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194.0</w:t>
            </w:r>
          </w:p>
        </w:tc>
        <w:tc>
          <w:tcPr>
            <w:tcW w:w="1200" w:type="dxa"/>
            <w:vAlign w:val="bottom"/>
            <w:tcBorders>
              <w:bottom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152.9</w:t>
            </w:r>
          </w:p>
        </w:tc>
        <w:tc>
          <w:tcPr>
            <w:tcW w:w="0" w:type="dxa"/>
            <w:vAlign w:val="bottom"/>
          </w:tcPr>
          <w:p>
            <w:pPr>
              <w:spacing w:after="0"/>
              <w:rPr>
                <w:sz w:val="1"/>
                <w:szCs w:val="1"/>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21" w:right="25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dividends declared, but not yet paid, were $4.0 million as of March 31, 2019 and 2018, respectively.</w:t>
      </w:r>
    </w:p>
    <w:p>
      <w:pPr>
        <w:spacing w:after="0" w:line="225" w:lineRule="exact"/>
        <w:rPr>
          <w:sz w:val="20"/>
          <w:szCs w:val="20"/>
          <w:color w:val="auto"/>
        </w:rPr>
      </w:pPr>
    </w:p>
    <w:p>
      <w:pPr>
        <w:jc w:val="right"/>
        <w:ind w:right="97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219"/>
          </w:cols>
          <w:pgMar w:left="240" w:top="121" w:right="1440"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207" w:lineRule="exact"/>
        <w:rPr>
          <w:sz w:val="20"/>
          <w:szCs w:val="20"/>
          <w:color w:val="auto"/>
        </w:rPr>
      </w:pPr>
    </w:p>
    <w:p>
      <w:pPr>
        <w:jc w:val="both"/>
        <w:ind w:right="20" w:firstLine="324"/>
        <w:spacing w:after="0" w:line="235" w:lineRule="exact"/>
        <w:rPr>
          <w:sz w:val="20"/>
          <w:szCs w:val="20"/>
          <w:color w:val="auto"/>
        </w:rPr>
      </w:pPr>
      <w:r>
        <w:rPr>
          <w:rFonts w:ascii="Times New Roman" w:cs="Times New Roman" w:eastAsia="Times New Roman" w:hAnsi="Times New Roman"/>
          <w:sz w:val="18"/>
          <w:szCs w:val="18"/>
          <w:color w:val="auto"/>
        </w:rPr>
        <w:t>World Fuel Services Corporation (the “Company”) was incorporated in Florida in July 1984 and along with its consolidated subsidiaries is referred to collectively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(“10-Q Report”) as “World Fuel,” “we,” “our” and “us.”</w:t>
      </w:r>
    </w:p>
    <w:p>
      <w:pPr>
        <w:spacing w:after="0" w:line="1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leading global fuel services company, principally engaged in the distribution of fuel and related products and services in the aviation, marine and land transportation industries. In recent years, we have expanded our product and service offerings to include energy advisory services and supply fulfillment with respect to natural gas and power and transaction and payment management solutions to commercial and industrial customers. Our intention is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prepared the consolidated financial statements following the requirements of the United States (“U.S.”) Securities and Exchange Commission (“SEC”) for interim reporting. As permitted under those rules, certain footnotes or other financial information that are normally required by accounting principles generally accepted in the U.S. (“U.S. GAAP”) can be condensed or omitted.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Revenues, expenses, assets and liabilities can vary during each quarter of the year. Therefore, the results and trends in these interim financial statements may not be representative of those for the full year. In our opinion, all adjustments necessary for a fair statement of the financial statements, which are of a normal and recurring nature, have been made for the interim periods reported. The information included in this 10-Q Report should be read in conjunction with the consolidated financial statements and accompanying notes included in our 2018 Annual Report on Form 10-K (“2018 10-K Report”). Certain amounts in the consolidated financial statements and associated notes may not add due to rounding. All percentages have been calculated using unrounded amounts.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net income for the three months ending March 31, 2019 of $37.2 million, or $0.55 per diluted common share, includes a discrete tax benefit of $3.2 million with respect to a foreign tax filing and $3.4 million of operating income ($2.3 million after-tax), each of which should have been recognized in a prior period. Excluding these misstatements, which we have determined were not material to current or prior periods, our net income would have been $31.7 million, or $0.47 per diluted common share.</w:t>
      </w:r>
    </w:p>
    <w:p>
      <w:pPr>
        <w:spacing w:after="0" w:line="180" w:lineRule="exact"/>
        <w:rPr>
          <w:sz w:val="20"/>
          <w:szCs w:val="20"/>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There have been no significant changes, other than those related to the adopted new accounting standards below, in the Company's accounting policies from those disclosed in our 2018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Report. The significant accounting policies we use for quarterly financial reporting are disclosed in Note 1 of the “Notes to the Consolidated Financial Statements” included in our 2018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Report, and in the adopted accounting standards below.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Adoption of New Accounting Standard</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Leases (Topic 842). </w:t>
      </w:r>
      <w:r>
        <w:rPr>
          <w:rFonts w:ascii="Times New Roman" w:cs="Times New Roman" w:eastAsia="Times New Roman" w:hAnsi="Times New Roman"/>
          <w:sz w:val="18"/>
          <w:szCs w:val="18"/>
          <w:color w:val="auto"/>
        </w:rPr>
        <w:t>In February 2016, ASU 2016-02 was issued. The primary objective of the new standard, which amends the existing lease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adds additional disclosures, is to increase transparency and comparability among organizations by recognizing nearly all lease assets and lease liabilities on the balance sheet, including operating leases that under the prior standard were off-balance sheet.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Topic 842 defines a lease as a contract that conveys the right to control the use of an identified asset for a period of time in exchange for consideration. Control over the use of the identified asset means that the customer has the right to obtain substantially all of the economic benefits from the use of the asset and the right to direct the use of the asset.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ASU 2016-02 is effective for fiscal years beginning after December 15, 2018 (including interim periods within those periods) and early adoption is permitted. The Company adopted ASU 2016-02 in the first quarter of 2019 utilizing the modified retrospective transition method and applying the transition provisions at the effective date. We implemented the new standard using the package of practical expedients under the transition provisions that allows us not to reassess whether a contract contains a lease, how the lease is classified and if initial direct costs can be capitalized. For all the lessee arrangements, we have elected an accounting policy to combine non-lease components with the related lease components and treat the combined items as a lease for accounting purposes. Lastly, we have elected not to recognize the lease asset and related lease liability for leases with a lease term of 12 months or less.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date of implementation on January 1, 2019, the impact of the adoption of the new lease standard resulted in the recognition of the right of use assets of $167.3 million and lease liability of $173.6 million on the Company’s consolidated balance sheet. The difference between the right of use assets and lease liabilities is primarily the result of accrued lease payments and cumulative lease prepayments as well as the remaining balance of lease incentives received. Subsequent to adoption, the Company does not anticipate the impact on its results of operations and cash flows to be material.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In June 2016, ASU 2016-13 was issued.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update will change how entities account for credit impairment from trade and other receivables, net investments arising from sales-type and direct financing leases, debt securities, purchased-credit impaired financial assets and other instruments in addition to loans. ASU 2018-19 issued in November 2018, clarifies that receivables arising from operating leases are not within the scope of Subtopic 326-20. For receivables and certain other instruments that are not measured at fair value, entities will be required to estimate expected credit losses. Under the expected loss model, an entity recognizes a loss upon initial recognition of the asset that reflects all future events that will lead to a loss being realized, regardless of whether it is probable that the future event will occur.</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amendments in this update are effective for fiscal years beginning after December 15, 2019, including interim periods within those fiscal years. Early adoption is permitted as of the fiscal years beginning after December 15, 2018, including interim periods within those fiscal years. An entity will apply most of the amendments in this update using a modified-retrospective approach through a cumulative-effect adjustment to retained earnings as of the beginning of the first reporting period in which the guidance is effective. We are currently evaluating the impact that the new standard would have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receivables purchase agreements (“RPAs”) with Wells Fargo and Citibank that allow for the sale of up to an aggregate limit of $725.0 million of our accounts receivable. For the three months ended March 31, 2019 and 2018, cash payments to the owners of accounts receivable were $2.0 billion and $1.9 billion respectively, and cash proceeds from the sale of accounts receivable were $2.0 billion and $1.9 billion respectively. The fees and financing costs under the RPA were $5.8 million and $4.0 million for the three months ended March 31, 2019 and 2018, respectively. As of March 31, 2019 and December 31, 2018, our sold accounts receivable under the RPAs was $479.0 million and $508.2 million, respectively.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2018 Acquisitions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first quarter of 2018, we completed one acquisition in the land segment. The financial position, results of operations and cash flows of the 2018 acquisition has been included in our consolidated financial statements since its date and did not have a material impact on our consolidated revenue and net income for the three months ended March 31,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Derivatives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enter into financial derivative contracts to mitigate the risk of market price fluctuations in aviation, land and marine fuel, to offer our customers fuel pricing alternatives to meet their needs and to mitigate the risk of fluctuations in foreign currency exchange rates. If the derivative instrument is not designated in a hedge relationship, changes in the estimated fair market value are recognized as a component of revenue, cost of revenue, or other income (expense) in the consolidated statements of income and comprehensive income.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Derivatives which qualify for hedge accounting may be designated as either a fair value or cash flow hedge. For our fair value hedges, changes in the estimated fair market value of the hedging instrument and the hedged item are recognized in the same line item as the underlying transaction type in the consolidated statements of income and comprehensive income. The gains or losses on derivative instruments designated as cash flow hedges of forecasted transactions are initially reported as a component of accumulated other comprehensive income (AOCI) and subsequently reclassified into earnings once the future transactions affect earnings. Cash flows for our hedging instruments are classified in the same category as the underlying hedged items. If for any reason hedge accounting is discontinued, then any cash flows subsequent to the date of discontinuance will be classified in a manner consistent with the nature of the instrument.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describes our derivative classifications: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Fair Value Hedges. </w:t>
      </w:r>
      <w:r>
        <w:rPr>
          <w:rFonts w:ascii="Times New Roman" w:cs="Times New Roman" w:eastAsia="Times New Roman" w:hAnsi="Times New Roman"/>
          <w:sz w:val="18"/>
          <w:szCs w:val="18"/>
          <w:color w:val="auto"/>
        </w:rPr>
        <w:t>Includes derivative contracts we hold to hedge the risk of changes in the price of our inventory.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Cash Flow Hedges. </w:t>
      </w:r>
      <w:r>
        <w:rPr>
          <w:rFonts w:ascii="Times New Roman" w:cs="Times New Roman" w:eastAsia="Times New Roman" w:hAnsi="Times New Roman"/>
          <w:sz w:val="18"/>
          <w:szCs w:val="18"/>
          <w:color w:val="auto"/>
        </w:rPr>
        <w:t>Includes certain derivative contracts we execute to mitigate the risk of price or foreign currency volatility in forecasted transactions.</w:t>
      </w:r>
    </w:p>
    <w:p>
      <w:pPr>
        <w:spacing w:after="0" w:line="22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Non-designated Derivatives. </w:t>
      </w:r>
      <w:r>
        <w:rPr>
          <w:rFonts w:ascii="Times New Roman" w:cs="Times New Roman" w:eastAsia="Times New Roman" w:hAnsi="Times New Roman"/>
          <w:sz w:val="18"/>
          <w:szCs w:val="18"/>
          <w:color w:val="auto"/>
        </w:rPr>
        <w:t>Includes derivatives we primarily transact to mitigate the risk of market price fluctuations in the form of swaps or futures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certain forward fixed price purchase and sale contracts, and for portfolio optimization. In addition, non-designated derivatives are held to hedge the risk of currency rate fluctuations.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gross fair value of our derivative instruments and their locations on the consolidated balance sheets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Gross Derivative Assets</w:t>
            </w:r>
          </w:p>
        </w:tc>
        <w:tc>
          <w:tcPr>
            <w:tcW w:w="200" w:type="dxa"/>
            <w:vAlign w:val="bottom"/>
          </w:tcPr>
          <w:p>
            <w:pPr>
              <w:spacing w:after="0"/>
              <w:rPr>
                <w:sz w:val="16"/>
                <w:szCs w:val="16"/>
                <w:color w:val="auto"/>
              </w:rPr>
            </w:pPr>
          </w:p>
        </w:tc>
        <w:tc>
          <w:tcPr>
            <w:tcW w:w="240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Gross Derivative Liabilities</w:t>
            </w:r>
          </w:p>
        </w:tc>
      </w:tr>
      <w:tr>
        <w:trPr>
          <w:trHeight w:val="203"/>
        </w:trPr>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80" w:type="dxa"/>
            <w:vAlign w:val="bottom"/>
          </w:tcPr>
          <w:p>
            <w:pPr>
              <w:spacing w:after="0"/>
              <w:rPr>
                <w:sz w:val="17"/>
                <w:szCs w:val="17"/>
                <w:color w:val="auto"/>
              </w:rPr>
            </w:pPr>
          </w:p>
        </w:tc>
      </w:tr>
      <w:tr>
        <w:trPr>
          <w:trHeight w:val="78"/>
        </w:trPr>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254"/>
        </w:trPr>
        <w:tc>
          <w:tcPr>
            <w:tcW w:w="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2"/>
                <w:szCs w:val="22"/>
                <w:color w:val="auto"/>
              </w:rPr>
            </w:pPr>
          </w:p>
        </w:tc>
        <w:tc>
          <w:tcPr>
            <w:tcW w:w="9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22"/>
                <w:szCs w:val="22"/>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1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Consolidated Balance Sheets location</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78"/>
        </w:trPr>
        <w:tc>
          <w:tcPr>
            <w:tcW w:w="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56"/>
        </w:trPr>
        <w:tc>
          <w:tcPr>
            <w:tcW w:w="6080" w:type="dxa"/>
            <w:vAlign w:val="bottom"/>
            <w:gridSpan w:val="6"/>
            <w:shd w:val="clear" w:color="auto" w:fill="CCEEFF"/>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860" w:type="dxa"/>
            <w:vAlign w:val="bottom"/>
            <w:tcBorders>
              <w:top w:val="single" w:sz="8" w:color="auto"/>
            </w:tcBorders>
            <w:shd w:val="clear" w:color="auto" w:fill="CCEEFF"/>
          </w:tcPr>
          <w:p>
            <w:pPr>
              <w:spacing w:after="0"/>
              <w:rPr>
                <w:sz w:val="7"/>
                <w:szCs w:val="7"/>
                <w:color w:val="auto"/>
              </w:rPr>
            </w:pPr>
          </w:p>
        </w:tc>
        <w:tc>
          <w:tcPr>
            <w:tcW w:w="98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8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r>
      <w:tr>
        <w:trPr>
          <w:trHeight w:val="193"/>
        </w:trPr>
        <w:tc>
          <w:tcPr>
            <w:tcW w:w="40" w:type="dxa"/>
            <w:vAlign w:val="bottom"/>
          </w:tcPr>
          <w:p>
            <w:pPr>
              <w:spacing w:after="0"/>
              <w:rPr>
                <w:sz w:val="16"/>
                <w:szCs w:val="16"/>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Commodity contracts</w:t>
            </w:r>
          </w:p>
        </w:tc>
        <w:tc>
          <w:tcPr>
            <w:tcW w:w="418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Short-term derivative assets, net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168.5</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122.5</w:t>
            </w:r>
          </w:p>
        </w:tc>
      </w:tr>
      <w:tr>
        <w:trPr>
          <w:trHeight w:val="78"/>
        </w:trPr>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3"/>
        </w:trPr>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1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Identifiable intangible and other non-current assets</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w:t>
            </w:r>
          </w:p>
        </w:tc>
      </w:tr>
      <w:tr>
        <w:trPr>
          <w:trHeight w:val="78"/>
        </w:trPr>
        <w:tc>
          <w:tcPr>
            <w:tcW w:w="4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193"/>
        </w:trPr>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8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3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3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78"/>
        </w:trPr>
        <w:tc>
          <w:tcPr>
            <w:tcW w:w="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86"/>
        </w:trPr>
        <w:tc>
          <w:tcPr>
            <w:tcW w:w="60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derivatives designated as hedging instruments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132.2</w:t>
            </w:r>
          </w:p>
        </w:tc>
      </w:tr>
      <w:tr>
        <w:trPr>
          <w:trHeight w:val="78"/>
        </w:trPr>
        <w:tc>
          <w:tcPr>
            <w:tcW w:w="40" w:type="dxa"/>
            <w:vAlign w:val="bottom"/>
            <w:shd w:val="clear" w:color="auto" w:fill="CCEEFF"/>
          </w:tcPr>
          <w:p>
            <w:pPr>
              <w:spacing w:after="0"/>
              <w:rPr>
                <w:sz w:val="6"/>
                <w:szCs w:val="6"/>
                <w:color w:val="auto"/>
              </w:rPr>
            </w:pPr>
          </w:p>
        </w:tc>
        <w:tc>
          <w:tcPr>
            <w:tcW w:w="2840" w:type="dxa"/>
            <w:vAlign w:val="bottom"/>
            <w:gridSpan w:val="2"/>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284"/>
        </w:trPr>
        <w:tc>
          <w:tcPr>
            <w:tcW w:w="40" w:type="dxa"/>
            <w:vAlign w:val="bottom"/>
          </w:tcPr>
          <w:p>
            <w:pPr>
              <w:spacing w:after="0"/>
              <w:rPr>
                <w:sz w:val="24"/>
                <w:szCs w:val="24"/>
                <w:color w:val="auto"/>
              </w:rPr>
            </w:pPr>
          </w:p>
        </w:tc>
        <w:tc>
          <w:tcPr>
            <w:tcW w:w="28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60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860" w:type="dxa"/>
            <w:vAlign w:val="bottom"/>
            <w:tcBorders>
              <w:top w:val="single" w:sz="8" w:color="auto"/>
            </w:tcBorders>
            <w:shd w:val="clear" w:color="auto" w:fill="CCEEFF"/>
          </w:tcPr>
          <w:p>
            <w:pPr>
              <w:spacing w:after="0"/>
              <w:rPr>
                <w:sz w:val="7"/>
                <w:szCs w:val="7"/>
                <w:color w:val="auto"/>
              </w:rPr>
            </w:pPr>
          </w:p>
        </w:tc>
        <w:tc>
          <w:tcPr>
            <w:tcW w:w="98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28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r>
      <w:tr>
        <w:trPr>
          <w:trHeight w:val="193"/>
        </w:trPr>
        <w:tc>
          <w:tcPr>
            <w:tcW w:w="40" w:type="dxa"/>
            <w:vAlign w:val="bottom"/>
          </w:tcPr>
          <w:p>
            <w:pPr>
              <w:spacing w:after="0"/>
              <w:rPr>
                <w:sz w:val="16"/>
                <w:szCs w:val="16"/>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Commodity contracts</w:t>
            </w:r>
          </w:p>
        </w:tc>
        <w:tc>
          <w:tcPr>
            <w:tcW w:w="418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Short-term derivative assets, net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537.6</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429.0</w:t>
            </w:r>
          </w:p>
        </w:tc>
      </w:tr>
      <w:tr>
        <w:trPr>
          <w:trHeight w:val="78"/>
        </w:trPr>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3"/>
        </w:trPr>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1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Identifiable intangible and other non-current assets</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r>
      <w:tr>
        <w:trPr>
          <w:trHeight w:val="78"/>
        </w:trPr>
        <w:tc>
          <w:tcPr>
            <w:tcW w:w="4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193"/>
        </w:trPr>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8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w:t>
            </w:r>
          </w:p>
        </w:tc>
        <w:tc>
          <w:tcPr>
            <w:tcW w:w="3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3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126.4</w:t>
            </w:r>
          </w:p>
        </w:tc>
      </w:tr>
      <w:tr>
        <w:trPr>
          <w:trHeight w:val="78"/>
        </w:trPr>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3"/>
        </w:trPr>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1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40.4</w:t>
            </w:r>
          </w:p>
        </w:tc>
      </w:tr>
      <w:tr>
        <w:trPr>
          <w:trHeight w:val="78"/>
        </w:trPr>
        <w:tc>
          <w:tcPr>
            <w:tcW w:w="4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r>
      <w:tr>
        <w:trPr>
          <w:trHeight w:val="186"/>
        </w:trPr>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413.6</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652.9</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407.8</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635.8</w:t>
            </w:r>
          </w:p>
        </w:tc>
      </w:tr>
      <w:tr>
        <w:trPr>
          <w:trHeight w:val="78"/>
        </w:trPr>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84"/>
        </w:trPr>
        <w:tc>
          <w:tcPr>
            <w:tcW w:w="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3"/>
        </w:trPr>
        <w:tc>
          <w:tcPr>
            <w:tcW w:w="40" w:type="dxa"/>
            <w:vAlign w:val="bottom"/>
          </w:tcPr>
          <w:p>
            <w:pPr>
              <w:spacing w:after="0"/>
              <w:rPr>
                <w:sz w:val="16"/>
                <w:szCs w:val="16"/>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418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Short-term derivative assets, net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r>
      <w:tr>
        <w:trPr>
          <w:trHeight w:val="78"/>
        </w:trPr>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3"/>
        </w:trPr>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1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Identifiable intangible and other non-current assets</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78"/>
        </w:trPr>
        <w:tc>
          <w:tcPr>
            <w:tcW w:w="4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193"/>
        </w:trPr>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8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r>
      <w:tr>
        <w:trPr>
          <w:trHeight w:val="78"/>
        </w:trPr>
        <w:tc>
          <w:tcPr>
            <w:tcW w:w="40" w:type="dxa"/>
            <w:vAlign w:val="bottom"/>
            <w:tcBorders>
              <w:bottom w:val="single" w:sz="8" w:color="CCEEFF"/>
            </w:tcBorders>
          </w:tcPr>
          <w:p>
            <w:pPr>
              <w:spacing w:after="0"/>
              <w:rPr>
                <w:sz w:val="6"/>
                <w:szCs w:val="6"/>
                <w:color w:val="auto"/>
              </w:rPr>
            </w:pPr>
          </w:p>
        </w:tc>
        <w:tc>
          <w:tcPr>
            <w:tcW w:w="186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28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86"/>
        </w:trPr>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r>
      <w:tr>
        <w:trPr>
          <w:trHeight w:val="78"/>
        </w:trPr>
        <w:tc>
          <w:tcPr>
            <w:tcW w:w="40" w:type="dxa"/>
            <w:vAlign w:val="bottom"/>
            <w:tcBorders>
              <w:bottom w:val="single" w:sz="8" w:color="auto"/>
            </w:tcBorders>
            <w:shd w:val="clear" w:color="auto" w:fill="CCEEFF"/>
          </w:tcPr>
          <w:p>
            <w:pPr>
              <w:spacing w:after="0"/>
              <w:rPr>
                <w:sz w:val="6"/>
                <w:szCs w:val="6"/>
                <w:color w:val="auto"/>
              </w:rPr>
            </w:pPr>
          </w:p>
        </w:tc>
        <w:tc>
          <w:tcPr>
            <w:tcW w:w="2840" w:type="dxa"/>
            <w:vAlign w:val="bottom"/>
            <w:tcBorders>
              <w:bottom w:val="single" w:sz="8" w:color="auto"/>
            </w:tcBorders>
            <w:gridSpan w:val="2"/>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28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r>
      <w:tr>
        <w:trPr>
          <w:trHeight w:val="186"/>
        </w:trPr>
        <w:tc>
          <w:tcPr>
            <w:tcW w:w="60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hedging instruments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416.2</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657.5</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637.0</w:t>
            </w:r>
          </w:p>
        </w:tc>
      </w:tr>
      <w:tr>
        <w:trPr>
          <w:trHeight w:val="78"/>
        </w:trPr>
        <w:tc>
          <w:tcPr>
            <w:tcW w:w="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84"/>
        </w:trPr>
        <w:tc>
          <w:tcPr>
            <w:tcW w:w="4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8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186"/>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527.3</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845.8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534.3</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769.1</w:t>
            </w:r>
          </w:p>
        </w:tc>
      </w:tr>
      <w:tr>
        <w:trPr>
          <w:trHeight w:val="78"/>
        </w:trPr>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information regarding our derivative instruments measured at fair value after netting and collateral see Note </w:t>
      </w:r>
      <w:hyperlink w:anchor="page14">
        <w:r>
          <w:rPr>
            <w:rFonts w:ascii="Times New Roman" w:cs="Times New Roman" w:eastAsia="Times New Roman" w:hAnsi="Times New Roman"/>
            <w:sz w:val="18"/>
            <w:szCs w:val="18"/>
            <w:color w:val="auto"/>
          </w:rPr>
          <w:t>7.</w:t>
        </w:r>
      </w:hyperlink>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gross notional values of our commodity and foreign currency exchange derivative contracts used for risk management purposes that were outstanding as of March 31, 2019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20" w:type="dxa"/>
            <w:vAlign w:val="bottom"/>
          </w:tcPr>
          <w:p>
            <w:pPr>
              <w:jc w:val="right"/>
              <w:ind w:right="1308"/>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0" w:type="dxa"/>
            <w:vAlign w:val="bottom"/>
          </w:tcPr>
          <w:p>
            <w:pPr>
              <w:spacing w:after="0"/>
              <w:rPr>
                <w:sz w:val="1"/>
                <w:szCs w:val="1"/>
                <w:color w:val="auto"/>
              </w:rPr>
            </w:pPr>
          </w:p>
        </w:tc>
      </w:tr>
      <w:tr>
        <w:trPr>
          <w:trHeight w:val="78"/>
        </w:trPr>
        <w:tc>
          <w:tcPr>
            <w:tcW w:w="7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333333"/>
              </w:rPr>
              <w:t>Derivative Instruments</w:t>
            </w:r>
          </w:p>
        </w:tc>
        <w:tc>
          <w:tcPr>
            <w:tcW w:w="124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7660" w:type="dxa"/>
            <w:vAlign w:val="bottom"/>
            <w:vMerge w:val="continue"/>
          </w:tcPr>
          <w:p>
            <w:pPr>
              <w:spacing w:after="0"/>
              <w:rPr>
                <w:sz w:val="16"/>
                <w:szCs w:val="16"/>
                <w:color w:val="auto"/>
              </w:rPr>
            </w:pPr>
          </w:p>
        </w:tc>
        <w:tc>
          <w:tcPr>
            <w:tcW w:w="124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333333"/>
              </w:rPr>
              <w:t>Units</w:t>
            </w:r>
          </w:p>
        </w:tc>
        <w:tc>
          <w:tcPr>
            <w:tcW w:w="252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78"/>
        </w:trPr>
        <w:tc>
          <w:tcPr>
            <w:tcW w:w="76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Commodity contracts</w:t>
            </w:r>
          </w:p>
        </w:tc>
        <w:tc>
          <w:tcPr>
            <w:tcW w:w="124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6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w:t>
            </w:r>
          </w:p>
        </w:tc>
        <w:tc>
          <w:tcPr>
            <w:tcW w:w="124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BBL</w:t>
            </w:r>
          </w:p>
        </w:tc>
        <w:tc>
          <w:tcPr>
            <w:tcW w:w="2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78"/>
        </w:trPr>
        <w:tc>
          <w:tcPr>
            <w:tcW w:w="76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Short</w:t>
            </w:r>
          </w:p>
        </w:tc>
        <w:tc>
          <w:tcPr>
            <w:tcW w:w="1240" w:type="dxa"/>
            <w:vAlign w:val="bottom"/>
            <w:shd w:val="clear" w:color="auto" w:fill="CCEEFF"/>
          </w:tcPr>
          <w:p>
            <w:pPr>
              <w:jc w:val="center"/>
              <w:ind w:left="528"/>
              <w:spacing w:after="0"/>
              <w:rPr>
                <w:sz w:val="20"/>
                <w:szCs w:val="20"/>
                <w:color w:val="auto"/>
              </w:rPr>
            </w:pPr>
            <w:r>
              <w:rPr>
                <w:rFonts w:ascii="Times New Roman" w:cs="Times New Roman" w:eastAsia="Times New Roman" w:hAnsi="Times New Roman"/>
                <w:sz w:val="14"/>
                <w:szCs w:val="14"/>
                <w:color w:val="auto"/>
              </w:rPr>
              <w:t>BBL</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r>
        <w:trPr>
          <w:trHeight w:val="78"/>
        </w:trPr>
        <w:tc>
          <w:tcPr>
            <w:tcW w:w="76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7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Foreign currency exchange contracts</w:t>
            </w:r>
          </w:p>
        </w:tc>
        <w:tc>
          <w:tcPr>
            <w:tcW w:w="124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6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Sell U.S. dollar, buy other currencies</w:t>
            </w:r>
          </w:p>
        </w:tc>
        <w:tc>
          <w:tcPr>
            <w:tcW w:w="124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w w:val="99"/>
              </w:rPr>
              <w:t>USD</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78"/>
        </w:trPr>
        <w:tc>
          <w:tcPr>
            <w:tcW w:w="76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Buy U.S. dollar, sell other currencies</w:t>
            </w:r>
          </w:p>
        </w:tc>
        <w:tc>
          <w:tcPr>
            <w:tcW w:w="1240" w:type="dxa"/>
            <w:vAlign w:val="bottom"/>
            <w:shd w:val="clear" w:color="auto" w:fill="CCEEFF"/>
          </w:tcPr>
          <w:p>
            <w:pPr>
              <w:jc w:val="center"/>
              <w:ind w:left="528"/>
              <w:spacing w:after="0"/>
              <w:rPr>
                <w:sz w:val="20"/>
                <w:szCs w:val="20"/>
                <w:color w:val="auto"/>
              </w:rPr>
            </w:pPr>
            <w:r>
              <w:rPr>
                <w:rFonts w:ascii="Times New Roman" w:cs="Times New Roman" w:eastAsia="Times New Roman" w:hAnsi="Times New Roman"/>
                <w:sz w:val="14"/>
                <w:szCs w:val="14"/>
                <w:color w:val="auto"/>
                <w:w w:val="99"/>
              </w:rPr>
              <w:t>USD</w:t>
            </w:r>
          </w:p>
        </w:tc>
        <w:tc>
          <w:tcPr>
            <w:tcW w:w="2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255.5</w:t>
            </w:r>
          </w:p>
        </w:tc>
        <w:tc>
          <w:tcPr>
            <w:tcW w:w="0" w:type="dxa"/>
            <w:vAlign w:val="bottom"/>
          </w:tcPr>
          <w:p>
            <w:pPr>
              <w:spacing w:after="0"/>
              <w:rPr>
                <w:sz w:val="1"/>
                <w:szCs w:val="1"/>
                <w:color w:val="auto"/>
              </w:rPr>
            </w:pPr>
          </w:p>
        </w:tc>
      </w:tr>
      <w:tr>
        <w:trPr>
          <w:trHeight w:val="78"/>
        </w:trPr>
        <w:tc>
          <w:tcPr>
            <w:tcW w:w="766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shd w:val="clear" w:color="auto" w:fill="CCEEFF"/>
          </w:tcPr>
          <w:p>
            <w:pPr>
              <w:spacing w:after="0"/>
              <w:rPr>
                <w:sz w:val="6"/>
                <w:szCs w:val="6"/>
                <w:color w:val="auto"/>
              </w:rPr>
            </w:pPr>
          </w:p>
        </w:tc>
        <w:tc>
          <w:tcPr>
            <w:tcW w:w="25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2019, and December 31, 2018, the following amounts were recorded on the consolidated balance sheets related to cumulative basis adjustments for fair value hedges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Line item in the Consolidated Balance Sheets in which the</w:t>
            </w: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80" w:type="dxa"/>
            <w:vAlign w:val="bottom"/>
            <w:gridSpan w:val="3"/>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Cumulative Amount of Fair Value Hedging Adjustment</w:t>
            </w:r>
          </w:p>
        </w:tc>
        <w:tc>
          <w:tcPr>
            <w:tcW w:w="0" w:type="dxa"/>
            <w:vAlign w:val="bottom"/>
          </w:tcPr>
          <w:p>
            <w:pPr>
              <w:spacing w:after="0"/>
              <w:rPr>
                <w:sz w:val="1"/>
                <w:szCs w:val="1"/>
                <w:color w:val="auto"/>
              </w:rPr>
            </w:pPr>
          </w:p>
        </w:tc>
      </w:tr>
      <w:tr>
        <w:trPr>
          <w:trHeight w:val="149"/>
        </w:trPr>
        <w:tc>
          <w:tcPr>
            <w:tcW w:w="3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5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Carrying Amount of Hedged Asset/(Liabilities)</w:t>
            </w:r>
          </w:p>
        </w:tc>
        <w:tc>
          <w:tcPr>
            <w:tcW w:w="240" w:type="dxa"/>
            <w:vAlign w:val="bottom"/>
          </w:tcPr>
          <w:p>
            <w:pPr>
              <w:spacing w:after="0"/>
              <w:rPr>
                <w:sz w:val="12"/>
                <w:szCs w:val="12"/>
                <w:color w:val="auto"/>
              </w:rPr>
            </w:pPr>
          </w:p>
        </w:tc>
        <w:tc>
          <w:tcPr>
            <w:tcW w:w="3580" w:type="dxa"/>
            <w:vAlign w:val="bottom"/>
            <w:gridSpan w:val="3"/>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Included in the Carrying Amount of the Hedged</w:t>
            </w:r>
          </w:p>
        </w:tc>
        <w:tc>
          <w:tcPr>
            <w:tcW w:w="0" w:type="dxa"/>
            <w:vAlign w:val="bottom"/>
          </w:tcPr>
          <w:p>
            <w:pPr>
              <w:spacing w:after="0"/>
              <w:rPr>
                <w:sz w:val="1"/>
                <w:szCs w:val="1"/>
                <w:color w:val="auto"/>
              </w:rPr>
            </w:pPr>
          </w:p>
        </w:tc>
      </w:tr>
      <w:tr>
        <w:trPr>
          <w:trHeight w:val="19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hedged item is included</w:t>
            </w:r>
          </w:p>
        </w:tc>
        <w:tc>
          <w:tcPr>
            <w:tcW w:w="3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Asset/(Liabilities)</w:t>
            </w:r>
          </w:p>
        </w:tc>
        <w:tc>
          <w:tcPr>
            <w:tcW w:w="0" w:type="dxa"/>
            <w:vAlign w:val="bottom"/>
          </w:tcPr>
          <w:p>
            <w:pPr>
              <w:spacing w:after="0"/>
              <w:rPr>
                <w:sz w:val="1"/>
                <w:szCs w:val="1"/>
                <w:color w:val="auto"/>
              </w:rPr>
            </w:pPr>
          </w:p>
        </w:tc>
      </w:tr>
      <w:tr>
        <w:trPr>
          <w:trHeight w:val="264"/>
        </w:trPr>
        <w:tc>
          <w:tcPr>
            <w:tcW w:w="3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460" w:type="dxa"/>
            <w:vAlign w:val="bottom"/>
          </w:tcPr>
          <w:p>
            <w:pPr>
              <w:spacing w:after="0"/>
              <w:rPr>
                <w:sz w:val="16"/>
                <w:szCs w:val="16"/>
                <w:color w:val="auto"/>
              </w:rPr>
            </w:pP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Pr>
          <w:p>
            <w:pPr>
              <w:spacing w:after="0"/>
              <w:rPr>
                <w:sz w:val="16"/>
                <w:szCs w:val="16"/>
                <w:color w:val="auto"/>
              </w:rPr>
            </w:pPr>
          </w:p>
        </w:tc>
        <w:tc>
          <w:tcPr>
            <w:tcW w:w="15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440" w:type="dxa"/>
            <w:vAlign w:val="bottom"/>
          </w:tcPr>
          <w:p>
            <w:pPr>
              <w:spacing w:after="0"/>
              <w:rPr>
                <w:sz w:val="16"/>
                <w:szCs w:val="16"/>
                <w:color w:val="auto"/>
              </w:rPr>
            </w:pPr>
          </w:p>
        </w:tc>
        <w:tc>
          <w:tcPr>
            <w:tcW w:w="15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78"/>
        </w:trPr>
        <w:tc>
          <w:tcPr>
            <w:tcW w:w="37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Inventory</w:t>
            </w:r>
          </w:p>
        </w:tc>
        <w:tc>
          <w:tcPr>
            <w:tcW w:w="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78"/>
        </w:trPr>
        <w:tc>
          <w:tcPr>
            <w:tcW w:w="37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of fair value and cash flow hedges on income and expense line items in our Consolidated Statements of Income and Comprehensive Income (in millions):</w:t>
      </w:r>
    </w:p>
    <w:p>
      <w:pPr>
        <w:spacing w:after="0" w:line="101"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Location and Amount of Gain and (Loss) Recognized in Income on Fair</w:t>
      </w:r>
    </w:p>
    <w:p>
      <w:pPr>
        <w:spacing w:after="0" w:line="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13335</wp:posOffset>
            </wp:positionV>
            <wp:extent cx="2813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71"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0" w:type="dxa"/>
            <w:vAlign w:val="bottom"/>
          </w:tcPr>
          <w:p>
            <w:pPr>
              <w:spacing w:after="0"/>
              <w:rPr>
                <w:sz w:val="1"/>
                <w:szCs w:val="1"/>
                <w:color w:val="auto"/>
              </w:rPr>
            </w:pPr>
          </w:p>
        </w:tc>
      </w:tr>
      <w:tr>
        <w:trPr>
          <w:trHeight w:val="149"/>
        </w:trPr>
        <w:tc>
          <w:tcPr>
            <w:tcW w:w="6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Cost of</w:t>
            </w:r>
          </w:p>
        </w:tc>
        <w:tc>
          <w:tcPr>
            <w:tcW w:w="2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Cost of</w:t>
            </w:r>
          </w:p>
        </w:tc>
        <w:tc>
          <w:tcPr>
            <w:tcW w:w="0" w:type="dxa"/>
            <w:vAlign w:val="bottom"/>
          </w:tcPr>
          <w:p>
            <w:pPr>
              <w:spacing w:after="0"/>
              <w:rPr>
                <w:sz w:val="1"/>
                <w:szCs w:val="1"/>
                <w:color w:val="auto"/>
              </w:rPr>
            </w:pPr>
          </w:p>
        </w:tc>
      </w:tr>
      <w:tr>
        <w:trPr>
          <w:trHeight w:val="200"/>
        </w:trPr>
        <w:tc>
          <w:tcPr>
            <w:tcW w:w="6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93"/>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amounts of income and expense line items in which the effects of fair value or cash flow hedged are recorded</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8,678.8</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8,427.7</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9,181.3</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8,937.9</w:t>
            </w:r>
          </w:p>
        </w:tc>
        <w:tc>
          <w:tcPr>
            <w:tcW w:w="0" w:type="dxa"/>
            <w:vAlign w:val="bottom"/>
          </w:tcPr>
          <w:p>
            <w:pPr>
              <w:spacing w:after="0"/>
              <w:rPr>
                <w:sz w:val="1"/>
                <w:szCs w:val="1"/>
                <w:color w:val="auto"/>
              </w:rPr>
            </w:pPr>
          </w:p>
        </w:tc>
      </w:tr>
      <w:tr>
        <w:trPr>
          <w:trHeight w:val="78"/>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Gains or Loss on fair value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4"/>
                <w:szCs w:val="14"/>
                <w:color w:val="auto"/>
              </w:rPr>
              <w:t>Hedged Item</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16.2</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78"/>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98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1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(13.5)</w:t>
            </w:r>
          </w:p>
        </w:tc>
        <w:tc>
          <w:tcPr>
            <w:tcW w:w="24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78"/>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Gains or Loss on cash flow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4"/>
                <w:szCs w:val="14"/>
                <w:color w:val="auto"/>
              </w:rPr>
              <w:t>Amount of Gain (Loss) Reclassified from AOCI into Income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78"/>
        </w:trPr>
        <w:tc>
          <w:tcPr>
            <w:tcW w:w="69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amount of income and expense line items excluding the impact of hedges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8,682.6</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8,422.1</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9,184.9</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8,956.0</w:t>
            </w:r>
          </w:p>
        </w:tc>
        <w:tc>
          <w:tcPr>
            <w:tcW w:w="0" w:type="dxa"/>
            <w:vAlign w:val="bottom"/>
          </w:tcPr>
          <w:p>
            <w:pPr>
              <w:spacing w:after="0"/>
              <w:rPr>
                <w:sz w:val="1"/>
                <w:szCs w:val="1"/>
                <w:color w:val="auto"/>
              </w:rPr>
            </w:pPr>
          </w:p>
        </w:tc>
      </w:tr>
      <w:tr>
        <w:trPr>
          <w:trHeight w:val="78"/>
        </w:trPr>
        <w:tc>
          <w:tcPr>
            <w:tcW w:w="6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and 2018, there were no gains or losses recognized in earnings related to our fair value or cash flow hedges that were excluded from the assessment of hedge effectiveness.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and financial statement location of our derivative instruments in cash flow hedging relationships on our accumulated other comprehensive income, Consolidated Statements of Income and Comprehensive Income (in millions):</w:t>
      </w:r>
    </w:p>
    <w:p>
      <w:pPr>
        <w:sectPr>
          <w:pgSz w:w="11900" w:h="16838" w:orient="portrait"/>
          <w:cols w:equalWidth="0" w:num="1">
            <w:col w:w="11420"/>
          </w:cols>
          <w:pgMar w:left="240" w:top="121" w:right="239" w:bottom="1440" w:gutter="0" w:footer="0" w:header="0"/>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53"/>
        </w:trPr>
        <w:tc>
          <w:tcPr>
            <w:tcW w:w="320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w:t>
            </w:r>
          </w:p>
        </w:tc>
        <w:tc>
          <w:tcPr>
            <w:tcW w:w="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2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620" w:type="dxa"/>
            <w:vAlign w:val="bottom"/>
            <w:vMerge w:val="restart"/>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00"/>
        </w:trPr>
        <w:tc>
          <w:tcPr>
            <w:tcW w:w="3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68"/>
        </w:trPr>
        <w:tc>
          <w:tcPr>
            <w:tcW w:w="32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84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 Reclassified from</w:t>
            </w:r>
          </w:p>
        </w:tc>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06"/>
        </w:trPr>
        <w:tc>
          <w:tcPr>
            <w:tcW w:w="33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 Comprehensive Income into</w:t>
            </w:r>
          </w:p>
        </w:tc>
        <w:tc>
          <w:tcPr>
            <w:tcW w:w="7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30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18"/>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5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3584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5660" w:space="100"/>
            <w:col w:w="56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Commodity contracts</w:t>
            </w:r>
          </w:p>
        </w:tc>
        <w:tc>
          <w:tcPr>
            <w:tcW w:w="11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(220.5)</w:t>
            </w:r>
          </w:p>
        </w:tc>
        <w:tc>
          <w:tcPr>
            <w:tcW w:w="5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2"/>
                <w:szCs w:val="22"/>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5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Commodity contracts</w:t>
            </w:r>
          </w:p>
        </w:tc>
        <w:tc>
          <w:tcPr>
            <w:tcW w:w="1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196.4</w:t>
            </w:r>
          </w:p>
        </w:tc>
        <w:tc>
          <w:tcPr>
            <w:tcW w:w="5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3"/>
                <w:szCs w:val="23"/>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400" w:type="dxa"/>
            <w:vAlign w:val="bottom"/>
            <w:shd w:val="clear" w:color="auto" w:fill="BFE4FF"/>
          </w:tcPr>
          <w:p>
            <w:pPr>
              <w:spacing w:after="0"/>
              <w:rPr>
                <w:sz w:val="23"/>
                <w:szCs w:val="23"/>
                <w:color w:val="auto"/>
              </w:rPr>
            </w:pPr>
          </w:p>
        </w:tc>
        <w:tc>
          <w:tcPr>
            <w:tcW w:w="76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(8.4)</w:t>
            </w:r>
          </w:p>
        </w:tc>
        <w:tc>
          <w:tcPr>
            <w:tcW w:w="500" w:type="dxa"/>
            <w:vAlign w:val="bottom"/>
            <w:shd w:val="clear" w:color="auto" w:fill="BFE4FF"/>
          </w:tcPr>
          <w:p>
            <w:pPr>
              <w:spacing w:after="0"/>
              <w:rPr>
                <w:sz w:val="23"/>
                <w:szCs w:val="23"/>
                <w:color w:val="auto"/>
              </w:rPr>
            </w:pPr>
          </w:p>
        </w:tc>
        <w:tc>
          <w:tcPr>
            <w:tcW w:w="68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18.2</w:t>
            </w:r>
          </w:p>
        </w:tc>
      </w:tr>
      <w:tr>
        <w:trPr>
          <w:trHeight w:val="265"/>
        </w:trPr>
        <w:tc>
          <w:tcPr>
            <w:tcW w:w="2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23"/>
                <w:szCs w:val="23"/>
                <w:color w:val="auto"/>
              </w:rPr>
            </w:pP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(Loss) Gain</w:t>
            </w:r>
          </w:p>
        </w:tc>
        <w:tc>
          <w:tcPr>
            <w:tcW w:w="11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(24.1)</w:t>
            </w:r>
          </w:p>
        </w:tc>
        <w:tc>
          <w:tcPr>
            <w:tcW w:w="5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(Loss) Gain</w:t>
            </w: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c>
          <w:tcPr>
            <w:tcW w:w="5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w:t>
            </w:r>
          </w:p>
        </w:tc>
      </w:tr>
      <w:tr>
        <w:trPr>
          <w:trHeight w:val="78"/>
        </w:trPr>
        <w:tc>
          <w:tcPr>
            <w:tcW w:w="24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3300" w:type="dxa"/>
            <w:vAlign w:val="bottom"/>
            <w:tcBorders>
              <w:bottom w:val="single" w:sz="8" w:color="auto"/>
            </w:tcBorders>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effect and financial statement location of our derivative instruments not designated as hedging instruments on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and Comprehensive Income (in millions):</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 of Realized and Unrealized Gain (Loss)</w:t>
            </w:r>
          </w:p>
        </w:tc>
        <w:tc>
          <w:tcPr>
            <w:tcW w:w="3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70"/>
        </w:trPr>
        <w:tc>
          <w:tcPr>
            <w:tcW w:w="476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23"/>
                <w:szCs w:val="23"/>
                <w:color w:val="auto"/>
              </w:rPr>
            </w:pPr>
          </w:p>
        </w:tc>
      </w:tr>
      <w:tr>
        <w:trPr>
          <w:trHeight w:val="78"/>
        </w:trPr>
        <w:tc>
          <w:tcPr>
            <w:tcW w:w="4760" w:type="dxa"/>
            <w:vAlign w:val="bottom"/>
            <w:tcBorders>
              <w:bottom w:val="single" w:sz="8" w:color="auto"/>
            </w:tcBorders>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86"/>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Instruments - Non-designated</w:t>
            </w:r>
          </w:p>
        </w:tc>
        <w:tc>
          <w:tcPr>
            <w:tcW w:w="358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40" w:type="dxa"/>
            <w:vAlign w:val="bottom"/>
          </w:tcPr>
          <w:p>
            <w:pPr>
              <w:spacing w:after="0"/>
              <w:rPr>
                <w:sz w:val="16"/>
                <w:szCs w:val="16"/>
                <w:color w:val="auto"/>
              </w:rPr>
            </w:pPr>
          </w:p>
        </w:tc>
        <w:tc>
          <w:tcPr>
            <w:tcW w:w="118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6"/>
                <w:szCs w:val="16"/>
                <w:color w:val="auto"/>
              </w:rPr>
            </w:pPr>
          </w:p>
        </w:tc>
        <w:tc>
          <w:tcPr>
            <w:tcW w:w="10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78"/>
        </w:trPr>
        <w:tc>
          <w:tcPr>
            <w:tcW w:w="4760" w:type="dxa"/>
            <w:vAlign w:val="bottom"/>
            <w:tcBorders>
              <w:bottom w:val="single" w:sz="8" w:color="auto"/>
            </w:tcBorders>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8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contracts</w:t>
            </w:r>
          </w:p>
        </w:tc>
        <w:tc>
          <w:tcPr>
            <w:tcW w:w="3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78"/>
        </w:trPr>
        <w:tc>
          <w:tcPr>
            <w:tcW w:w="4760" w:type="dxa"/>
            <w:vAlign w:val="bottom"/>
            <w:shd w:val="clear" w:color="auto" w:fill="CCEEFF"/>
          </w:tcPr>
          <w:p>
            <w:pPr>
              <w:spacing w:after="0"/>
              <w:rPr>
                <w:sz w:val="6"/>
                <w:szCs w:val="6"/>
                <w:color w:val="auto"/>
              </w:rPr>
            </w:pPr>
          </w:p>
        </w:tc>
        <w:tc>
          <w:tcPr>
            <w:tcW w:w="35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93"/>
        </w:trPr>
        <w:tc>
          <w:tcPr>
            <w:tcW w:w="4760" w:type="dxa"/>
            <w:vAlign w:val="bottom"/>
          </w:tcPr>
          <w:p>
            <w:pPr>
              <w:spacing w:after="0"/>
              <w:rPr>
                <w:sz w:val="16"/>
                <w:szCs w:val="16"/>
                <w:color w:val="auto"/>
              </w:rPr>
            </w:pPr>
          </w:p>
        </w:tc>
        <w:tc>
          <w:tcPr>
            <w:tcW w:w="358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75.0</w:t>
            </w:r>
          </w:p>
        </w:tc>
        <w:tc>
          <w:tcPr>
            <w:tcW w:w="5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47.6</w:t>
            </w:r>
          </w:p>
        </w:tc>
      </w:tr>
      <w:tr>
        <w:trPr>
          <w:trHeight w:val="78"/>
        </w:trPr>
        <w:tc>
          <w:tcPr>
            <w:tcW w:w="4760" w:type="dxa"/>
            <w:vAlign w:val="bottom"/>
          </w:tcPr>
          <w:p>
            <w:pPr>
              <w:spacing w:after="0"/>
              <w:rPr>
                <w:sz w:val="6"/>
                <w:szCs w:val="6"/>
                <w:color w:val="auto"/>
              </w:rPr>
            </w:pPr>
          </w:p>
        </w:tc>
        <w:tc>
          <w:tcPr>
            <w:tcW w:w="3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93"/>
        </w:trPr>
        <w:tc>
          <w:tcPr>
            <w:tcW w:w="4760" w:type="dxa"/>
            <w:vAlign w:val="bottom"/>
            <w:shd w:val="clear" w:color="auto" w:fill="CCEEFF"/>
          </w:tcPr>
          <w:p>
            <w:pPr>
              <w:spacing w:after="0"/>
              <w:rPr>
                <w:sz w:val="16"/>
                <w:szCs w:val="16"/>
                <w:color w:val="auto"/>
              </w:rPr>
            </w:pPr>
          </w:p>
        </w:tc>
        <w:tc>
          <w:tcPr>
            <w:tcW w:w="35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Cost of revenue</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(65.9)</w:t>
            </w: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78"/>
        </w:trPr>
        <w:tc>
          <w:tcPr>
            <w:tcW w:w="4760" w:type="dxa"/>
            <w:vAlign w:val="bottom"/>
            <w:shd w:val="clear" w:color="auto" w:fill="CCEEFF"/>
          </w:tcPr>
          <w:p>
            <w:pPr>
              <w:spacing w:after="0"/>
              <w:rPr>
                <w:sz w:val="6"/>
                <w:szCs w:val="6"/>
                <w:color w:val="auto"/>
              </w:rPr>
            </w:pPr>
          </w:p>
        </w:tc>
        <w:tc>
          <w:tcPr>
            <w:tcW w:w="35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r>
      <w:tr>
        <w:trPr>
          <w:trHeight w:val="186"/>
        </w:trPr>
        <w:tc>
          <w:tcPr>
            <w:tcW w:w="47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9.1</w:t>
            </w:r>
          </w:p>
        </w:tc>
        <w:tc>
          <w:tcPr>
            <w:tcW w:w="5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w:t>
            </w:r>
          </w:p>
        </w:tc>
      </w:tr>
      <w:tr>
        <w:trPr>
          <w:trHeight w:val="78"/>
        </w:trPr>
        <w:tc>
          <w:tcPr>
            <w:tcW w:w="4760" w:type="dxa"/>
            <w:vAlign w:val="bottom"/>
          </w:tcPr>
          <w:p>
            <w:pPr>
              <w:spacing w:after="0"/>
              <w:rPr>
                <w:sz w:val="6"/>
                <w:szCs w:val="6"/>
                <w:color w:val="auto"/>
              </w:rPr>
            </w:pPr>
          </w:p>
        </w:tc>
        <w:tc>
          <w:tcPr>
            <w:tcW w:w="3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9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3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78"/>
        </w:trPr>
        <w:tc>
          <w:tcPr>
            <w:tcW w:w="4760" w:type="dxa"/>
            <w:vAlign w:val="bottom"/>
            <w:shd w:val="clear" w:color="auto" w:fill="CCEEFF"/>
          </w:tcPr>
          <w:p>
            <w:pPr>
              <w:spacing w:after="0"/>
              <w:rPr>
                <w:sz w:val="6"/>
                <w:szCs w:val="6"/>
                <w:color w:val="auto"/>
              </w:rPr>
            </w:pPr>
          </w:p>
        </w:tc>
        <w:tc>
          <w:tcPr>
            <w:tcW w:w="35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93"/>
        </w:trPr>
        <w:tc>
          <w:tcPr>
            <w:tcW w:w="4760" w:type="dxa"/>
            <w:vAlign w:val="bottom"/>
          </w:tcPr>
          <w:p>
            <w:pPr>
              <w:spacing w:after="0"/>
              <w:rPr>
                <w:sz w:val="16"/>
                <w:szCs w:val="16"/>
                <w:color w:val="auto"/>
              </w:rPr>
            </w:pPr>
          </w:p>
        </w:tc>
        <w:tc>
          <w:tcPr>
            <w:tcW w:w="358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5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78"/>
        </w:trPr>
        <w:tc>
          <w:tcPr>
            <w:tcW w:w="4760" w:type="dxa"/>
            <w:vAlign w:val="bottom"/>
          </w:tcPr>
          <w:p>
            <w:pPr>
              <w:spacing w:after="0"/>
              <w:rPr>
                <w:sz w:val="6"/>
                <w:szCs w:val="6"/>
                <w:color w:val="auto"/>
              </w:rPr>
            </w:pPr>
          </w:p>
        </w:tc>
        <w:tc>
          <w:tcPr>
            <w:tcW w:w="3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193"/>
        </w:trPr>
        <w:tc>
          <w:tcPr>
            <w:tcW w:w="4760" w:type="dxa"/>
            <w:vAlign w:val="bottom"/>
            <w:shd w:val="clear" w:color="auto" w:fill="CCEEFF"/>
          </w:tcPr>
          <w:p>
            <w:pPr>
              <w:spacing w:after="0"/>
              <w:rPr>
                <w:sz w:val="16"/>
                <w:szCs w:val="16"/>
                <w:color w:val="auto"/>
              </w:rPr>
            </w:pPr>
          </w:p>
        </w:tc>
        <w:tc>
          <w:tcPr>
            <w:tcW w:w="35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Other (expense), net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78"/>
        </w:trPr>
        <w:tc>
          <w:tcPr>
            <w:tcW w:w="4760" w:type="dxa"/>
            <w:vAlign w:val="bottom"/>
            <w:shd w:val="clear" w:color="auto" w:fill="CCEEFF"/>
          </w:tcPr>
          <w:p>
            <w:pPr>
              <w:spacing w:after="0"/>
              <w:rPr>
                <w:sz w:val="6"/>
                <w:szCs w:val="6"/>
                <w:color w:val="auto"/>
              </w:rPr>
            </w:pPr>
          </w:p>
        </w:tc>
        <w:tc>
          <w:tcPr>
            <w:tcW w:w="35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r>
      <w:tr>
        <w:trPr>
          <w:trHeight w:val="186"/>
        </w:trPr>
        <w:tc>
          <w:tcPr>
            <w:tcW w:w="47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0.4</w:t>
            </w:r>
          </w:p>
        </w:tc>
        <w:tc>
          <w:tcPr>
            <w:tcW w:w="5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78"/>
        </w:trPr>
        <w:tc>
          <w:tcPr>
            <w:tcW w:w="4760" w:type="dxa"/>
            <w:vAlign w:val="bottom"/>
            <w:tcBorders>
              <w:bottom w:val="single" w:sz="8" w:color="auto"/>
            </w:tcBorders>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8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Gain (Loss)</w:t>
            </w:r>
          </w:p>
        </w:tc>
        <w:tc>
          <w:tcPr>
            <w:tcW w:w="35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9.5</w:t>
            </w:r>
          </w:p>
        </w:tc>
        <w:tc>
          <w:tcPr>
            <w:tcW w:w="5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w:t>
            </w:r>
          </w:p>
        </w:tc>
      </w:tr>
      <w:tr>
        <w:trPr>
          <w:trHeight w:val="78"/>
        </w:trPr>
        <w:tc>
          <w:tcPr>
            <w:tcW w:w="4760" w:type="dxa"/>
            <w:vAlign w:val="bottom"/>
            <w:tcBorders>
              <w:bottom w:val="single" w:sz="8" w:color="auto"/>
            </w:tcBorders>
            <w:shd w:val="clear" w:color="auto" w:fill="CCEEFF"/>
          </w:tcPr>
          <w:p>
            <w:pPr>
              <w:spacing w:after="0"/>
              <w:rPr>
                <w:sz w:val="6"/>
                <w:szCs w:val="6"/>
                <w:color w:val="auto"/>
              </w:rPr>
            </w:pPr>
          </w:p>
        </w:tc>
        <w:tc>
          <w:tcPr>
            <w:tcW w:w="358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enter into derivative instrument contracts which may require us to provide collateral periodically. Certain derivative contracts contain credit-risk-related contingent clauses which are triggered by credit events. These credit events may include the requirement to provide additional collateral or the immediate settlement of the derivative instruments upon the occurrence of a credit downgrade or if certain defined financial ratios fall below an established threshold. The following table presents the potential collateral requirements for derivative liabilities with credit-risk-contingent features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2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333333"/>
              </w:rPr>
              <w:t>Potential Collateral Requirements for</w:t>
            </w:r>
          </w:p>
        </w:tc>
        <w:tc>
          <w:tcPr>
            <w:tcW w:w="440" w:type="dxa"/>
            <w:vAlign w:val="bottom"/>
          </w:tcPr>
          <w:p>
            <w:pPr>
              <w:spacing w:after="0"/>
              <w:rPr>
                <w:sz w:val="13"/>
                <w:szCs w:val="13"/>
                <w:color w:val="auto"/>
              </w:rPr>
            </w:pPr>
          </w:p>
        </w:tc>
      </w:tr>
      <w:tr>
        <w:trPr>
          <w:trHeight w:val="149"/>
        </w:trPr>
        <w:tc>
          <w:tcPr>
            <w:tcW w:w="7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20" w:type="dxa"/>
            <w:vAlign w:val="bottom"/>
            <w:gridSpan w:val="2"/>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333333"/>
              </w:rPr>
              <w:t>Derivative Liabilities with</w:t>
            </w:r>
          </w:p>
        </w:tc>
        <w:tc>
          <w:tcPr>
            <w:tcW w:w="440" w:type="dxa"/>
            <w:vAlign w:val="bottom"/>
          </w:tcPr>
          <w:p>
            <w:pPr>
              <w:spacing w:after="0"/>
              <w:rPr>
                <w:sz w:val="12"/>
                <w:szCs w:val="12"/>
                <w:color w:val="auto"/>
              </w:rPr>
            </w:pPr>
          </w:p>
        </w:tc>
      </w:tr>
      <w:tr>
        <w:trPr>
          <w:trHeight w:val="195"/>
        </w:trPr>
        <w:tc>
          <w:tcPr>
            <w:tcW w:w="7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2"/>
          </w:tcPr>
          <w:p>
            <w:pPr>
              <w:jc w:val="center"/>
              <w:ind w:left="228"/>
              <w:spacing w:after="0"/>
              <w:rPr>
                <w:sz w:val="20"/>
                <w:szCs w:val="20"/>
                <w:color w:val="auto"/>
              </w:rPr>
            </w:pPr>
            <w:r>
              <w:rPr>
                <w:rFonts w:ascii="Times New Roman" w:cs="Times New Roman" w:eastAsia="Times New Roman" w:hAnsi="Times New Roman"/>
                <w:sz w:val="14"/>
                <w:szCs w:val="14"/>
                <w:b w:val="1"/>
                <w:bCs w:val="1"/>
                <w:color w:val="333333"/>
              </w:rPr>
              <w:t>Credit-Risk-Contingent Features</w:t>
            </w:r>
          </w:p>
        </w:tc>
        <w:tc>
          <w:tcPr>
            <w:tcW w:w="440" w:type="dxa"/>
            <w:vAlign w:val="bottom"/>
            <w:tcBorders>
              <w:bottom w:val="single" w:sz="8" w:color="auto"/>
            </w:tcBorders>
          </w:tcPr>
          <w:p>
            <w:pPr>
              <w:spacing w:after="0"/>
              <w:rPr>
                <w:sz w:val="16"/>
                <w:szCs w:val="16"/>
                <w:color w:val="auto"/>
              </w:rPr>
            </w:pPr>
          </w:p>
        </w:tc>
      </w:tr>
      <w:tr>
        <w:trPr>
          <w:trHeight w:val="191"/>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333333"/>
              </w:rPr>
              <w:t>As of March 31, 2019</w:t>
            </w:r>
          </w:p>
        </w:tc>
        <w:tc>
          <w:tcPr>
            <w:tcW w:w="17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333333"/>
              </w:rPr>
              <w:t>As of December 31, 2018</w:t>
            </w:r>
          </w:p>
        </w:tc>
      </w:tr>
      <w:tr>
        <w:trPr>
          <w:trHeight w:val="78"/>
        </w:trPr>
        <w:tc>
          <w:tcPr>
            <w:tcW w:w="79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r>
        <w:trPr>
          <w:trHeight w:val="186"/>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derivatives liability positions with credit contingent features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1340" w:type="dxa"/>
            <w:vAlign w:val="bottom"/>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w:t>
            </w:r>
          </w:p>
        </w:tc>
      </w:tr>
      <w:tr>
        <w:trPr>
          <w:trHeight w:val="78"/>
        </w:trPr>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r>
      <w:tr>
        <w:trPr>
          <w:trHeight w:val="193"/>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Maximum potential collateral requirements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134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w:t>
            </w:r>
          </w:p>
        </w:tc>
      </w:tr>
      <w:tr>
        <w:trPr>
          <w:trHeight w:val="78"/>
        </w:trPr>
        <w:tc>
          <w:tcPr>
            <w:tcW w:w="79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1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At March 31, 2019 and December 31, 2018, there was no collateral held by our counterparties on these derivative contracts with credit-risk-contingent features.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Goodwill arises because the purchase price paid for our acquisitions reflects numerous factors, including the strategic fit and expected synergies these acquisitions bring to our existing operations. Goodwill is recorded at fair value and is reviewed at least annually for impairment.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components of and changes in the carrying amount of goodwill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Aviation</w:t>
            </w:r>
          </w:p>
        </w:tc>
        <w:tc>
          <w:tcPr>
            <w:tcW w:w="7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Land</w:t>
            </w: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9"/>
        </w:trPr>
        <w:tc>
          <w:tcPr>
            <w:tcW w:w="4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as of December 31, 2018</w:t>
            </w:r>
          </w:p>
        </w:tc>
        <w:tc>
          <w:tcPr>
            <w:tcW w:w="2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322.9</w:t>
            </w:r>
          </w:p>
        </w:tc>
        <w:tc>
          <w:tcPr>
            <w:tcW w:w="70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529.7</w:t>
            </w:r>
          </w:p>
        </w:tc>
        <w:tc>
          <w:tcPr>
            <w:tcW w:w="72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852.7</w:t>
            </w:r>
          </w:p>
        </w:tc>
      </w:tr>
      <w:tr>
        <w:trPr>
          <w:trHeight w:val="265"/>
        </w:trPr>
        <w:tc>
          <w:tcPr>
            <w:tcW w:w="4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Additions</w:t>
            </w:r>
          </w:p>
        </w:tc>
        <w:tc>
          <w:tcPr>
            <w:tcW w:w="254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exchange and other adjustments</w:t>
            </w:r>
          </w:p>
        </w:tc>
        <w:tc>
          <w:tcPr>
            <w:tcW w:w="25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7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7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r>
      <w:tr>
        <w:trPr>
          <w:trHeight w:val="264"/>
        </w:trPr>
        <w:tc>
          <w:tcPr>
            <w:tcW w:w="4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Balance as of March 31, 2019</w:t>
            </w:r>
          </w:p>
        </w:tc>
        <w:tc>
          <w:tcPr>
            <w:tcW w:w="2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321.7</w:t>
            </w:r>
          </w:p>
        </w:tc>
        <w:tc>
          <w:tcPr>
            <w:tcW w:w="7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531.7</w:t>
            </w:r>
          </w:p>
        </w:tc>
        <w:tc>
          <w:tcPr>
            <w:tcW w:w="7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853.3</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40" w:right="6880" w:hanging="332"/>
        <w:spacing w:after="0" w:line="468" w:lineRule="auto"/>
        <w:tabs>
          <w:tab w:leader="none" w:pos="19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Interest Income, Expense and Other Finance Costs </w:t>
      </w:r>
      <w:r>
        <w:rPr>
          <w:rFonts w:ascii="Times New Roman" w:cs="Times New Roman" w:eastAsia="Times New Roman" w:hAnsi="Times New Roman"/>
          <w:sz w:val="18"/>
          <w:szCs w:val="18"/>
          <w:color w:val="auto"/>
        </w:rPr>
        <w:t>Our debt consisted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20" w:type="dxa"/>
            <w:vAlign w:val="bottom"/>
          </w:tcPr>
          <w:p>
            <w:pPr>
              <w:spacing w:after="0"/>
              <w:rPr>
                <w:sz w:val="16"/>
                <w:szCs w:val="16"/>
                <w:color w:val="auto"/>
              </w:rPr>
            </w:pPr>
          </w:p>
        </w:tc>
      </w:tr>
      <w:tr>
        <w:trPr>
          <w:trHeight w:val="78"/>
        </w:trPr>
        <w:tc>
          <w:tcPr>
            <w:tcW w:w="766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r>
        <w:trPr>
          <w:trHeight w:val="254"/>
        </w:trPr>
        <w:tc>
          <w:tcPr>
            <w:tcW w:w="766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76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4"/>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Credit Facility</w:t>
            </w:r>
          </w:p>
        </w:tc>
        <w:tc>
          <w:tcPr>
            <w:tcW w:w="132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170.0</w:t>
            </w:r>
          </w:p>
        </w:tc>
      </w:tr>
      <w:tr>
        <w:trPr>
          <w:trHeight w:val="275"/>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Term Loans</w:t>
            </w:r>
          </w:p>
        </w:tc>
        <w:tc>
          <w:tcPr>
            <w:tcW w:w="13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514.8</w:t>
            </w:r>
          </w:p>
        </w:tc>
      </w:tr>
      <w:tr>
        <w:trPr>
          <w:trHeight w:val="265"/>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Finance Leases</w:t>
            </w:r>
          </w:p>
        </w:tc>
        <w:tc>
          <w:tcPr>
            <w:tcW w:w="13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50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w:t>
            </w:r>
          </w:p>
        </w:tc>
      </w:tr>
      <w:tr>
        <w:trPr>
          <w:trHeight w:val="270"/>
        </w:trPr>
        <w:tc>
          <w:tcPr>
            <w:tcW w:w="7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13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r>
      <w:tr>
        <w:trPr>
          <w:trHeight w:val="264"/>
        </w:trPr>
        <w:tc>
          <w:tcPr>
            <w:tcW w:w="7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debt</w:t>
            </w:r>
          </w:p>
        </w:tc>
        <w:tc>
          <w:tcPr>
            <w:tcW w:w="1320" w:type="dxa"/>
            <w:vAlign w:val="bottom"/>
            <w:tcBorders>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695.5</w:t>
            </w:r>
          </w:p>
        </w:tc>
        <w:tc>
          <w:tcPr>
            <w:tcW w:w="5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701.0</w:t>
            </w:r>
          </w:p>
        </w:tc>
      </w:tr>
      <w:tr>
        <w:trPr>
          <w:trHeight w:val="269"/>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maturities of long-term debt and capital leases</w:t>
            </w:r>
          </w:p>
        </w:tc>
        <w:tc>
          <w:tcPr>
            <w:tcW w:w="1320" w:type="dxa"/>
            <w:vAlign w:val="bottom"/>
            <w:shd w:val="clear" w:color="auto" w:fill="CCEEFF"/>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5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41.1</w:t>
            </w:r>
          </w:p>
        </w:tc>
      </w:tr>
      <w:tr>
        <w:trPr>
          <w:trHeight w:val="265"/>
        </w:trPr>
        <w:tc>
          <w:tcPr>
            <w:tcW w:w="7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Long-term debt</w:t>
            </w:r>
          </w:p>
        </w:tc>
        <w:tc>
          <w:tcPr>
            <w:tcW w:w="1320" w:type="dxa"/>
            <w:vAlign w:val="bottom"/>
            <w:tcBorders>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649.7</w:t>
            </w:r>
          </w:p>
        </w:tc>
        <w:tc>
          <w:tcPr>
            <w:tcW w:w="5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659.9</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about our interest income (expense), and other financing costs, net, for the periods presented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18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80" w:type="dxa"/>
            <w:vAlign w:val="bottom"/>
          </w:tcPr>
          <w:p>
            <w:pPr>
              <w:spacing w:after="0"/>
              <w:rPr>
                <w:sz w:val="16"/>
                <w:szCs w:val="16"/>
                <w:color w:val="auto"/>
              </w:rPr>
            </w:pPr>
          </w:p>
        </w:tc>
      </w:tr>
      <w:tr>
        <w:trPr>
          <w:trHeight w:val="275"/>
        </w:trPr>
        <w:tc>
          <w:tcPr>
            <w:tcW w:w="7660" w:type="dxa"/>
            <w:vAlign w:val="bottom"/>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2"/>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23"/>
                <w:szCs w:val="23"/>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69"/>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income</w:t>
            </w:r>
          </w:p>
        </w:tc>
        <w:tc>
          <w:tcPr>
            <w:tcW w:w="1260" w:type="dxa"/>
            <w:vAlign w:val="bottom"/>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1300" w:type="dxa"/>
            <w:vAlign w:val="bottom"/>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0.6</w:t>
            </w:r>
          </w:p>
        </w:tc>
      </w:tr>
      <w:tr>
        <w:trPr>
          <w:trHeight w:val="265"/>
        </w:trPr>
        <w:tc>
          <w:tcPr>
            <w:tcW w:w="7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Interest expense and other financing costs</w:t>
            </w:r>
          </w:p>
        </w:tc>
        <w:tc>
          <w:tcPr>
            <w:tcW w:w="12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(20.5)</w:t>
            </w:r>
          </w:p>
        </w:tc>
        <w:tc>
          <w:tcPr>
            <w:tcW w:w="13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w:t>
            </w:r>
          </w:p>
        </w:tc>
        <w:tc>
          <w:tcPr>
            <w:tcW w:w="1300" w:type="dxa"/>
            <w:vAlign w:val="bottom"/>
            <w:tcBorders>
              <w:bottom w:val="single" w:sz="8" w:color="auto"/>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net, accounts payable and accrued expenses and other current liabilities approximate fair value based on the short-term maturities of these instruments. The carrying values of our debt and notes receivables approximate fair value since these instruments bear interest either at variable rates or fixed rates which are not significantly different from market rates. Based on the fair value hierarchy, our total debt of $0.7 billion and $0.7 billion as of March 31, 2019 and December 31, 2018, respectively, and our notes receivable of $27.3 million and $28.2 million as of March 31, 2019 and December 31, 2018, respectively, are categorized in Level 2.</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about our gross assets and liabilities that are measured at fair value on a recurring basis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2019</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9"/>
        </w:trPr>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0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5"/>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Commodities contracts</w:t>
            </w: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107.8</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0.3</w:t>
            </w:r>
          </w:p>
        </w:tc>
        <w:tc>
          <w:tcPr>
            <w:tcW w:w="4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524.7</w:t>
            </w:r>
          </w:p>
        </w:tc>
      </w:tr>
      <w:tr>
        <w:trPr>
          <w:trHeight w:val="275"/>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20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r>
      <w:tr>
        <w:trPr>
          <w:trHeight w:val="265"/>
        </w:trPr>
        <w:tc>
          <w:tcPr>
            <w:tcW w:w="4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Cash surrender value of life insurance</w:t>
            </w:r>
          </w:p>
        </w:tc>
        <w:tc>
          <w:tcPr>
            <w:tcW w:w="20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r>
      <w:tr>
        <w:trPr>
          <w:trHeight w:val="264"/>
        </w:trPr>
        <w:tc>
          <w:tcPr>
            <w:tcW w:w="42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2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117.0</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0.3</w:t>
            </w: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534.0</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83"/>
        </w:trPr>
        <w:tc>
          <w:tcPr>
            <w:tcW w:w="4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20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5"/>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Commodities contracts</w:t>
            </w:r>
          </w:p>
        </w:tc>
        <w:tc>
          <w:tcPr>
            <w:tcW w:w="2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427.2</w:t>
            </w: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104.4</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0.2</w:t>
            </w:r>
          </w:p>
        </w:tc>
        <w:tc>
          <w:tcPr>
            <w:tcW w:w="4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531.7</w:t>
            </w:r>
          </w:p>
        </w:tc>
      </w:tr>
      <w:tr>
        <w:trPr>
          <w:trHeight w:val="270"/>
        </w:trPr>
        <w:tc>
          <w:tcPr>
            <w:tcW w:w="4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20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r>
      <w:tr>
        <w:trPr>
          <w:trHeight w:val="264"/>
        </w:trPr>
        <w:tc>
          <w:tcPr>
            <w:tcW w:w="4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Total liabilities at fair value</w:t>
            </w:r>
          </w:p>
        </w:tc>
        <w:tc>
          <w:tcPr>
            <w:tcW w:w="2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427.2</w:t>
            </w:r>
          </w:p>
        </w:tc>
        <w:tc>
          <w:tcPr>
            <w:tcW w:w="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106.9</w:t>
            </w:r>
          </w:p>
        </w:tc>
        <w:tc>
          <w:tcPr>
            <w:tcW w:w="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0.2</w:t>
            </w:r>
          </w:p>
        </w:tc>
        <w:tc>
          <w:tcPr>
            <w:tcW w:w="4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534.3</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gridSpan w:val="6"/>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48"/>
        </w:trPr>
        <w:tc>
          <w:tcPr>
            <w:tcW w:w="4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6"/>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2018</w:t>
            </w:r>
          </w:p>
        </w:tc>
        <w:tc>
          <w:tcPr>
            <w:tcW w:w="780" w:type="dxa"/>
            <w:vAlign w:val="bottom"/>
            <w:tcBorders>
              <w:bottom w:val="single" w:sz="8" w:color="auto"/>
            </w:tcBorders>
          </w:tcPr>
          <w:p>
            <w:pPr>
              <w:spacing w:after="0"/>
              <w:rPr>
                <w:sz w:val="24"/>
                <w:szCs w:val="24"/>
                <w:color w:val="auto"/>
              </w:rPr>
            </w:pPr>
          </w:p>
        </w:tc>
      </w:tr>
      <w:tr>
        <w:trPr>
          <w:trHeight w:val="264"/>
        </w:trPr>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4"/>
        </w:trPr>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5"/>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Commodities contracts</w:t>
            </w:r>
          </w:p>
        </w:tc>
        <w:tc>
          <w:tcPr>
            <w:tcW w:w="2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585.6</w:t>
            </w: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254.6</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0.9</w:t>
            </w:r>
          </w:p>
        </w:tc>
        <w:tc>
          <w:tcPr>
            <w:tcW w:w="48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841.2</w:t>
            </w:r>
          </w:p>
        </w:tc>
      </w:tr>
      <w:tr>
        <w:trPr>
          <w:trHeight w:val="265"/>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20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260" w:type="dxa"/>
            <w:vAlign w:val="bottom"/>
          </w:tcPr>
          <w:p>
            <w:pPr>
              <w:spacing w:after="0"/>
              <w:rPr>
                <w:sz w:val="23"/>
                <w:szCs w:val="23"/>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r>
      <w:tr>
        <w:trPr>
          <w:trHeight w:val="270"/>
        </w:trPr>
        <w:tc>
          <w:tcPr>
            <w:tcW w:w="4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surrender value of life insurance</w:t>
            </w:r>
          </w:p>
        </w:tc>
        <w:tc>
          <w:tcPr>
            <w:tcW w:w="20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w:t>
            </w:r>
          </w:p>
        </w:tc>
      </w:tr>
      <w:tr>
        <w:trPr>
          <w:trHeight w:val="304"/>
        </w:trPr>
        <w:tc>
          <w:tcPr>
            <w:tcW w:w="4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2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585.6</w:t>
            </w:r>
          </w:p>
        </w:tc>
        <w:tc>
          <w:tcPr>
            <w:tcW w:w="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265.6</w:t>
            </w:r>
          </w:p>
        </w:tc>
        <w:tc>
          <w:tcPr>
            <w:tcW w:w="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0.9</w:t>
            </w:r>
          </w:p>
        </w:tc>
        <w:tc>
          <w:tcPr>
            <w:tcW w:w="4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852.1</w:t>
            </w:r>
          </w:p>
        </w:tc>
      </w:tr>
      <w:tr>
        <w:trPr>
          <w:trHeight w:val="283"/>
        </w:trPr>
        <w:tc>
          <w:tcPr>
            <w:tcW w:w="42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5"/>
        </w:trPr>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2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5"/>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Commodities contracts</w:t>
            </w:r>
          </w:p>
        </w:tc>
        <w:tc>
          <w:tcPr>
            <w:tcW w:w="2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556.5</w:t>
            </w: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211.2</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0.2</w:t>
            </w:r>
          </w:p>
        </w:tc>
        <w:tc>
          <w:tcPr>
            <w:tcW w:w="48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767.9</w:t>
            </w:r>
          </w:p>
        </w:tc>
      </w:tr>
      <w:tr>
        <w:trPr>
          <w:trHeight w:val="265"/>
        </w:trPr>
        <w:tc>
          <w:tcPr>
            <w:tcW w:w="4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20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r>
      <w:tr>
        <w:trPr>
          <w:trHeight w:val="264"/>
        </w:trPr>
        <w:tc>
          <w:tcPr>
            <w:tcW w:w="42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at fair value</w:t>
            </w:r>
          </w:p>
        </w:tc>
        <w:tc>
          <w:tcPr>
            <w:tcW w:w="2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556.5</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212.4</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0.2</w:t>
            </w: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769.1</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during the periods presented. Additionally, the fair values of our commodity contracts measured using Level 3 inputs were not material at March 31, 2019 and December 31, 2018, respectively.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those commodity derivative balances subject to the right of offset as presented on our consolidated balance sheet. We have elected to offset the recognized fair value amounts for multiple derivative instruments executed with the same counterparty in our financial statements when a legal right of offset exists.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3"/>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Fair Value as of March 31, 2019</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7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220" w:type="dxa"/>
            <w:vAlign w:val="bottom"/>
          </w:tcPr>
          <w:p>
            <w:pPr>
              <w:spacing w:after="0"/>
              <w:rPr>
                <w:sz w:val="23"/>
                <w:szCs w:val="23"/>
                <w:color w:val="auto"/>
              </w:rPr>
            </w:pPr>
          </w:p>
        </w:tc>
        <w:tc>
          <w:tcPr>
            <w:tcW w:w="11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340" w:type="dxa"/>
            <w:vAlign w:val="bottom"/>
          </w:tcPr>
          <w:p>
            <w:pPr>
              <w:spacing w:after="0"/>
              <w:rPr>
                <w:sz w:val="23"/>
                <w:szCs w:val="23"/>
                <w:color w:val="auto"/>
              </w:rPr>
            </w:pPr>
          </w:p>
        </w:tc>
        <w:tc>
          <w:tcPr>
            <w:tcW w:w="11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Cash</w:t>
            </w:r>
          </w:p>
        </w:tc>
        <w:tc>
          <w:tcPr>
            <w:tcW w:w="240" w:type="dxa"/>
            <w:vAlign w:val="bottom"/>
          </w:tcPr>
          <w:p>
            <w:pPr>
              <w:spacing w:after="0"/>
              <w:rPr>
                <w:sz w:val="23"/>
                <w:szCs w:val="23"/>
                <w:color w:val="auto"/>
              </w:rPr>
            </w:pP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Offset</w:t>
            </w:r>
          </w:p>
        </w:tc>
        <w:tc>
          <w:tcPr>
            <w:tcW w:w="220" w:type="dxa"/>
            <w:vAlign w:val="bottom"/>
          </w:tcPr>
          <w:p>
            <w:pPr>
              <w:spacing w:after="0"/>
              <w:rPr>
                <w:sz w:val="23"/>
                <w:szCs w:val="23"/>
                <w:color w:val="auto"/>
              </w:rPr>
            </w:pPr>
          </w:p>
        </w:tc>
        <w:tc>
          <w:tcPr>
            <w:tcW w:w="11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Presented</w:t>
            </w:r>
          </w:p>
        </w:tc>
        <w:tc>
          <w:tcPr>
            <w:tcW w:w="340" w:type="dxa"/>
            <w:vAlign w:val="bottom"/>
          </w:tcPr>
          <w:p>
            <w:pPr>
              <w:spacing w:after="0"/>
              <w:rPr>
                <w:sz w:val="23"/>
                <w:szCs w:val="23"/>
                <w:color w:val="auto"/>
              </w:rPr>
            </w:pPr>
          </w:p>
        </w:tc>
        <w:tc>
          <w:tcPr>
            <w:tcW w:w="11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240" w:type="dxa"/>
            <w:vAlign w:val="bottom"/>
          </w:tcPr>
          <w:p>
            <w:pPr>
              <w:spacing w:after="0"/>
              <w:rPr>
                <w:sz w:val="23"/>
                <w:szCs w:val="23"/>
                <w:color w:val="auto"/>
              </w:rPr>
            </w:pPr>
          </w:p>
        </w:tc>
        <w:tc>
          <w:tcPr>
            <w:tcW w:w="12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Right of Offset</w:t>
            </w:r>
          </w:p>
        </w:tc>
        <w:tc>
          <w:tcPr>
            <w:tcW w:w="260" w:type="dxa"/>
            <w:vAlign w:val="bottom"/>
          </w:tcPr>
          <w:p>
            <w:pPr>
              <w:spacing w:after="0"/>
              <w:rPr>
                <w:sz w:val="23"/>
                <w:szCs w:val="23"/>
                <w:color w:val="auto"/>
              </w:rPr>
            </w:pP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78"/>
        </w:trPr>
        <w:tc>
          <w:tcPr>
            <w:tcW w:w="27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Commodities contracts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524.7</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462.8</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61.9</w:t>
            </w:r>
          </w:p>
        </w:tc>
        <w:tc>
          <w:tcPr>
            <w:tcW w:w="3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58.6</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0.4</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73"/>
        </w:trPr>
        <w:tc>
          <w:tcPr>
            <w:tcW w:w="27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527.3</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465.0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62.3</w:t>
            </w:r>
          </w:p>
        </w:tc>
        <w:tc>
          <w:tcPr>
            <w:tcW w:w="3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113"/>
        </w:trPr>
        <w:tc>
          <w:tcPr>
            <w:tcW w:w="27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40" w:type="dxa"/>
            <w:vAlign w:val="bottom"/>
            <w:tcBorders>
              <w:bottom w:val="single" w:sz="8" w:color="auto"/>
            </w:tcBorders>
            <w:vMerge w:val="continue"/>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9"/>
        </w:trPr>
        <w:tc>
          <w:tcPr>
            <w:tcW w:w="2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Commodities contracts</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531.7</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462.8</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68.9</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300" w:type="dxa"/>
            <w:vAlign w:val="bottom"/>
          </w:tcPr>
          <w:p>
            <w:pPr>
              <w:spacing w:after="0"/>
              <w:rPr>
                <w:sz w:val="16"/>
                <w:szCs w:val="16"/>
                <w:color w:val="auto"/>
              </w:rPr>
            </w:pPr>
          </w:p>
        </w:tc>
        <w:tc>
          <w:tcPr>
            <w:tcW w:w="1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0.4</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20" w:type="dxa"/>
            <w:vAlign w:val="bottom"/>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73"/>
        </w:trPr>
        <w:tc>
          <w:tcPr>
            <w:tcW w:w="27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liabilities at fair value</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534.3</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465.0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69.3</w:t>
            </w:r>
          </w:p>
        </w:tc>
        <w:tc>
          <w:tcPr>
            <w:tcW w:w="3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73"/>
        </w:trPr>
        <w:tc>
          <w:tcPr>
            <w:tcW w:w="27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 Value as of December 31, 2018</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7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2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220" w:type="dxa"/>
            <w:vAlign w:val="bottom"/>
          </w:tcPr>
          <w:p>
            <w:pPr>
              <w:spacing w:after="0"/>
              <w:rPr>
                <w:sz w:val="23"/>
                <w:szCs w:val="23"/>
                <w:color w:val="auto"/>
              </w:rPr>
            </w:pPr>
          </w:p>
        </w:tc>
        <w:tc>
          <w:tcPr>
            <w:tcW w:w="11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340" w:type="dxa"/>
            <w:vAlign w:val="bottom"/>
          </w:tcPr>
          <w:p>
            <w:pPr>
              <w:spacing w:after="0"/>
              <w:rPr>
                <w:sz w:val="23"/>
                <w:szCs w:val="23"/>
                <w:color w:val="auto"/>
              </w:rPr>
            </w:pPr>
          </w:p>
        </w:tc>
        <w:tc>
          <w:tcPr>
            <w:tcW w:w="11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Cash</w:t>
            </w:r>
          </w:p>
        </w:tc>
        <w:tc>
          <w:tcPr>
            <w:tcW w:w="240" w:type="dxa"/>
            <w:vAlign w:val="bottom"/>
          </w:tcPr>
          <w:p>
            <w:pPr>
              <w:spacing w:after="0"/>
              <w:rPr>
                <w:sz w:val="23"/>
                <w:szCs w:val="23"/>
                <w:color w:val="auto"/>
              </w:rPr>
            </w:pP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7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Offset</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Presented</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Right of Offset</w:t>
            </w: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269"/>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Commodities contracts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841.2</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646.0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195.1</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192.1</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0.9</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304"/>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845.8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647.0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198.8</w:t>
            </w:r>
          </w:p>
        </w:tc>
        <w:tc>
          <w:tcPr>
            <w:tcW w:w="3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195.8</w:t>
            </w:r>
          </w:p>
        </w:tc>
        <w:tc>
          <w:tcPr>
            <w:tcW w:w="0" w:type="dxa"/>
            <w:vAlign w:val="bottom"/>
          </w:tcPr>
          <w:p>
            <w:pPr>
              <w:spacing w:after="0"/>
              <w:rPr>
                <w:sz w:val="1"/>
                <w:szCs w:val="1"/>
                <w:color w:val="auto"/>
              </w:rPr>
            </w:pPr>
          </w:p>
        </w:tc>
      </w:tr>
      <w:tr>
        <w:trPr>
          <w:trHeight w:val="310"/>
        </w:trPr>
        <w:tc>
          <w:tcPr>
            <w:tcW w:w="2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Commodities contracts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767.9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121.9</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121.9</w:t>
            </w:r>
          </w:p>
        </w:tc>
        <w:tc>
          <w:tcPr>
            <w:tcW w:w="0" w:type="dxa"/>
            <w:vAlign w:val="bottom"/>
          </w:tcPr>
          <w:p>
            <w:pPr>
              <w:spacing w:after="0"/>
              <w:rPr>
                <w:sz w:val="1"/>
                <w:szCs w:val="1"/>
                <w:color w:val="auto"/>
              </w:rPr>
            </w:pPr>
          </w:p>
        </w:tc>
      </w:tr>
      <w:tr>
        <w:trPr>
          <w:trHeight w:val="265"/>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0.9</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liabilities at fair value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769.1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647.0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122.2</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122.2</w:t>
            </w: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2019 and December 31, 2018, we did not present any amounts gross on our consolidated balance sheet where we had the right of offset.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individual over-the-counter (OTC) counterparty exposure is managed within predetermined credit limits and includes the use of cash-call margins when appropriate, thereby reducing the risk of significant nonperformance. At March 31, 2019, none of our counterparties represented over 10% of our credit exposure to OTC derivative counterparties.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income tax provision for the periods presented and the respective effective income tax rates for such periods are as follows (in millions, except for income tax rates):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320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00" w:type="dxa"/>
            <w:vAlign w:val="bottom"/>
          </w:tcPr>
          <w:p>
            <w:pPr>
              <w:spacing w:after="0"/>
              <w:rPr>
                <w:sz w:val="16"/>
                <w:szCs w:val="16"/>
                <w:color w:val="auto"/>
              </w:rPr>
            </w:pPr>
          </w:p>
        </w:tc>
      </w:tr>
      <w:tr>
        <w:trPr>
          <w:trHeight w:val="275"/>
        </w:trPr>
        <w:tc>
          <w:tcPr>
            <w:tcW w:w="7620" w:type="dxa"/>
            <w:vAlign w:val="bottom"/>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2"/>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23"/>
                <w:szCs w:val="23"/>
                <w:color w:val="auto"/>
              </w:rPr>
            </w:pPr>
          </w:p>
        </w:tc>
      </w:tr>
      <w:tr>
        <w:trPr>
          <w:trHeight w:val="264"/>
        </w:trPr>
        <w:tc>
          <w:tcPr>
            <w:tcW w:w="76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r>
      <w:tr>
        <w:trPr>
          <w:trHeight w:val="264"/>
        </w:trPr>
        <w:tc>
          <w:tcPr>
            <w:tcW w:w="76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provision</w:t>
            </w:r>
          </w:p>
        </w:tc>
        <w:tc>
          <w:tcPr>
            <w:tcW w:w="1260" w:type="dxa"/>
            <w:vAlign w:val="bottom"/>
            <w:tcBorders>
              <w:bottom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14.0</w:t>
            </w:r>
          </w:p>
        </w:tc>
        <w:tc>
          <w:tcPr>
            <w:tcW w:w="1300" w:type="dxa"/>
            <w:vAlign w:val="bottom"/>
            <w:tcBorders>
              <w:bottom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7.3</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69"/>
        </w:trPr>
        <w:tc>
          <w:tcPr>
            <w:tcW w:w="76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r>
      <w:tr>
        <w:trPr>
          <w:trHeight w:val="259"/>
        </w:trPr>
        <w:tc>
          <w:tcPr>
            <w:tcW w:w="76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1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27.3%</w:t>
            </w:r>
          </w:p>
        </w:tc>
        <w:tc>
          <w:tcPr>
            <w:tcW w:w="13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provision for income taxes for the three months ended March 31, 2019 was $14.0 million, resulting in an effective income tax rate of 27.3%. The provision includes a $3.2 million discrete tax benefit that should have been recognized in a prior period</w:t>
      </w:r>
    </w:p>
    <w:p>
      <w:pPr>
        <w:sectPr>
          <w:pgSz w:w="11900" w:h="16838" w:orient="portrait"/>
          <w:cols w:equalWidth="0" w:num="1">
            <w:col w:w="11420"/>
          </w:cols>
          <w:pgMar w:left="240" w:top="121" w:right="239" w:bottom="968"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968"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which, together with certain other discrete tax items, resulted in a net income tax benefit of $2.8 million for the period. Without the $2.8 million in discrete items, the effective income tax rate would have been 32.8% for the three months ended March 31, 2019. See Note 1 - Basis of Presentation and Significant Accounting Policies for additional information.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provision for income taxes for the three months ended March 31, 2018 was $7.3 million resulting in an effective tax rate of 19%. Our provision for income taxes was adjusted for an income tax benefit of $4.9 million, net, for discrete items related to changes in estimates in uncertain tax positions, an adjustment for stock-based compensation, and changes in the valuation allowance in various jurisdictions. Without the $4.9 million in discrete items, the effective income tax rate would have been 31.7% for the three months ended March 31, 2018.</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provision for income taxes for the three months ended March 31, 2019 and 2018 was calculated based on the estimated annual effective income tax rate for the 2019 and 2018 fiscal years. The actual effective income tax rate for the 2019 fiscal year may be materially different as a result of differences between estimated versus actual results and the geographic tax jurisdictions in which the results are earned.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various income tax returns under examination both in the U.S. and foreign jurisdictions. The most significant of these are in South Korea for the 2011 to 2014 tax years, Denmark for the 2013 to 2015 tax years and the U.S. for the 2013 to 2016 tax years. In 2016, the South Korean branch of one of our subsidiaries received income tax assessment notices for the years 2011 to 2014 totaling $9.9 million (KRW 11.3 billion). We believe that these assessments are without merit and are currently appealing the actions. In addition, during the quarter ended March 31, 2018, one of our Danish subsidiaries received an audit inquiry from the Danish tax authority relating to transfer pricing and related issues for the tax years 2013 to 2015. We have been responding to the request and related questions and in April 2019, we received a proposed tax adjustment for the 2013 tax year which is not material. We believe that the proposed adjustment is without merit and intend to defend our positions. Finally, in 2017, we received a notice of examination from the U.S. Internal Revenue Service for the 2013 to 2016 tax years and we are currently responding to the request.</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unfavorable resolution of one or more of the above matters could have a material adverse effect on our results of operations or cash flows in the quarter and year in which an adjustment is recorded or the tax is due or paid. As audits and examinations are still in process or we have not yet reached the final stages of the appeals process, the timing of the ultimate resolution and any payments that may be required for the above matters cannot be determined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 from Contracts with Customers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contracts with customers primarily require us to deliver fuel and fuel-related products, while other arrangements require us to complete agreed-upon services. Revenue from the sale of fuel is recognized when our customers obtain control of the fuel, which is typically upon delivery of each promised gallon or barrel to an agreed-upon delivery point. We generally recognize revenue for services provided over the contract period when services have been performed based on our right to invoice for those services.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contracts may contain fixed or variable pricing (such as market or index-based pricing) or some combination of those. Within our land and aviation segments, contracts with customers may include multi-year sales contracts, which are priced at market-based indices and require minimum volume purchase commitments from our customers. The consideration expected from these contracts is considered variable due to the market-based pricing and the variability is not resolved until delivery is made to our customers. We have elected to apply the optional exemption from estimating and disclosing the variable consideration from our remaining performance obligations under these contracts.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fixed price fuel and fuel-related product sale contracts with a contract term of less than one year (typically one month). For these contracts, we apply the optional exemption, to not disclose the amount of transaction price allocated to remaining performance obligations. We also apply this exemption to those contracts in which the right to consideration corresponds directly with the value to the customer of the entity's performance to date. In limited cases, we may have multi-period fixed price contracts. Because our long-term supply arrangements that exceed one year are typically based on market index prices as previously discussed, the transaction price associated with remaining performance obligations under multi-year fixed price fuel sale contracts are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revenues from contracts with customers disaggregated by major geographic areas we conduct business in. Prior period amounts have not been adjusted under the modified retrospective method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10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60" w:type="dxa"/>
            <w:vAlign w:val="bottom"/>
          </w:tcPr>
          <w:p>
            <w:pPr>
              <w:spacing w:after="0"/>
              <w:rPr>
                <w:sz w:val="16"/>
                <w:szCs w:val="16"/>
                <w:color w:val="auto"/>
              </w:rPr>
            </w:pPr>
          </w:p>
        </w:tc>
      </w:tr>
      <w:tr>
        <w:trPr>
          <w:trHeight w:val="275"/>
        </w:trPr>
        <w:tc>
          <w:tcPr>
            <w:tcW w:w="766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2"/>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23"/>
                <w:szCs w:val="23"/>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69"/>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Aviation</w:t>
            </w:r>
          </w:p>
        </w:tc>
        <w:tc>
          <w:tcPr>
            <w:tcW w:w="118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364.4</w:t>
            </w:r>
          </w:p>
        </w:tc>
        <w:tc>
          <w:tcPr>
            <w:tcW w:w="12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392.0</w:t>
            </w:r>
          </w:p>
        </w:tc>
      </w:tr>
      <w:tr>
        <w:trPr>
          <w:trHeight w:val="265"/>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Land</w:t>
            </w:r>
          </w:p>
        </w:tc>
        <w:tc>
          <w:tcPr>
            <w:tcW w:w="118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2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r>
      <w:tr>
        <w:trPr>
          <w:trHeight w:val="270"/>
        </w:trPr>
        <w:tc>
          <w:tcPr>
            <w:tcW w:w="7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Marine</w:t>
            </w:r>
          </w:p>
        </w:tc>
        <w:tc>
          <w:tcPr>
            <w:tcW w:w="1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708.9</w:t>
            </w:r>
          </w:p>
        </w:tc>
        <w:tc>
          <w:tcPr>
            <w:tcW w:w="1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799.6</w:t>
            </w:r>
          </w:p>
        </w:tc>
      </w:tr>
      <w:tr>
        <w:trPr>
          <w:trHeight w:val="264"/>
        </w:trPr>
        <w:tc>
          <w:tcPr>
            <w:tcW w:w="7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Asia Pacific</w:t>
            </w:r>
          </w:p>
        </w:tc>
        <w:tc>
          <w:tcPr>
            <w:tcW w:w="118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1,078.1</w:t>
            </w:r>
          </w:p>
        </w:tc>
        <w:tc>
          <w:tcPr>
            <w:tcW w:w="12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1,192.7</w:t>
            </w:r>
          </w:p>
        </w:tc>
      </w:tr>
      <w:tr>
        <w:trPr>
          <w:trHeight w:val="289"/>
        </w:trPr>
        <w:tc>
          <w:tcPr>
            <w:tcW w:w="76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r>
      <w:tr>
        <w:trPr>
          <w:trHeight w:val="259"/>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Aviation</w:t>
            </w:r>
          </w:p>
        </w:tc>
        <w:tc>
          <w:tcPr>
            <w:tcW w:w="118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719.1</w:t>
            </w:r>
          </w:p>
        </w:tc>
        <w:tc>
          <w:tcPr>
            <w:tcW w:w="12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670.0</w:t>
            </w:r>
          </w:p>
        </w:tc>
      </w:tr>
      <w:tr>
        <w:trPr>
          <w:trHeight w:val="275"/>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Land</w:t>
            </w:r>
          </w:p>
        </w:tc>
        <w:tc>
          <w:tcPr>
            <w:tcW w:w="1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640.5</w:t>
            </w:r>
          </w:p>
        </w:tc>
        <w:tc>
          <w:tcPr>
            <w:tcW w:w="1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679.8</w:t>
            </w:r>
          </w:p>
        </w:tc>
      </w:tr>
      <w:tr>
        <w:trPr>
          <w:trHeight w:val="265"/>
        </w:trPr>
        <w:tc>
          <w:tcPr>
            <w:tcW w:w="7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Marine</w:t>
            </w:r>
          </w:p>
        </w:tc>
        <w:tc>
          <w:tcPr>
            <w:tcW w:w="1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654.7</w:t>
            </w:r>
          </w:p>
        </w:tc>
        <w:tc>
          <w:tcPr>
            <w:tcW w:w="1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637.4</w:t>
            </w:r>
          </w:p>
        </w:tc>
      </w:tr>
      <w:tr>
        <w:trPr>
          <w:trHeight w:val="269"/>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EMEA</w:t>
            </w:r>
          </w:p>
        </w:tc>
        <w:tc>
          <w:tcPr>
            <w:tcW w:w="118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2,014.3</w:t>
            </w:r>
          </w:p>
        </w:tc>
        <w:tc>
          <w:tcPr>
            <w:tcW w:w="12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1,987.2</w:t>
            </w:r>
          </w:p>
        </w:tc>
      </w:tr>
      <w:tr>
        <w:trPr>
          <w:trHeight w:val="284"/>
        </w:trPr>
        <w:tc>
          <w:tcPr>
            <w:tcW w:w="76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64"/>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Aviation</w:t>
            </w:r>
          </w:p>
        </w:tc>
        <w:tc>
          <w:tcPr>
            <w:tcW w:w="118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545.7</w:t>
            </w:r>
          </w:p>
        </w:tc>
        <w:tc>
          <w:tcPr>
            <w:tcW w:w="12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490.2</w:t>
            </w:r>
          </w:p>
        </w:tc>
      </w:tr>
      <w:tr>
        <w:trPr>
          <w:trHeight w:val="265"/>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Land</w:t>
            </w:r>
          </w:p>
        </w:tc>
        <w:tc>
          <w:tcPr>
            <w:tcW w:w="118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138.9</w:t>
            </w:r>
          </w:p>
        </w:tc>
        <w:tc>
          <w:tcPr>
            <w:tcW w:w="12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184.2</w:t>
            </w:r>
          </w:p>
        </w:tc>
      </w:tr>
      <w:tr>
        <w:trPr>
          <w:trHeight w:val="270"/>
        </w:trPr>
        <w:tc>
          <w:tcPr>
            <w:tcW w:w="7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Marine</w:t>
            </w:r>
          </w:p>
        </w:tc>
        <w:tc>
          <w:tcPr>
            <w:tcW w:w="1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191.4</w:t>
            </w:r>
          </w:p>
        </w:tc>
        <w:tc>
          <w:tcPr>
            <w:tcW w:w="1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155.2</w:t>
            </w:r>
          </w:p>
        </w:tc>
      </w:tr>
      <w:tr>
        <w:trPr>
          <w:trHeight w:val="264"/>
        </w:trPr>
        <w:tc>
          <w:tcPr>
            <w:tcW w:w="7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LATAM</w:t>
            </w:r>
          </w:p>
        </w:tc>
        <w:tc>
          <w:tcPr>
            <w:tcW w:w="118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876.0</w:t>
            </w:r>
          </w:p>
        </w:tc>
        <w:tc>
          <w:tcPr>
            <w:tcW w:w="12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829.7</w:t>
            </w:r>
          </w:p>
        </w:tc>
      </w:tr>
      <w:tr>
        <w:trPr>
          <w:trHeight w:val="275"/>
        </w:trPr>
        <w:tc>
          <w:tcPr>
            <w:tcW w:w="76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r>
      <w:tr>
        <w:trPr>
          <w:trHeight w:val="259"/>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Aviation</w:t>
            </w:r>
          </w:p>
        </w:tc>
        <w:tc>
          <w:tcPr>
            <w:tcW w:w="118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2,648.0</w:t>
            </w:r>
          </w:p>
        </w:tc>
        <w:tc>
          <w:tcPr>
            <w:tcW w:w="12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2,763.0</w:t>
            </w:r>
          </w:p>
        </w:tc>
      </w:tr>
      <w:tr>
        <w:trPr>
          <w:trHeight w:val="275"/>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Land</w:t>
            </w:r>
          </w:p>
        </w:tc>
        <w:tc>
          <w:tcPr>
            <w:tcW w:w="1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1,634.4</w:t>
            </w:r>
          </w:p>
        </w:tc>
        <w:tc>
          <w:tcPr>
            <w:tcW w:w="1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1,958.3</w:t>
            </w:r>
          </w:p>
        </w:tc>
      </w:tr>
      <w:tr>
        <w:trPr>
          <w:trHeight w:val="265"/>
        </w:trPr>
        <w:tc>
          <w:tcPr>
            <w:tcW w:w="7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Marine</w:t>
            </w:r>
          </w:p>
        </w:tc>
        <w:tc>
          <w:tcPr>
            <w:tcW w:w="1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334.5</w:t>
            </w:r>
          </w:p>
        </w:tc>
        <w:tc>
          <w:tcPr>
            <w:tcW w:w="1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279.9</w:t>
            </w:r>
          </w:p>
        </w:tc>
      </w:tr>
      <w:tr>
        <w:trPr>
          <w:trHeight w:val="269"/>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4,616.9</w:t>
            </w:r>
          </w:p>
        </w:tc>
        <w:tc>
          <w:tcPr>
            <w:tcW w:w="12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5,001.2</w:t>
            </w:r>
          </w:p>
        </w:tc>
      </w:tr>
      <w:tr>
        <w:trPr>
          <w:trHeight w:val="284"/>
        </w:trPr>
        <w:tc>
          <w:tcPr>
            <w:tcW w:w="7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revenues (excluded from ASC 606)</w:t>
            </w:r>
          </w:p>
        </w:tc>
        <w:tc>
          <w:tcPr>
            <w:tcW w:w="118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93.5</w:t>
            </w:r>
          </w:p>
        </w:tc>
        <w:tc>
          <w:tcPr>
            <w:tcW w:w="12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170.6</w:t>
            </w:r>
          </w:p>
        </w:tc>
      </w:tr>
      <w:tr>
        <w:trPr>
          <w:trHeight w:val="284"/>
        </w:trPr>
        <w:tc>
          <w:tcPr>
            <w:tcW w:w="76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59"/>
        </w:trPr>
        <w:tc>
          <w:tcPr>
            <w:tcW w:w="76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8,678.8</w:t>
            </w:r>
          </w:p>
        </w:tc>
        <w:tc>
          <w:tcPr>
            <w:tcW w:w="1240" w:type="dxa"/>
            <w:vAlign w:val="bottom"/>
            <w:tcBorders>
              <w:bottom w:val="single" w:sz="8" w:color="auto"/>
            </w:tcBorders>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9,181.3</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revenues (excluded from ASC 606) in the table above includes revenue from leases and other transactions that we account for following separate guidance. Our contract assets and liabilities balances, and the changes in these balances, were not material for the three months ended March 31, 2019.</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nature of the receivables related to revenue from contracts with customers and other revenue are substantially similar, given that they are generated from transactions with the same type of counterparties (e.g., separate fuel sales and storage lease with the same counterparty) and are entered into considering the same credit approval and monitoring procedures for all customers. As such, we believe the risk associated with the cash flows from the different types of receivables is not meaningful to separately disaggregate the accounts receivable balance presented on our Consolidated Balance Sheet. Furthermore, the contract assets and contract liabilities recognized by the Company were not material.</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Business Segments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operate in three reportable segments consisting of aviation, land and marine. Corporate expenses are allocated to the segments based on usage, where possible, or on other factors according to the nature of the activity. Our operating segments are determined based on the different markets in which we provide products and services, which are defined primarily by the customers and the products and services provided to those customers. Accordingly, our aviation, land and marine segments are organized based on the specific markets their functional business components serve, which are primarily businesses and governmental customers operating in those respective markets.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our aviation segment, we offer fuel and related products and services to major commercial airlines, second and third-tier airlines, cargo carriers, regional and low cost carriers, airports, fixed based operators, corporate fleets, fractional operators, private aircraft. In addition, we supply products and services to U.S. and foreign government, intergovernmental and military customers, such as the North Atlantic Treaty Organization (NATO) and the U.S. Defense Logistics Agency.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Within each of our segments, we may enter into derivative contracts to mitigate the risk of market price fluctuations and also to offer our customers fuel pricing alternatives to meet their needs.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concerning our revenue, gross profit and income from operations by segment is as follows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320" w:type="dxa"/>
            <w:vAlign w:val="bottom"/>
            <w:gridSpan w:val="3"/>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70"/>
        </w:trPr>
        <w:tc>
          <w:tcPr>
            <w:tcW w:w="490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0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Pr>
          <w:p>
            <w:pPr>
              <w:spacing w:after="0"/>
              <w:rPr>
                <w:sz w:val="23"/>
                <w:szCs w:val="23"/>
                <w:color w:val="auto"/>
              </w:rPr>
            </w:pPr>
          </w:p>
        </w:tc>
      </w:tr>
      <w:tr>
        <w:trPr>
          <w:trHeight w:val="51"/>
        </w:trPr>
        <w:tc>
          <w:tcPr>
            <w:tcW w:w="490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59"/>
        </w:trPr>
        <w:tc>
          <w:tcPr>
            <w:tcW w:w="4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3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Aviation segment</w:t>
            </w:r>
          </w:p>
        </w:tc>
        <w:tc>
          <w:tcPr>
            <w:tcW w:w="32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4,252.7</w:t>
            </w:r>
          </w:p>
        </w:tc>
        <w:tc>
          <w:tcPr>
            <w:tcW w:w="58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4,292.9</w:t>
            </w:r>
          </w:p>
        </w:tc>
      </w:tr>
      <w:tr>
        <w:trPr>
          <w:trHeight w:val="265"/>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Land segment</w:t>
            </w:r>
          </w:p>
        </w:tc>
        <w:tc>
          <w:tcPr>
            <w:tcW w:w="3200" w:type="dxa"/>
            <w:vAlign w:val="bottom"/>
          </w:tcPr>
          <w:p>
            <w:pPr>
              <w:spacing w:after="0"/>
              <w:rPr>
                <w:sz w:val="23"/>
                <w:szCs w:val="23"/>
                <w:color w:val="auto"/>
              </w:rPr>
            </w:pP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2,493.6</w:t>
            </w:r>
          </w:p>
        </w:tc>
        <w:tc>
          <w:tcPr>
            <w:tcW w:w="5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2,860.7</w:t>
            </w:r>
          </w:p>
        </w:tc>
      </w:tr>
      <w:tr>
        <w:trPr>
          <w:trHeight w:val="270"/>
        </w:trPr>
        <w:tc>
          <w:tcPr>
            <w:tcW w:w="49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Marine segment</w:t>
            </w:r>
          </w:p>
        </w:tc>
        <w:tc>
          <w:tcPr>
            <w:tcW w:w="32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1,932.5</w:t>
            </w:r>
          </w:p>
        </w:tc>
        <w:tc>
          <w:tcPr>
            <w:tcW w:w="5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2,027.7</w:t>
            </w:r>
          </w:p>
        </w:tc>
      </w:tr>
      <w:tr>
        <w:trPr>
          <w:trHeight w:val="304"/>
        </w:trPr>
        <w:tc>
          <w:tcPr>
            <w:tcW w:w="49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8,678.8</w:t>
            </w:r>
          </w:p>
        </w:tc>
        <w:tc>
          <w:tcPr>
            <w:tcW w:w="5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9,181.3</w:t>
            </w:r>
          </w:p>
        </w:tc>
      </w:tr>
      <w:tr>
        <w:trPr>
          <w:trHeight w:val="310"/>
        </w:trPr>
        <w:tc>
          <w:tcPr>
            <w:tcW w:w="4900" w:type="dxa"/>
            <w:vAlign w:val="bottom"/>
            <w:shd w:val="clear" w:color="auto" w:fill="CCEEFF"/>
          </w:tcPr>
          <w:p>
            <w:pPr>
              <w:spacing w:after="0"/>
              <w:rPr>
                <w:sz w:val="24"/>
                <w:szCs w:val="24"/>
                <w:color w:val="auto"/>
              </w:rPr>
            </w:pPr>
          </w:p>
        </w:tc>
        <w:tc>
          <w:tcPr>
            <w:tcW w:w="32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5"/>
        </w:trPr>
        <w:tc>
          <w:tcPr>
            <w:tcW w:w="4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3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Aviation segment</w:t>
            </w:r>
          </w:p>
        </w:tc>
        <w:tc>
          <w:tcPr>
            <w:tcW w:w="32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114.3</w:t>
            </w:r>
          </w:p>
        </w:tc>
        <w:tc>
          <w:tcPr>
            <w:tcW w:w="58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110.0</w:t>
            </w:r>
          </w:p>
        </w:tc>
      </w:tr>
      <w:tr>
        <w:trPr>
          <w:trHeight w:val="265"/>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Land segment</w:t>
            </w:r>
          </w:p>
        </w:tc>
        <w:tc>
          <w:tcPr>
            <w:tcW w:w="3200" w:type="dxa"/>
            <w:vAlign w:val="bottom"/>
          </w:tcPr>
          <w:p>
            <w:pPr>
              <w:spacing w:after="0"/>
              <w:rPr>
                <w:sz w:val="23"/>
                <w:szCs w:val="23"/>
                <w:color w:val="auto"/>
              </w:rPr>
            </w:pP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101.5</w:t>
            </w:r>
          </w:p>
        </w:tc>
        <w:tc>
          <w:tcPr>
            <w:tcW w:w="5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102.2</w:t>
            </w:r>
          </w:p>
        </w:tc>
      </w:tr>
      <w:tr>
        <w:trPr>
          <w:trHeight w:val="270"/>
        </w:trPr>
        <w:tc>
          <w:tcPr>
            <w:tcW w:w="49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Marine segment</w:t>
            </w:r>
          </w:p>
        </w:tc>
        <w:tc>
          <w:tcPr>
            <w:tcW w:w="32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35.2</w:t>
            </w:r>
          </w:p>
        </w:tc>
        <w:tc>
          <w:tcPr>
            <w:tcW w:w="5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31.2</w:t>
            </w:r>
          </w:p>
        </w:tc>
      </w:tr>
      <w:tr>
        <w:trPr>
          <w:trHeight w:val="304"/>
        </w:trPr>
        <w:tc>
          <w:tcPr>
            <w:tcW w:w="49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251.1</w:t>
            </w:r>
          </w:p>
        </w:tc>
        <w:tc>
          <w:tcPr>
            <w:tcW w:w="5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243.4</w:t>
            </w:r>
          </w:p>
        </w:tc>
      </w:tr>
      <w:tr>
        <w:trPr>
          <w:trHeight w:val="256"/>
        </w:trPr>
        <w:tc>
          <w:tcPr>
            <w:tcW w:w="4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from operations:</w:t>
            </w:r>
          </w:p>
        </w:tc>
        <w:tc>
          <w:tcPr>
            <w:tcW w:w="3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5"/>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Aviation segment</w:t>
            </w:r>
          </w:p>
        </w:tc>
        <w:tc>
          <w:tcPr>
            <w:tcW w:w="32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55.6</w:t>
            </w:r>
          </w:p>
        </w:tc>
        <w:tc>
          <w:tcPr>
            <w:tcW w:w="5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47.8</w:t>
            </w:r>
          </w:p>
        </w:tc>
      </w:tr>
      <w:tr>
        <w:trPr>
          <w:trHeight w:val="27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Land segment</w:t>
            </w:r>
          </w:p>
        </w:tc>
        <w:tc>
          <w:tcPr>
            <w:tcW w:w="3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21.0</w:t>
            </w: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19.6</w:t>
            </w:r>
          </w:p>
        </w:tc>
      </w:tr>
      <w:tr>
        <w:trPr>
          <w:trHeight w:val="265"/>
        </w:trPr>
        <w:tc>
          <w:tcPr>
            <w:tcW w:w="4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Marine segment</w:t>
            </w:r>
          </w:p>
        </w:tc>
        <w:tc>
          <w:tcPr>
            <w:tcW w:w="3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13.5</w:t>
            </w:r>
          </w:p>
        </w:tc>
        <w:tc>
          <w:tcPr>
            <w:tcW w:w="5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8.6</w:t>
            </w:r>
          </w:p>
        </w:tc>
      </w:tr>
      <w:tr>
        <w:trPr>
          <w:trHeight w:val="269"/>
        </w:trPr>
        <w:tc>
          <w:tcPr>
            <w:tcW w:w="4900" w:type="dxa"/>
            <w:vAlign w:val="bottom"/>
            <w:shd w:val="clear" w:color="auto" w:fill="CCEEFF"/>
          </w:tcPr>
          <w:p>
            <w:pPr>
              <w:spacing w:after="0"/>
              <w:rPr>
                <w:sz w:val="23"/>
                <w:szCs w:val="23"/>
                <w:color w:val="auto"/>
              </w:rPr>
            </w:pPr>
          </w:p>
        </w:tc>
        <w:tc>
          <w:tcPr>
            <w:tcW w:w="3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90.1</w:t>
            </w: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75.9</w:t>
            </w:r>
          </w:p>
        </w:tc>
      </w:tr>
      <w:tr>
        <w:trPr>
          <w:trHeight w:val="265"/>
        </w:trPr>
        <w:tc>
          <w:tcPr>
            <w:tcW w:w="4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Corporate overhead - unallocated</w:t>
            </w:r>
          </w:p>
        </w:tc>
        <w:tc>
          <w:tcPr>
            <w:tcW w:w="3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(19.7)</w:t>
            </w:r>
          </w:p>
        </w:tc>
        <w:tc>
          <w:tcPr>
            <w:tcW w:w="5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264"/>
        </w:trPr>
        <w:tc>
          <w:tcPr>
            <w:tcW w:w="4900" w:type="dxa"/>
            <w:vAlign w:val="bottom"/>
            <w:tcBorders>
              <w:bottom w:val="single" w:sz="8" w:color="auto"/>
            </w:tcBorders>
            <w:shd w:val="clear" w:color="auto" w:fill="CCEEFF"/>
          </w:tcPr>
          <w:p>
            <w:pPr>
              <w:spacing w:after="0"/>
              <w:rPr>
                <w:sz w:val="22"/>
                <w:szCs w:val="22"/>
                <w:color w:val="auto"/>
              </w:rPr>
            </w:pPr>
          </w:p>
        </w:tc>
        <w:tc>
          <w:tcPr>
            <w:tcW w:w="320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70.4</w:t>
            </w:r>
          </w:p>
        </w:tc>
        <w:tc>
          <w:tcPr>
            <w:tcW w:w="58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57.2</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concerning our accounts receivable, net and total assets by segment is as follows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20" w:type="dxa"/>
            <w:vAlign w:val="bottom"/>
            <w:tcBorders>
              <w:bottom w:val="single" w:sz="8" w:color="auto"/>
            </w:tcBorders>
          </w:tcPr>
          <w:p>
            <w:pPr>
              <w:spacing w:after="0"/>
              <w:rPr>
                <w:sz w:val="16"/>
                <w:szCs w:val="16"/>
                <w:color w:val="auto"/>
              </w:rPr>
            </w:pPr>
          </w:p>
        </w:tc>
      </w:tr>
      <w:tr>
        <w:trPr>
          <w:trHeight w:val="259"/>
        </w:trPr>
        <w:tc>
          <w:tcPr>
            <w:tcW w:w="76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76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2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5"/>
        </w:trPr>
        <w:tc>
          <w:tcPr>
            <w:tcW w:w="7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Aviation segment, net of allowance for bad debt of $13.5 and $17.7 as of March 31, 2019 and December 31, 2018, respectively</w:t>
            </w:r>
          </w:p>
        </w:tc>
        <w:tc>
          <w:tcPr>
            <w:tcW w:w="128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976.8</w:t>
            </w:r>
          </w:p>
        </w:tc>
        <w:tc>
          <w:tcPr>
            <w:tcW w:w="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992.2</w:t>
            </w:r>
          </w:p>
        </w:tc>
      </w:tr>
      <w:tr>
        <w:trPr>
          <w:trHeight w:val="275"/>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Land segment, net of allowance for bad debt of $2.7 and $2.7 as of March 31, 2019 and December 31, 2018, respectively</w:t>
            </w:r>
          </w:p>
        </w:tc>
        <w:tc>
          <w:tcPr>
            <w:tcW w:w="12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941.5</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846.1</w:t>
            </w:r>
          </w:p>
        </w:tc>
      </w:tr>
      <w:tr>
        <w:trPr>
          <w:trHeight w:val="265"/>
        </w:trPr>
        <w:tc>
          <w:tcPr>
            <w:tcW w:w="7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Marine segment, net of allowance for bad debt of $18.8 and $19.0 as of March 31, 2019 and December 31, 2018, respectively</w:t>
            </w:r>
          </w:p>
        </w:tc>
        <w:tc>
          <w:tcPr>
            <w:tcW w:w="12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810.4</w:t>
            </w:r>
          </w:p>
        </w:tc>
        <w:tc>
          <w:tcPr>
            <w:tcW w:w="5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901.2</w:t>
            </w: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2,728.7</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2,739.6</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5"/>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Aviation segment</w:t>
            </w:r>
          </w:p>
        </w:tc>
        <w:tc>
          <w:tcPr>
            <w:tcW w:w="1280" w:type="dxa"/>
            <w:vAlign w:val="bottom"/>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2,283.7</w:t>
            </w:r>
          </w:p>
        </w:tc>
        <w:tc>
          <w:tcPr>
            <w:tcW w:w="5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2,261.0</w:t>
            </w:r>
          </w:p>
        </w:tc>
      </w:tr>
      <w:tr>
        <w:trPr>
          <w:trHeight w:val="265"/>
        </w:trPr>
        <w:tc>
          <w:tcPr>
            <w:tcW w:w="7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Land segment</w:t>
            </w:r>
          </w:p>
        </w:tc>
        <w:tc>
          <w:tcPr>
            <w:tcW w:w="12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2,208.0</w:t>
            </w:r>
          </w:p>
        </w:tc>
        <w:tc>
          <w:tcPr>
            <w:tcW w:w="50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2,178.1</w:t>
            </w:r>
          </w:p>
        </w:tc>
      </w:tr>
      <w:tr>
        <w:trPr>
          <w:trHeight w:val="275"/>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Marine segment</w:t>
            </w:r>
          </w:p>
        </w:tc>
        <w:tc>
          <w:tcPr>
            <w:tcW w:w="12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1,057.8</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1,124.2</w:t>
            </w:r>
          </w:p>
        </w:tc>
      </w:tr>
      <w:tr>
        <w:trPr>
          <w:trHeight w:val="265"/>
        </w:trPr>
        <w:tc>
          <w:tcPr>
            <w:tcW w:w="7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Corporate</w:t>
            </w:r>
          </w:p>
        </w:tc>
        <w:tc>
          <w:tcPr>
            <w:tcW w:w="12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5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113.6</w:t>
            </w: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5,733.2</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5,676.9</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each of the periods presented on the consolidated statements of income and comprehensive income, none of our customers accounted for more than 10% of total consolidated revenue. Sales to government customers, which principally consist of sales to NATO in support of military operations in Afghanistan, have accounted for a material portion of our profitability in recent years. The profitability associated with our government business can be significantly impacted by supply disruptions, border closures, road blockages, hostility-related product losses, inventory shortages and other logistical difficulties that can arise when sourcing and delivering fuel in areas that are actively engaged in war or other military conflicts. Our sales to government customers may fluctuate significantly from time to time as a result of the foregoing factors, as well as the level of troop deployments and related activity in a particular region or area or the commencement, extension, renewal or completion of existing and new government contracts. See "Item 1A - Risk Factors” of our 2018 10-K Report.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Common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 for the periods presented (in millions,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200" w:type="dxa"/>
            <w:vAlign w:val="bottom"/>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766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2"/>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Numerator:</w:t>
            </w:r>
          </w:p>
        </w:tc>
        <w:tc>
          <w:tcPr>
            <w:tcW w:w="1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Net income attributable to World Fuel</w:t>
            </w:r>
          </w:p>
        </w:tc>
        <w:tc>
          <w:tcPr>
            <w:tcW w:w="1280" w:type="dxa"/>
            <w:vAlign w:val="bottom"/>
            <w:tcBorders>
              <w:bottom w:val="single" w:sz="8" w:color="auto"/>
            </w:tcBorders>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37.2</w:t>
            </w:r>
          </w:p>
        </w:tc>
        <w:tc>
          <w:tcPr>
            <w:tcW w:w="1340" w:type="dxa"/>
            <w:vAlign w:val="bottom"/>
            <w:tcBorders>
              <w:bottom w:val="single" w:sz="8" w:color="auto"/>
            </w:tcBorders>
          </w:tcPr>
          <w:p>
            <w:pPr>
              <w:jc w:val="right"/>
              <w:ind w:right="10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69"/>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Denominator:</w:t>
            </w:r>
          </w:p>
        </w:tc>
        <w:tc>
          <w:tcPr>
            <w:tcW w:w="1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Weighted average common shares for basic earnings per common share</w:t>
            </w:r>
          </w:p>
        </w:tc>
        <w:tc>
          <w:tcPr>
            <w:tcW w:w="128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67.1</w:t>
            </w:r>
          </w:p>
        </w:tc>
        <w:tc>
          <w:tcPr>
            <w:tcW w:w="134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270"/>
        </w:trPr>
        <w:tc>
          <w:tcPr>
            <w:tcW w:w="76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12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13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304"/>
        </w:trPr>
        <w:tc>
          <w:tcPr>
            <w:tcW w:w="7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Weighted average common shares for diluted earnings per common share</w:t>
            </w:r>
          </w:p>
        </w:tc>
        <w:tc>
          <w:tcPr>
            <w:tcW w:w="1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67.4</w:t>
            </w:r>
          </w:p>
        </w:tc>
        <w:tc>
          <w:tcPr>
            <w:tcW w:w="1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67.9</w:t>
            </w:r>
          </w:p>
        </w:tc>
        <w:tc>
          <w:tcPr>
            <w:tcW w:w="0" w:type="dxa"/>
            <w:vAlign w:val="bottom"/>
          </w:tcPr>
          <w:p>
            <w:pPr>
              <w:spacing w:after="0"/>
              <w:rPr>
                <w:sz w:val="1"/>
                <w:szCs w:val="1"/>
                <w:color w:val="auto"/>
              </w:rPr>
            </w:pPr>
          </w:p>
        </w:tc>
      </w:tr>
      <w:tr>
        <w:trPr>
          <w:trHeight w:val="310"/>
        </w:trPr>
        <w:tc>
          <w:tcPr>
            <w:tcW w:w="76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66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Weighted average securities which are not included in the calculation of diluted earnings per common share because their impact</w:t>
            </w:r>
          </w:p>
        </w:tc>
        <w:tc>
          <w:tcPr>
            <w:tcW w:w="1280" w:type="dxa"/>
            <w:vAlign w:val="bottom"/>
          </w:tcPr>
          <w:p>
            <w:pPr>
              <w:spacing w:after="0"/>
              <w:rPr>
                <w:sz w:val="13"/>
                <w:szCs w:val="13"/>
                <w:color w:val="auto"/>
              </w:rPr>
            </w:pP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340" w:type="dxa"/>
            <w:vAlign w:val="bottom"/>
          </w:tcPr>
          <w:p>
            <w:pPr>
              <w:spacing w:after="0"/>
              <w:rPr>
                <w:sz w:val="13"/>
                <w:szCs w:val="13"/>
                <w:color w:val="auto"/>
              </w:rPr>
            </w:pPr>
          </w:p>
        </w:tc>
        <w:tc>
          <w:tcPr>
            <w:tcW w:w="5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33"/>
        </w:trPr>
        <w:tc>
          <w:tcPr>
            <w:tcW w:w="7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 anti-dilutive or their performance conditions have not been met</w:t>
            </w:r>
          </w:p>
        </w:tc>
        <w:tc>
          <w:tcPr>
            <w:tcW w:w="1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6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7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1280" w:type="dxa"/>
            <w:vAlign w:val="bottom"/>
            <w:tcBorders>
              <w:bottom w:val="single" w:sz="8" w:color="auto"/>
            </w:tcBorders>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0.55</w:t>
            </w:r>
          </w:p>
        </w:tc>
        <w:tc>
          <w:tcPr>
            <w:tcW w:w="1340" w:type="dxa"/>
            <w:vAlign w:val="bottom"/>
            <w:tcBorders>
              <w:bottom w:val="single" w:sz="8" w:color="auto"/>
            </w:tcBorders>
          </w:tcPr>
          <w:p>
            <w:pPr>
              <w:jc w:val="right"/>
              <w:ind w:right="10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r>
        <w:trPr>
          <w:trHeight w:val="256"/>
        </w:trPr>
        <w:tc>
          <w:tcPr>
            <w:tcW w:w="76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1280" w:type="dxa"/>
            <w:vAlign w:val="bottom"/>
            <w:tcBorders>
              <w:bottom w:val="single" w:sz="8" w:color="auto"/>
            </w:tcBorders>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0.55</w:t>
            </w:r>
          </w:p>
        </w:tc>
        <w:tc>
          <w:tcPr>
            <w:tcW w:w="1340" w:type="dxa"/>
            <w:vAlign w:val="bottom"/>
            <w:tcBorders>
              <w:bottom w:val="single" w:sz="8" w:color="auto"/>
            </w:tcBorders>
          </w:tcPr>
          <w:p>
            <w:pPr>
              <w:jc w:val="right"/>
              <w:ind w:right="10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are under review by various domestic and foreign tax authorities with regard to indirect tax matters and are involved in various challenges and litigation in a number of countries, including, in particular, Brazil and South Korea, where the amounts under controversy may be material. We believe that these assessments are without merit and are currently appealing the actions.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quarter ended December 31, 2016, the South Korean branch of one of our subsidiaries received assessments of approximately $10.5 million (KRW 11.9 billion) and during the quarter ended June 30, 2017, an assessment for an additional $17.7 million (KRW 20.1 billion) from the regional tax authorities of Seoul, South Korea.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also involved in a number of tax disputes with federal, state and municipal tax authorities in Brazil, relating primarily to a VAT tax known as "ICMS". These disputes are at various stages of the legal process, including the administrative review phase and the collection action phase, and include assessments of fixed amounts of principal and penalties, plus interest. One of our Brazilian subsidiaries is currently appealing an assessment from the Brazilian tax authorities relating to the ICMS rate used for certain transactions. The total amount of approximately $13.9 million (BRL 54.1 million) primarily consists of interest and penalties. We believe that the assessment is without merit and are pursuing our remedies in the judicial court system.</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would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March 31, 2019, we had recorded certain reserves which were not material.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fourth quarter of 2017, we initiated an enterprise-wide restructuring plan that was designed to streamline the organization and reallocate resources to better align our organizational structure and costs with our strategy. While these activities are ongoing, we expect the majority of these activities to be completed in 2019. The restructuring plan involves reviewing non-core businesses and assets, our organizational structure, and expected business prospects in the markets we serve, as well as our existing technology platforms. Accordingly, based on the nature of the activities being reviewed, we cannot reasonably estimate the ultimate cost that will be incurred. We are currently assessing the strategic fit of certain international operations where it has become increasingly more challenging to conduct our core operations and generate profits.</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we incurred $1.8 million in restructuring charges, comprised principally of employee-related costs and included in compensation and employee benefits in our consolidated statements of income and comprehensive income. Our accrued restructuring charges as of March 31, 2019, are included in accrued expenses and other current liabilities on our consolidated balance sheet.</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our restructuring activities during the three months ended March 31, 2019 (in millions):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Aviation</w:t>
            </w: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Land</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5"/>
        </w:trPr>
        <w:tc>
          <w:tcPr>
            <w:tcW w:w="35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4"/>
                <w:szCs w:val="14"/>
                <w:color w:val="auto"/>
              </w:rPr>
              <w:t>Balance as of December 31, 2018</w:t>
            </w:r>
          </w:p>
        </w:tc>
        <w:tc>
          <w:tcPr>
            <w:tcW w:w="1440" w:type="dxa"/>
            <w:vAlign w:val="bottom"/>
            <w:shd w:val="clear" w:color="auto" w:fill="CCED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D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540" w:type="dxa"/>
            <w:vAlign w:val="bottom"/>
            <w:shd w:val="clear" w:color="auto" w:fill="CCED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DFF"/>
          </w:tcPr>
          <w:p>
            <w:pPr>
              <w:jc w:val="right"/>
              <w:ind w:right="28"/>
              <w:spacing w:after="0"/>
              <w:rPr>
                <w:sz w:val="20"/>
                <w:szCs w:val="20"/>
                <w:color w:val="auto"/>
              </w:rPr>
            </w:pPr>
            <w:r>
              <w:rPr>
                <w:rFonts w:ascii="Times New Roman" w:cs="Times New Roman" w:eastAsia="Times New Roman" w:hAnsi="Times New Roman"/>
                <w:sz w:val="14"/>
                <w:szCs w:val="14"/>
                <w:color w:val="auto"/>
              </w:rPr>
              <w:t>12.6</w:t>
            </w:r>
          </w:p>
        </w:tc>
        <w:tc>
          <w:tcPr>
            <w:tcW w:w="480" w:type="dxa"/>
            <w:vAlign w:val="bottom"/>
            <w:shd w:val="clear" w:color="auto" w:fill="CCED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DFF"/>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380" w:type="dxa"/>
            <w:vAlign w:val="bottom"/>
            <w:shd w:val="clear" w:color="auto" w:fill="CCED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DFF"/>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c>
          <w:tcPr>
            <w:tcW w:w="280" w:type="dxa"/>
            <w:vAlign w:val="bottom"/>
            <w:shd w:val="clear" w:color="auto" w:fill="CCED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DFF"/>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r>
      <w:tr>
        <w:trPr>
          <w:trHeight w:val="211"/>
        </w:trPr>
        <w:tc>
          <w:tcPr>
            <w:tcW w:w="3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Restructuring-related costs</w:t>
            </w:r>
          </w:p>
        </w:tc>
        <w:tc>
          <w:tcPr>
            <w:tcW w:w="144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5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48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3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28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r>
      <w:tr>
        <w:trPr>
          <w:trHeight w:val="203"/>
        </w:trPr>
        <w:tc>
          <w:tcPr>
            <w:tcW w:w="35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Paid during the period</w:t>
            </w:r>
          </w:p>
        </w:tc>
        <w:tc>
          <w:tcPr>
            <w:tcW w:w="1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210"/>
        </w:trPr>
        <w:tc>
          <w:tcPr>
            <w:tcW w:w="3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Restructuring charges as of March 31, 2019</w:t>
            </w:r>
          </w:p>
        </w:tc>
        <w:tc>
          <w:tcPr>
            <w:tcW w:w="1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5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8.1</w:t>
            </w:r>
          </w:p>
        </w:tc>
        <w:tc>
          <w:tcPr>
            <w:tcW w:w="4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3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10.5</w:t>
            </w: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enter into lease arrangements for the use of offices, operational facilities, vehicles, vessels, storage tanks and other assets for our operations around the world. Some of these leases are embedded within other arrangements. When an arrangement includes both lease and non-lease components, we have elected to combine them and treat them as a lease component for all of our current leased asset classes.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Determining whether a contract contains a lease includes judgment regarding whether the contract conveys the right to control the use of identified property, plant, or equipment for a period of time in exchange for consideration. Assessing whether we have obtained the right to substantially all of the economic benefits and the ability to direct how, and for what purpose, the asset is used requires more judgment in storage arrangements where we must determine whether our rights to capacity may represent substantially all of the available capacity at a location.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of these arrangements are for periods of twelve months or less, while others are for longer periods, and may include optional renewals, terminations or purchase options, which are considered in our assessments when they are reasonably certain to occur. In addition, certain of these arrangements contain payments based on an index, market-based escalation or volume which may impact future payments. Most of our leases typically contain general covenants, restrictions or requirements such as maintaining minimum insurance coverage.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account for our lease-related assets and liabilities based on their classification as operating leases or finance leases, following the relevant accounting guidance. We measure lease related assets and liabilities based on the present value of lease payments, including in-substance fixed payments, variable payments that depend on an index or rate measured at the commencement date, and the amount we believe is probable we will pay the lessor under residual value guarantees when applicable. We discount lease payments based on our estimated incremental borrowing rate at lease commencement (or modification), which is primarily based on our estimated credit rating, the lease term at commencement, and the contract currency of the lease arrangement. We have elected to exclude short term leases (leases with an original lease term less than one year) from the measurement of lease related assets and liabilities.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quarter ended March 31, 2019, we recognized the following related to our lease arrangements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04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78"/>
        </w:trPr>
        <w:tc>
          <w:tcPr>
            <w:tcW w:w="5100" w:type="dxa"/>
            <w:vAlign w:val="bottom"/>
          </w:tcPr>
          <w:p>
            <w:pPr>
              <w:spacing w:after="0"/>
              <w:rPr>
                <w:sz w:val="6"/>
                <w:szCs w:val="6"/>
                <w:color w:val="auto"/>
              </w:rPr>
            </w:pPr>
          </w:p>
        </w:tc>
        <w:tc>
          <w:tcPr>
            <w:tcW w:w="3280" w:type="dxa"/>
            <w:vAlign w:val="bottom"/>
          </w:tcPr>
          <w:p>
            <w:pPr>
              <w:spacing w:after="0"/>
              <w:rPr>
                <w:sz w:val="6"/>
                <w:szCs w:val="6"/>
                <w:color w:val="auto"/>
              </w:rPr>
            </w:pPr>
          </w:p>
        </w:tc>
        <w:tc>
          <w:tcPr>
            <w:tcW w:w="3040" w:type="dxa"/>
            <w:vAlign w:val="bottom"/>
          </w:tcPr>
          <w:p>
            <w:pPr>
              <w:spacing w:after="0"/>
              <w:rPr>
                <w:sz w:val="6"/>
                <w:szCs w:val="6"/>
                <w:color w:val="auto"/>
              </w:rPr>
            </w:pPr>
          </w:p>
        </w:tc>
      </w:tr>
      <w:tr>
        <w:trPr>
          <w:trHeight w:val="193"/>
        </w:trPr>
        <w:tc>
          <w:tcPr>
            <w:tcW w:w="5100" w:type="dxa"/>
            <w:vAlign w:val="bottom"/>
            <w:shd w:val="clear" w:color="auto" w:fill="CCEEFF"/>
          </w:tcPr>
          <w:p>
            <w:pPr>
              <w:spacing w:after="0"/>
              <w:rPr>
                <w:sz w:val="16"/>
                <w:szCs w:val="16"/>
                <w:color w:val="auto"/>
              </w:rPr>
            </w:pPr>
          </w:p>
        </w:tc>
        <w:tc>
          <w:tcPr>
            <w:tcW w:w="3280" w:type="dxa"/>
            <w:vAlign w:val="bottom"/>
            <w:shd w:val="clear" w:color="auto" w:fill="CCEEFF"/>
          </w:tcPr>
          <w:p>
            <w:pPr>
              <w:spacing w:after="0"/>
              <w:rPr>
                <w:sz w:val="16"/>
                <w:szCs w:val="16"/>
                <w:color w:val="auto"/>
              </w:rPr>
            </w:pPr>
          </w:p>
        </w:tc>
        <w:tc>
          <w:tcPr>
            <w:tcW w:w="3040" w:type="dxa"/>
            <w:vAlign w:val="bottom"/>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For March 31, 2019</w:t>
            </w:r>
          </w:p>
        </w:tc>
      </w:tr>
      <w:tr>
        <w:trPr>
          <w:trHeight w:val="78"/>
        </w:trPr>
        <w:tc>
          <w:tcPr>
            <w:tcW w:w="5100" w:type="dxa"/>
            <w:vAlign w:val="bottom"/>
            <w:tcBorders>
              <w:bottom w:val="single" w:sz="8" w:color="auto"/>
            </w:tcBorders>
            <w:shd w:val="clear" w:color="auto" w:fill="CCEEFF"/>
          </w:tcPr>
          <w:p>
            <w:pPr>
              <w:spacing w:after="0"/>
              <w:rPr>
                <w:sz w:val="6"/>
                <w:szCs w:val="6"/>
                <w:color w:val="auto"/>
              </w:rPr>
            </w:pPr>
          </w:p>
        </w:tc>
        <w:tc>
          <w:tcPr>
            <w:tcW w:w="3280" w:type="dxa"/>
            <w:vAlign w:val="bottom"/>
            <w:tcBorders>
              <w:bottom w:val="single" w:sz="8" w:color="auto"/>
            </w:tcBorders>
            <w:shd w:val="clear" w:color="auto" w:fill="CCEEFF"/>
          </w:tcPr>
          <w:p>
            <w:pPr>
              <w:spacing w:after="0"/>
              <w:rPr>
                <w:sz w:val="6"/>
                <w:szCs w:val="6"/>
                <w:color w:val="auto"/>
              </w:rPr>
            </w:pPr>
          </w:p>
        </w:tc>
        <w:tc>
          <w:tcPr>
            <w:tcW w:w="3040" w:type="dxa"/>
            <w:vAlign w:val="bottom"/>
            <w:tcBorders>
              <w:bottom w:val="single" w:sz="8" w:color="auto"/>
            </w:tcBorders>
            <w:shd w:val="clear" w:color="auto" w:fill="CCEEFF"/>
          </w:tcPr>
          <w:p>
            <w:pPr>
              <w:spacing w:after="0"/>
              <w:rPr>
                <w:sz w:val="6"/>
                <w:szCs w:val="6"/>
                <w:color w:val="auto"/>
              </w:rPr>
            </w:pPr>
          </w:p>
        </w:tc>
      </w:tr>
      <w:tr>
        <w:trPr>
          <w:trHeight w:val="259"/>
        </w:trPr>
        <w:tc>
          <w:tcPr>
            <w:tcW w:w="5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Finance lease cost:</w:t>
            </w:r>
          </w:p>
        </w:tc>
        <w:tc>
          <w:tcPr>
            <w:tcW w:w="328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221"/>
        </w:trPr>
        <w:tc>
          <w:tcPr>
            <w:tcW w:w="5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32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3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r>
      <w:tr>
        <w:trPr>
          <w:trHeight w:val="211"/>
        </w:trPr>
        <w:tc>
          <w:tcPr>
            <w:tcW w:w="5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3280" w:type="dxa"/>
            <w:vAlign w:val="bottom"/>
          </w:tcPr>
          <w:p>
            <w:pPr>
              <w:spacing w:after="0"/>
              <w:rPr>
                <w:sz w:val="18"/>
                <w:szCs w:val="18"/>
                <w:color w:val="auto"/>
              </w:rPr>
            </w:pPr>
          </w:p>
        </w:tc>
        <w:tc>
          <w:tcPr>
            <w:tcW w:w="3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r>
      <w:tr>
        <w:trPr>
          <w:trHeight w:val="221"/>
        </w:trPr>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lease cost</w:t>
            </w:r>
          </w:p>
        </w:tc>
        <w:tc>
          <w:tcPr>
            <w:tcW w:w="3280" w:type="dxa"/>
            <w:vAlign w:val="bottom"/>
            <w:shd w:val="clear" w:color="auto" w:fill="CCEEFF"/>
          </w:tcPr>
          <w:p>
            <w:pPr>
              <w:spacing w:after="0"/>
              <w:rPr>
                <w:sz w:val="19"/>
                <w:szCs w:val="19"/>
                <w:color w:val="auto"/>
              </w:rPr>
            </w:pPr>
          </w:p>
        </w:tc>
        <w:tc>
          <w:tcPr>
            <w:tcW w:w="3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w:t>
            </w:r>
          </w:p>
        </w:tc>
      </w:tr>
      <w:tr>
        <w:trPr>
          <w:trHeight w:val="211"/>
        </w:trPr>
        <w:tc>
          <w:tcPr>
            <w:tcW w:w="5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Short-term lease cost</w:t>
            </w:r>
          </w:p>
        </w:tc>
        <w:tc>
          <w:tcPr>
            <w:tcW w:w="3280" w:type="dxa"/>
            <w:vAlign w:val="bottom"/>
          </w:tcPr>
          <w:p>
            <w:pPr>
              <w:spacing w:after="0"/>
              <w:rPr>
                <w:sz w:val="18"/>
                <w:szCs w:val="18"/>
                <w:color w:val="auto"/>
              </w:rPr>
            </w:pPr>
          </w:p>
        </w:tc>
        <w:tc>
          <w:tcPr>
            <w:tcW w:w="3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r>
      <w:tr>
        <w:trPr>
          <w:trHeight w:val="221"/>
        </w:trPr>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Variable lease cost</w:t>
            </w:r>
          </w:p>
        </w:tc>
        <w:tc>
          <w:tcPr>
            <w:tcW w:w="3280" w:type="dxa"/>
            <w:vAlign w:val="bottom"/>
            <w:shd w:val="clear" w:color="auto" w:fill="CCEEFF"/>
          </w:tcPr>
          <w:p>
            <w:pPr>
              <w:spacing w:after="0"/>
              <w:rPr>
                <w:sz w:val="19"/>
                <w:szCs w:val="19"/>
                <w:color w:val="auto"/>
              </w:rPr>
            </w:pPr>
          </w:p>
        </w:tc>
        <w:tc>
          <w:tcPr>
            <w:tcW w:w="3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r>
      <w:tr>
        <w:trPr>
          <w:trHeight w:val="198"/>
        </w:trPr>
        <w:tc>
          <w:tcPr>
            <w:tcW w:w="5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Sublease income</w:t>
            </w:r>
          </w:p>
        </w:tc>
        <w:tc>
          <w:tcPr>
            <w:tcW w:w="32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10"/>
        </w:trPr>
        <w:tc>
          <w:tcPr>
            <w:tcW w:w="51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lease cost</w:t>
            </w:r>
          </w:p>
        </w:tc>
        <w:tc>
          <w:tcPr>
            <w:tcW w:w="32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3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2019, our remaining lease payments were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69"/>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2019 (excluding the three months ended March 31, 2019)</w:t>
            </w:r>
          </w:p>
        </w:tc>
        <w:tc>
          <w:tcPr>
            <w:tcW w:w="3680" w:type="dxa"/>
            <w:vAlign w:val="bottom"/>
            <w:shd w:val="clear" w:color="auto" w:fill="CCEEFF"/>
          </w:tcPr>
          <w:p>
            <w:pPr>
              <w:jc w:val="right"/>
              <w:ind w:right="13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36.1</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2020</w:t>
            </w:r>
          </w:p>
        </w:tc>
        <w:tc>
          <w:tcPr>
            <w:tcW w:w="368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39.0</w:t>
            </w:r>
          </w:p>
        </w:tc>
        <w:tc>
          <w:tcPr>
            <w:tcW w:w="3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r>
      <w:tr>
        <w:trPr>
          <w:trHeight w:val="275"/>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2021</w:t>
            </w:r>
          </w:p>
        </w:tc>
        <w:tc>
          <w:tcPr>
            <w:tcW w:w="36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31.5</w:t>
            </w: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r>
      <w:tr>
        <w:trPr>
          <w:trHeight w:val="26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2022</w:t>
            </w:r>
          </w:p>
        </w:tc>
        <w:tc>
          <w:tcPr>
            <w:tcW w:w="368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w:t>
            </w:r>
          </w:p>
        </w:tc>
        <w:tc>
          <w:tcPr>
            <w:tcW w:w="3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r>
      <w:tr>
        <w:trPr>
          <w:trHeight w:val="275"/>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36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w:t>
            </w: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r>
      <w:tr>
        <w:trPr>
          <w:trHeight w:val="265"/>
        </w:trPr>
        <w:tc>
          <w:tcPr>
            <w:tcW w:w="5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Thereafter</w:t>
            </w:r>
          </w:p>
        </w:tc>
        <w:tc>
          <w:tcPr>
            <w:tcW w:w="36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59.6</w:t>
            </w:r>
          </w:p>
        </w:tc>
        <w:tc>
          <w:tcPr>
            <w:tcW w:w="3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r>
      <w:tr>
        <w:trPr>
          <w:trHeight w:val="264"/>
        </w:trPr>
        <w:tc>
          <w:tcPr>
            <w:tcW w:w="55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remaining lease payments (undiscounted)</w:t>
            </w:r>
          </w:p>
        </w:tc>
        <w:tc>
          <w:tcPr>
            <w:tcW w:w="36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5"/>
              </w:rPr>
              <w:t>211.4</w:t>
            </w:r>
          </w:p>
        </w:tc>
        <w:tc>
          <w:tcPr>
            <w:tcW w:w="3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18.8</w:t>
            </w:r>
          </w:p>
        </w:tc>
      </w:tr>
      <w:tr>
        <w:trPr>
          <w:trHeight w:val="264"/>
        </w:trPr>
        <w:tc>
          <w:tcPr>
            <w:tcW w:w="5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Less: imputed interest</w:t>
            </w:r>
          </w:p>
        </w:tc>
        <w:tc>
          <w:tcPr>
            <w:tcW w:w="36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39.5</w:t>
            </w: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r>
      <w:tr>
        <w:trPr>
          <w:trHeight w:val="264"/>
        </w:trPr>
        <w:tc>
          <w:tcPr>
            <w:tcW w:w="55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3680" w:type="dxa"/>
            <w:vAlign w:val="bottom"/>
            <w:tcBorders>
              <w:bottom w:val="single" w:sz="8" w:color="auto"/>
            </w:tcBorders>
            <w:shd w:val="clear" w:color="auto" w:fill="CCEEFF"/>
          </w:tcPr>
          <w:p>
            <w:pPr>
              <w:jc w:val="right"/>
              <w:ind w:right="12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5"/>
              </w:rPr>
              <w:t>171.9</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16.7</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As of December 31, 2018, our future minimum lease payments under noncancelable operating leases were as follows (in millions)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46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2019</w:t>
            </w:r>
          </w:p>
        </w:tc>
        <w:tc>
          <w:tcPr>
            <w:tcW w:w="4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211"/>
        </w:trPr>
        <w:tc>
          <w:tcPr>
            <w:tcW w:w="4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2020</w:t>
            </w:r>
          </w:p>
        </w:tc>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221"/>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2021</w:t>
            </w:r>
          </w:p>
        </w:tc>
        <w:tc>
          <w:tcPr>
            <w:tcW w:w="4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211"/>
        </w:trPr>
        <w:tc>
          <w:tcPr>
            <w:tcW w:w="4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2022</w:t>
            </w:r>
          </w:p>
        </w:tc>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21"/>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4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11"/>
        </w:trPr>
        <w:tc>
          <w:tcPr>
            <w:tcW w:w="4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Thereafter</w:t>
            </w:r>
          </w:p>
        </w:tc>
        <w:tc>
          <w:tcPr>
            <w:tcW w:w="4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auto"/>
            </w:tcBorders>
            <w:shd w:val="clear" w:color="auto" w:fill="CCEEFF"/>
          </w:tcPr>
          <w:p>
            <w:pPr>
              <w:spacing w:after="0"/>
              <w:rPr>
                <w:sz w:val="22"/>
                <w:szCs w:val="22"/>
                <w:color w:val="auto"/>
              </w:rPr>
            </w:pPr>
          </w:p>
        </w:tc>
        <w:tc>
          <w:tcPr>
            <w:tcW w:w="44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208.6</w:t>
            </w:r>
          </w:p>
        </w:tc>
        <w:tc>
          <w:tcPr>
            <w:tcW w:w="0" w:type="dxa"/>
            <w:vAlign w:val="bottom"/>
          </w:tcPr>
          <w:p>
            <w:pPr>
              <w:spacing w:after="0"/>
              <w:rPr>
                <w:sz w:val="1"/>
                <w:szCs w:val="1"/>
                <w:color w:val="auto"/>
              </w:rPr>
            </w:pPr>
          </w:p>
        </w:tc>
      </w:tr>
      <w:tr>
        <w:trPr>
          <w:trHeight w:val="20"/>
        </w:trPr>
        <w:tc>
          <w:tcPr>
            <w:tcW w:w="906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9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(in millions):</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60" w:type="dxa"/>
            <w:vAlign w:val="bottom"/>
            <w:tcBorders>
              <w:bottom w:val="single" w:sz="8" w:color="auto"/>
            </w:tcBorders>
          </w:tcPr>
          <w:p>
            <w:pPr>
              <w:spacing w:after="0"/>
              <w:rPr>
                <w:sz w:val="11"/>
                <w:szCs w:val="11"/>
                <w:color w:val="auto"/>
              </w:rPr>
            </w:pPr>
          </w:p>
        </w:tc>
        <w:tc>
          <w:tcPr>
            <w:tcW w:w="44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9"/>
        </w:trPr>
        <w:tc>
          <w:tcPr>
            <w:tcW w:w="4660" w:type="dxa"/>
            <w:vAlign w:val="bottom"/>
            <w:tcBorders>
              <w:bottom w:val="single" w:sz="8" w:color="auto"/>
            </w:tcBorders>
          </w:tcPr>
          <w:p>
            <w:pPr>
              <w:spacing w:after="0"/>
              <w:rPr>
                <w:sz w:val="22"/>
                <w:szCs w:val="22"/>
                <w:color w:val="auto"/>
              </w:rPr>
            </w:pPr>
          </w:p>
        </w:tc>
        <w:tc>
          <w:tcPr>
            <w:tcW w:w="44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4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333333"/>
              </w:rPr>
              <w:t>As of March 31, 2019</w:t>
            </w:r>
          </w:p>
        </w:tc>
        <w:tc>
          <w:tcPr>
            <w:tcW w:w="0" w:type="dxa"/>
            <w:vAlign w:val="bottom"/>
          </w:tcPr>
          <w:p>
            <w:pPr>
              <w:spacing w:after="0"/>
              <w:rPr>
                <w:sz w:val="1"/>
                <w:szCs w:val="1"/>
                <w:color w:val="auto"/>
              </w:rPr>
            </w:pPr>
          </w:p>
        </w:tc>
      </w:tr>
      <w:tr>
        <w:trPr>
          <w:trHeight w:val="191"/>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4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660" w:type="dxa"/>
            <w:vAlign w:val="bottom"/>
            <w:shd w:val="clear" w:color="auto" w:fill="CCEEFF"/>
          </w:tcPr>
          <w:p>
            <w:pPr>
              <w:spacing w:after="0"/>
              <w:rPr>
                <w:sz w:val="6"/>
                <w:szCs w:val="6"/>
                <w:color w:val="auto"/>
              </w:rPr>
            </w:pPr>
          </w:p>
        </w:tc>
        <w:tc>
          <w:tcPr>
            <w:tcW w:w="44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Assets</w:t>
            </w:r>
          </w:p>
        </w:tc>
        <w:tc>
          <w:tcPr>
            <w:tcW w:w="4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Identifiable intangible and other non-current assets</w:t>
            </w:r>
          </w:p>
        </w:tc>
        <w:tc>
          <w:tcPr>
            <w:tcW w:w="460" w:type="dxa"/>
            <w:vAlign w:val="bottom"/>
          </w:tcPr>
          <w:p>
            <w:pPr>
              <w:spacing w:after="0"/>
              <w:rPr>
                <w:sz w:val="23"/>
                <w:szCs w:val="23"/>
                <w:color w:val="auto"/>
              </w:rPr>
            </w:pP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165.7</w:t>
            </w:r>
          </w:p>
        </w:tc>
        <w:tc>
          <w:tcPr>
            <w:tcW w:w="0" w:type="dxa"/>
            <w:vAlign w:val="bottom"/>
          </w:tcPr>
          <w:p>
            <w:pPr>
              <w:spacing w:after="0"/>
              <w:rPr>
                <w:sz w:val="1"/>
                <w:szCs w:val="1"/>
                <w:color w:val="auto"/>
              </w:rPr>
            </w:pPr>
          </w:p>
        </w:tc>
      </w:tr>
      <w:tr>
        <w:trPr>
          <w:trHeight w:val="275"/>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 Assets</w:t>
            </w:r>
          </w:p>
        </w:tc>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97"/>
        </w:trPr>
        <w:tc>
          <w:tcPr>
            <w:tcW w:w="46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44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Liability - Current</w:t>
            </w:r>
          </w:p>
        </w:tc>
        <w:tc>
          <w:tcPr>
            <w:tcW w:w="4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275"/>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Liability - Long Term</w:t>
            </w:r>
          </w:p>
        </w:tc>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4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132.7</w:t>
            </w: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Lease Liability - Current</w:t>
            </w:r>
          </w:p>
        </w:tc>
        <w:tc>
          <w:tcPr>
            <w:tcW w:w="4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Current maturities of long-term debt and capital leases</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 Liability - Long Term</w:t>
            </w:r>
          </w:p>
        </w:tc>
        <w:tc>
          <w:tcPr>
            <w:tcW w:w="44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Long-term debt</w:t>
            </w:r>
          </w:p>
        </w:tc>
        <w:tc>
          <w:tcPr>
            <w:tcW w:w="46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863"/>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information related to leases as of March 31, 2019:</w:t>
            </w:r>
          </w:p>
        </w:tc>
        <w:tc>
          <w:tcPr>
            <w:tcW w:w="4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60" w:type="dxa"/>
            <w:vAlign w:val="bottom"/>
            <w:tcBorders>
              <w:bottom w:val="single" w:sz="8" w:color="auto"/>
            </w:tcBorders>
          </w:tcPr>
          <w:p>
            <w:pPr>
              <w:spacing w:after="0"/>
              <w:rPr>
                <w:sz w:val="11"/>
                <w:szCs w:val="11"/>
                <w:color w:val="auto"/>
              </w:rPr>
            </w:pPr>
          </w:p>
        </w:tc>
        <w:tc>
          <w:tcPr>
            <w:tcW w:w="44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9"/>
        </w:trPr>
        <w:tc>
          <w:tcPr>
            <w:tcW w:w="4660" w:type="dxa"/>
            <w:vAlign w:val="bottom"/>
            <w:tcBorders>
              <w:bottom w:val="single" w:sz="8" w:color="auto"/>
            </w:tcBorders>
          </w:tcPr>
          <w:p>
            <w:pPr>
              <w:spacing w:after="0"/>
              <w:rPr>
                <w:sz w:val="22"/>
                <w:szCs w:val="22"/>
                <w:color w:val="auto"/>
              </w:rPr>
            </w:pPr>
          </w:p>
        </w:tc>
        <w:tc>
          <w:tcPr>
            <w:tcW w:w="4400" w:type="dxa"/>
            <w:vAlign w:val="bottom"/>
            <w:tcBorders>
              <w:bottom w:val="single" w:sz="8" w:color="auto"/>
            </w:tcBorders>
          </w:tcPr>
          <w:p>
            <w:pPr>
              <w:ind w:left="33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191"/>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440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6.5</w:t>
            </w:r>
          </w:p>
        </w:tc>
        <w:tc>
          <w:tcPr>
            <w:tcW w:w="32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78"/>
        </w:trPr>
        <w:tc>
          <w:tcPr>
            <w:tcW w:w="4660" w:type="dxa"/>
            <w:vAlign w:val="bottom"/>
            <w:shd w:val="clear" w:color="auto" w:fill="CCEEFF"/>
          </w:tcPr>
          <w:p>
            <w:pPr>
              <w:spacing w:after="0"/>
              <w:rPr>
                <w:sz w:val="6"/>
                <w:szCs w:val="6"/>
                <w:color w:val="auto"/>
              </w:rPr>
            </w:pPr>
          </w:p>
        </w:tc>
        <w:tc>
          <w:tcPr>
            <w:tcW w:w="440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4400" w:type="dxa"/>
            <w:vAlign w:val="bottom"/>
          </w:tcPr>
          <w:p>
            <w:pPr>
              <w:spacing w:after="0"/>
              <w:rPr>
                <w:sz w:val="23"/>
                <w:szCs w:val="23"/>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75"/>
        </w:trPr>
        <w:tc>
          <w:tcPr>
            <w:tcW w:w="9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 (in millions):</w:t>
            </w:r>
          </w:p>
        </w:tc>
        <w:tc>
          <w:tcPr>
            <w:tcW w:w="4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440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75"/>
        </w:trPr>
        <w:tc>
          <w:tcPr>
            <w:tcW w:w="4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44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97"/>
              </w:rPr>
              <w:t>13.3</w:t>
            </w: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4400" w:type="dxa"/>
            <w:vAlign w:val="bottom"/>
          </w:tcPr>
          <w:p>
            <w:pPr>
              <w:spacing w:after="0"/>
              <w:rPr>
                <w:sz w:val="23"/>
                <w:szCs w:val="23"/>
                <w:color w:val="auto"/>
              </w:rPr>
            </w:pPr>
          </w:p>
        </w:tc>
        <w:tc>
          <w:tcPr>
            <w:tcW w:w="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5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75"/>
        </w:trPr>
        <w:tc>
          <w:tcPr>
            <w:tcW w:w="9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 of use assets obtained in exchange for new operating lease liability (noncash in millions)</w:t>
            </w:r>
          </w:p>
        </w:tc>
        <w:tc>
          <w:tcPr>
            <w:tcW w:w="4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8.4</w:t>
            </w: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our 2018 10-K Report and the consolidated financial statements and related notes in “Item 1</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Financial Statements” appearing elsewhere in this 10-Q Report. The following discussion may contain forward-looking statements, and our actual results may differ materially from the results suggested by these forward-looking statements. Some factors that may cause our results to differ are disclosed in “Item 1A — Risk Factors” of our 2018 10-K Report.</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preliminary financial information included in our earnings release dated April 25, 2019 ("First Quarter Earnings Release") reflected a discrete tax benefit of $8.8 million with respect to a foreign tax filing. The following discussion and the consolidated financial statements and related notes in “Item 1 - Financial Statements” appearing elsewhere in this 10-Q Report reflect a reserve of $5.6 million against the foregoing discrete tax benefit, which was not reflected in the First Quarter Earnings Release.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10-Q Report and the information incorporated by reference in it, or made by us in other reports, filings with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 Specifically, this 10-Q Report includes forward-looking statements about (i) our expectations regarding the conditions in the aviation, land, and marine markets, including volume and fuel prices, and the impact on our business, (ii) our expectations about the financial impact of portfolio rationalization and our ability to redeploy such capital into activities with sustainable revenue and expected returns,</w:t>
      </w:r>
    </w:p>
    <w:p>
      <w:pPr>
        <w:spacing w:after="0" w:line="4" w:lineRule="exact"/>
        <w:rPr>
          <w:sz w:val="20"/>
          <w:szCs w:val="20"/>
          <w:color w:val="auto"/>
        </w:rPr>
      </w:pPr>
    </w:p>
    <w:p>
      <w:pPr>
        <w:jc w:val="both"/>
        <w:ind w:firstLine="8"/>
        <w:spacing w:after="0" w:line="252" w:lineRule="auto"/>
        <w:tabs>
          <w:tab w:leader="none" w:pos="3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government-related activity, including the North Atlantic Treaty Organization (NATO), and the related profit contribution, (iv) our beliefs regarding our competitive advantages and our ability to capitalize on these to drive growth, (v) estimates regarding the short and long-term savings and synergies from our cost-savings initiatives, (vi) our expectations regarding our working capital, liquidity, capital expenditure requirements, (vii) our expectations and estimates regarding certain tax, legal and accounting matters, including the impact on our financial statements, (viii) our expectations regarding the financial and operational impact of our investments in automation and technology, (ix) our expectations regarding the financial impact of previous acquisitions, including estimates of future expenses and our ability to realize estimated synergies, and (x) estimates regarding the financial impact of our derivative contracts. These forward-looking statements are qualified in their entirety by cautionary statements and risk factor disclosures contained in our SEC filings.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that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the results and events anticipated or implied by such forward-looking statements include, but are not limited to:</w:t>
      </w:r>
    </w:p>
    <w:p>
      <w:pPr>
        <w:spacing w:after="0" w:line="16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customer and counterparty creditworthiness and our ability to collect accounts receivable and settle derivative contracts;</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changes in the market price of fuel;</w:t>
      </w:r>
    </w:p>
    <w:p>
      <w:pPr>
        <w:spacing w:after="0" w:line="4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reduced sales to a significant government customer, such as NATO;</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cash and sufficient liquidity to fund our working capital and strategic investment needs;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economic or regulatory environment generally and in the markets in which we operate, such as IMO 2020 (defined below);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effectively hedge certain financial risks and other risks associated with derivatives;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credit terms extended to us from our suppliers;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of suppliers on their sale commitments and customers on their purchase commitments;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of third-party service providers;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industries in which our customers operate;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financial forecasts associated with our operating plan;</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valuations associated with our cash flows and revenues, which could impair our ability to realize the value of recorded intangible assets and goodwill;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cyber and other information security-related incidents;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fluctuations and the impacts associated with Brexit;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effectively leverage technology and operating systems and realize the anticipated benefits;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fuel and other products we sell to meet specifications;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integrate and derive benefits from acquired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level of benefit from our restructuring activities and cost reduction initiatives;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disruptions in the availability or supply of fuel;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other risks associated with the storage, transportation and delivery of petroleum products;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high-risk locations, including supply disruptions, border closures and other logistical difficulties that arise when working in these areas;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losses;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such as earthquakes and hurricanes;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variability that adversely affects our revenues and operating results;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restrictions and covenants in our senior revolving credit facility (“Credit Facility”) and our senior term loans (“Term Loans”);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and liquidity of cash equivalents and investments;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senior management and other key employees;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or foreign tax laws (including the Tax Cuts and Jobs Act), interpretations of such laws, changes in the mix of taxable income among different tax jurisdictions, or adverse results of tax audits, assessments, or disputes;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generate sufficient future taxable income in jurisdictions with material deferred tax assets and net operating loss carryforwards;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U.S. and international laws and regulations including those related to anti-corruption, economic sanction programs and environmental matters;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and other proceedings, including the costs associated in defending any 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and</w:t>
      </w:r>
    </w:p>
    <w:p>
      <w:pPr>
        <w:spacing w:after="0" w:line="6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including those described in “Item 1A - Risk Factors” in our 2018 10-K Report and those described from time to time in our other filings with the SEC.</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10-Q Report will be deemed to modify or supersede such forward-looking statements.</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these statements, we claim the protection of the safe harbor for forward-looking statements contained in Section 27A of the Securities Act of 1933, as amended, and Section 21E of the Securities Exchange Act, as amended (the “Exchange Act”).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leading global fuel services company, principally engaged in the distribution of fuel and related products and services in the aviation, land and marine transportation industries. In recent years, we have expanded our product and service offerings to include energy advisory services and supply fulfillment with respect to natural gas and power and transaction and payment management solutions to commercial and industrial customers. We endeavor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overall aviation market remains strong, benefiting from continued growth in global passenger demand, and airline profitability remains healthy. Our aviation segment has benefited from our increased logistics capability and we have expanded our aviation fueling operations footprint into additional international territories and airport locations. Our aviation segment has also benefited from continued strong demand from government customers, principally NATO in Afghanistan. Sales to government customers account for a material portion of our aviation segment's profitability, and while we expect our government-related activity to remain strong through the balance of 2019, we believe the related profit contribution will decrease as compared to 2018. Global events and military-related activities, as well as the level of troop deployments and related activity, drive sales to government customers and therefore can vary significantly from period to period and materially impact our results of operations.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land segment has grown primarily through acquisitions as we seek to build out our land fuel distribution capabilities in the U.S. and the U.K. Recently, our land segment has been negatively impacted by our decision to reposition the portfolio and reduce certain supply and trading activities which were not generating a sufficient or predictable economic return as a result of market conditions. In addition, our operating results in the U.S. and U.K. are impacted by winter weather conditions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accordingly, unseasonably warm winter weather has adversely impacted our results, including the first quarter of 2019. Meanwhile, our land segment has benefited from strong sales to government customers, including NATO in Afghanistan, and we expect such activity to remain generally consistent throughout the balance of 2019. We continue to focus on supplying more sustainable end-user demand to provide greater leverage and ratability in our operating model, as well as driving operational excellence and improving our technology platform to reduce transaction processing costs.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marine segment results have been strong in recent periods despite the weak overall conditions within the global shipping markets. We believe overall volumes in our marine segment have stabilized and higher average fuel prices, combined with the effects of our cost savings initiatives, have improved profitability. The implementation of mandatory fuel standards, such as the International Maritime Organization's regulations limiting sulfur in fuel oil used on ships that will be effective on January 1, 2020 ("IMO 2020"), may provide additional opportunities for us to create value-added solutions for our customers and further enhance profitability.</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challenges in the markets where we operate, we continue to rationalize our operating model and portfolio of businesses to gain efficiencies through various initiatives that are ongoing throughout the company. We are investing in automation and technology throughout our businesses, which we expect will ultimately lower our cost, reduce cycle time and improve scalability. Furthermore, we continue to implement our enterprise-wide restructuring plan, designed to streamline the organization and reallocate resources to align more effectively our organizational structure and costs with our ultimate strategy to improve operating efficiencies. The restructuring program involves rationalizing non-core businesses and investments, refining our organizational structure, and advancing business prospects in the markets we serve, as well as exiting certain business activities and reinventing our core businesses to improve scalability. We expect this portfolio rationalization will free up additional capital to invest in activities with sustainable revenue and adequate returns while we continue to manage our working capital and inventory in a volatile fuel price environment.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operate in three reportable segments consisting of aviation, land and marine, where we offer fuel and related products and services to commercial and industrial customers in each of these transportation industries. Within each of our segments, we may enter into derivative contracts to mitigate the risk of market price fluctuations and also to offer our customers fuel pricing alternatives to meet their needs.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our aviation and land segments, we primarily purchase and resell fuel and other products. Profit from our aviation and land segments is primarily determined by the volume and the gross profit achieved on fuel sales and related services. In our marine segment, we primarily purchase and resell fuel and also act as brokers for others. Profit from our marine segment is determined mostly by the volume and gross profit achieved on fuel resales and by the volume and commission rate of the brokering business. Profitability in our segments also depends on our operating expenses, which may be materially affected to the extent that we are required to provide for potential bad debt.</w:t>
      </w:r>
    </w:p>
    <w:p>
      <w:pPr>
        <w:spacing w:after="0" w:line="184" w:lineRule="exact"/>
        <w:rPr>
          <w:sz w:val="20"/>
          <w:szCs w:val="20"/>
          <w:color w:val="auto"/>
        </w:rPr>
      </w:pPr>
    </w:p>
    <w:p>
      <w:pPr>
        <w:jc w:val="both"/>
        <w:ind w:firstLine="324"/>
        <w:spacing w:after="0" w:line="22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Corporate expenses are allocated to each segment based on usage, where possible, or other factors according to the nature of the activity. We evaluate and manage our business segments using the performance measurement of income from operations. Selected financial information with respect to our business segments is provided in Note </w:t>
      </w:r>
      <w:hyperlink w:anchor="page18">
        <w:r>
          <w:rPr>
            <w:rFonts w:ascii="Times New Roman" w:cs="Times New Roman" w:eastAsia="Times New Roman" w:hAnsi="Times New Roman"/>
            <w:sz w:val="18"/>
            <w:szCs w:val="18"/>
            <w:color w:val="auto"/>
          </w:rPr>
          <w:t xml:space="preserve">10. </w:t>
        </w:r>
      </w:hyperlink>
      <w:r>
        <w:rPr>
          <w:rFonts w:ascii="Times New Roman" w:cs="Times New Roman" w:eastAsia="Times New Roman" w:hAnsi="Times New Roman"/>
          <w:sz w:val="18"/>
          <w:szCs w:val="18"/>
          <w:color w:val="auto"/>
        </w:rPr>
        <w:t>to the accompanying consolidated financial statements included in this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Report.</w:t>
      </w:r>
    </w:p>
    <w:p>
      <w:pPr>
        <w:spacing w:after="0" w:line="3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 2019 Compared to Three Months Ended March 31, 2018</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revenue for the first quarter of 2019 was $8.7 billion, a decrease of $0.5 billion, or 5.5%, as compared to the first quarter of 2018.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during these periods was attributable to the following segments (in millions):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520" w:type="dxa"/>
            <w:vAlign w:val="bottom"/>
            <w:gridSpan w:val="3"/>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5"/>
        </w:trPr>
        <w:tc>
          <w:tcPr>
            <w:tcW w:w="420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64"/>
        </w:trPr>
        <w:tc>
          <w:tcPr>
            <w:tcW w:w="42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Aviation segment</w:t>
            </w:r>
          </w:p>
        </w:tc>
        <w:tc>
          <w:tcPr>
            <w:tcW w:w="3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4,252.7</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4,292.9</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37"/>
        </w:trPr>
        <w:tc>
          <w:tcPr>
            <w:tcW w:w="4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Land segment</w:t>
            </w:r>
          </w:p>
        </w:tc>
        <w:tc>
          <w:tcPr>
            <w:tcW w:w="3340" w:type="dxa"/>
            <w:vAlign w:val="bottom"/>
          </w:tcPr>
          <w:p>
            <w:pPr>
              <w:spacing w:after="0"/>
              <w:rPr>
                <w:sz w:val="20"/>
                <w:szCs w:val="20"/>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2,493.6</w:t>
            </w:r>
          </w:p>
        </w:tc>
        <w:tc>
          <w:tcPr>
            <w:tcW w:w="4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2,860.7</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w:t>
            </w:r>
          </w:p>
        </w:tc>
      </w:tr>
      <w:tr>
        <w:trPr>
          <w:trHeight w:val="33"/>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Marine segment</w:t>
            </w:r>
          </w:p>
        </w:tc>
        <w:tc>
          <w:tcPr>
            <w:tcW w:w="3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1,932.5</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2,027.7</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r>
      <w:tr>
        <w:trPr>
          <w:trHeight w:val="231"/>
        </w:trPr>
        <w:tc>
          <w:tcPr>
            <w:tcW w:w="420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8,678.8</w:t>
            </w:r>
          </w:p>
        </w:tc>
        <w:tc>
          <w:tcPr>
            <w:tcW w:w="4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9,181.3</w:t>
            </w:r>
          </w:p>
        </w:tc>
        <w:tc>
          <w:tcPr>
            <w:tcW w:w="3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(502.5)</w:t>
            </w:r>
          </w:p>
        </w:tc>
      </w:tr>
      <w:tr>
        <w:trPr>
          <w:trHeight w:val="33"/>
        </w:trPr>
        <w:tc>
          <w:tcPr>
            <w:tcW w:w="42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Revenues in our aviation segment were $4.3 billion for the first quarter of 2019, a decrease of $40.2 million, or 0.9% as compared to the first quarter of 2018. Lower average jet fuel prices drove the decrease in aviation revenue in the first quarter of 2019, where the average price per gallon sold was $2.16, as compared to $2.18 in the first quarter of 2018. Total aviation volumes for the first quarter of 2019 were 2.0 billion gallons, which was flat as compared to the comparable prior year period.</w:t>
      </w:r>
    </w:p>
    <w:p>
      <w:pPr>
        <w:spacing w:after="0" w:line="194"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Revenues in our land segment were $2.5 billion for the first quarter of 2019, a decrease of $367.1 million, or 12.8%, as compared to the first quarter of 2018. The decrease in revenue was influenced by lower average fuel prices in the first quarter of 2019, as compared to the first quarter of 2018, where the average price per gallon sold was $1.84, as compared to $1.95 in 2018. Volumes in our land segment also experienced a 7.7% decrease to 1.3 billion gallons for the first quarter of 2019. The land volume decrease was driven principally by our decision to reposition the portfolio and exit certain non-core supply and trading activities in North America which were not generating a sufficient economic return.</w:t>
      </w:r>
    </w:p>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Revenues in our marine segment were $1.9 billion for the first quarter of 2019, a decrease of $95.2 million, or 4.7%, as compared to the first quarter of 2018. Volumes in our marine segment declined 10.0% to 5.2 million metric tons in the first quarter of 2019, as compared to 2018, driven principally by our decision to discontinue certain low margin, low return activities. The decrease in revenues resulting from lower volumes was partly offset by higher average bunker fuel prices, where we experienced a 5.9% increase in the average price per metric ton sold, to $371.7 in the first quarter of 2019 as compared to $351.1 in 2018.</w:t>
      </w:r>
    </w:p>
    <w:p>
      <w:pPr>
        <w:spacing w:after="0" w:line="18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Our gross profit for the first quarter of 2019 was $251.1 million, an increase of $7.7 million, or 3.1%, as compared to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gross profit during these periods was attributable to the following segments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5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5"/>
        </w:trPr>
        <w:tc>
          <w:tcPr>
            <w:tcW w:w="4200" w:type="dxa"/>
            <w:vAlign w:val="bottom"/>
            <w:tcBorders>
              <w:bottom w:val="single" w:sz="8" w:color="auto"/>
            </w:tcBorders>
          </w:tcPr>
          <w:p>
            <w:pPr>
              <w:spacing w:after="0"/>
              <w:rPr>
                <w:sz w:val="23"/>
                <w:szCs w:val="23"/>
                <w:color w:val="auto"/>
              </w:rPr>
            </w:pPr>
          </w:p>
        </w:tc>
        <w:tc>
          <w:tcPr>
            <w:tcW w:w="38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2"/>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64"/>
        </w:trPr>
        <w:tc>
          <w:tcPr>
            <w:tcW w:w="420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Aviation segment</w:t>
            </w:r>
          </w:p>
        </w:tc>
        <w:tc>
          <w:tcPr>
            <w:tcW w:w="3880" w:type="dxa"/>
            <w:vAlign w:val="bottom"/>
            <w:tcBorders>
              <w:bottom w:val="single" w:sz="8" w:color="CCEEFF"/>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114.3</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110.0</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4.4</w:t>
            </w:r>
          </w:p>
        </w:tc>
      </w:tr>
      <w:tr>
        <w:trPr>
          <w:trHeight w:val="237"/>
        </w:trPr>
        <w:tc>
          <w:tcPr>
            <w:tcW w:w="4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Land segment</w:t>
            </w:r>
          </w:p>
        </w:tc>
        <w:tc>
          <w:tcPr>
            <w:tcW w:w="3880" w:type="dxa"/>
            <w:vAlign w:val="bottom"/>
          </w:tcPr>
          <w:p>
            <w:pPr>
              <w:spacing w:after="0"/>
              <w:rPr>
                <w:sz w:val="20"/>
                <w:szCs w:val="20"/>
                <w:color w:val="auto"/>
              </w:rPr>
            </w:pP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101.5</w:t>
            </w: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102.2</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33"/>
        </w:trPr>
        <w:tc>
          <w:tcPr>
            <w:tcW w:w="42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Marine segment</w:t>
            </w:r>
          </w:p>
        </w:tc>
        <w:tc>
          <w:tcPr>
            <w:tcW w:w="3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35.2</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31.2</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4.0</w:t>
            </w:r>
          </w:p>
        </w:tc>
      </w:tr>
      <w:tr>
        <w:trPr>
          <w:trHeight w:val="231"/>
        </w:trPr>
        <w:tc>
          <w:tcPr>
            <w:tcW w:w="420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251.1</w:t>
            </w:r>
          </w:p>
        </w:tc>
        <w:tc>
          <w:tcPr>
            <w:tcW w:w="940" w:type="dxa"/>
            <w:vAlign w:val="bottom"/>
            <w:tcBorders>
              <w:top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243.4</w:t>
            </w:r>
          </w:p>
        </w:tc>
        <w:tc>
          <w:tcPr>
            <w:tcW w:w="3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7.7</w:t>
            </w:r>
          </w:p>
        </w:tc>
      </w:tr>
      <w:tr>
        <w:trPr>
          <w:trHeight w:val="33"/>
        </w:trPr>
        <w:tc>
          <w:tcPr>
            <w:tcW w:w="42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aviation segment gross profit for the first quarter of 2019 was $114.3 million, an increase of $4.4 million, or 4.0%, as compared to the first quarter of 2018. The increase in aviation gross profit was primarily due to increased profitability in our government-related operations as well as growth in our international fueling operations, partially offset by the negative impact of declining market prices through the first quarter of 2019.</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land segment gross profit for the first quarter of 2019 was $101.5 million, a decrease of $0.7 million, or 0.7%, as compared to the first quarter of 2018. The decrease in land segment gross profit was primarily attributable to weak demand in the U.K. due to an unseasonably warm winter and lower activity in North America resulting from our decision to reposition the portfolio and exit certain non-core supply and trading activities. The decrease in gross profit was partially offset by higher profitability in our commercial, industrial, and retail activities in the U.S. as well as our Kinect global energy services platform.</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marine segment gross profit for the first quarter of 2019 was $35.2 million, an increase of $4.0 million, or 12.8%, as compared to the first quarter of 2018. The gross profit increase was principally driven by higher profitability in our core resale business, partially offset by a reduction in low margin activity in Asia.</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for the first quarter of 2019 were $180.7 million, a decrease of $5.5 million, or 2.9%,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2018. The decrease in operating expenses was primarily due to reductions in base compensation and general and administrative costs as a result of our ongoing cost initiatives. The following table sets forth our expense categories (in millions):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4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5"/>
        </w:trPr>
        <w:tc>
          <w:tcPr>
            <w:tcW w:w="4860" w:type="dxa"/>
            <w:vAlign w:val="bottom"/>
            <w:tcBorders>
              <w:bottom w:val="single" w:sz="8" w:color="auto"/>
            </w:tcBorders>
          </w:tcPr>
          <w:p>
            <w:pPr>
              <w:spacing w:after="0"/>
              <w:rPr>
                <w:sz w:val="23"/>
                <w:szCs w:val="23"/>
                <w:color w:val="auto"/>
              </w:rPr>
            </w:pPr>
          </w:p>
        </w:tc>
        <w:tc>
          <w:tcPr>
            <w:tcW w:w="3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2"/>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64"/>
        </w:trPr>
        <w:tc>
          <w:tcPr>
            <w:tcW w:w="486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Compensation and employee benefits</w:t>
            </w:r>
          </w:p>
        </w:tc>
        <w:tc>
          <w:tcPr>
            <w:tcW w:w="3220" w:type="dxa"/>
            <w:vAlign w:val="bottom"/>
            <w:tcBorders>
              <w:bottom w:val="single" w:sz="8" w:color="CCEEFF"/>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110.1</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113.9</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37"/>
        </w:trPr>
        <w:tc>
          <w:tcPr>
            <w:tcW w:w="4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20" w:type="dxa"/>
            <w:vAlign w:val="bottom"/>
          </w:tcPr>
          <w:p>
            <w:pPr>
              <w:spacing w:after="0"/>
              <w:rPr>
                <w:sz w:val="20"/>
                <w:szCs w:val="20"/>
                <w:color w:val="auto"/>
              </w:rPr>
            </w:pP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70.6</w:t>
            </w: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72.3</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4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180.7</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186.2</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Income from operations during these periods was attributable to the following segments (in millions):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4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75"/>
        </w:trPr>
        <w:tc>
          <w:tcPr>
            <w:tcW w:w="4720" w:type="dxa"/>
            <w:vAlign w:val="bottom"/>
            <w:tcBorders>
              <w:bottom w:val="single" w:sz="8" w:color="auto"/>
            </w:tcBorders>
          </w:tcPr>
          <w:p>
            <w:pPr>
              <w:spacing w:after="0"/>
              <w:rPr>
                <w:sz w:val="23"/>
                <w:szCs w:val="23"/>
                <w:color w:val="auto"/>
              </w:rPr>
            </w:pPr>
          </w:p>
        </w:tc>
        <w:tc>
          <w:tcPr>
            <w:tcW w:w="33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2"/>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64"/>
        </w:trPr>
        <w:tc>
          <w:tcPr>
            <w:tcW w:w="472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Aviation segment</w:t>
            </w:r>
          </w:p>
        </w:tc>
        <w:tc>
          <w:tcPr>
            <w:tcW w:w="3380" w:type="dxa"/>
            <w:vAlign w:val="bottom"/>
            <w:tcBorders>
              <w:bottom w:val="single" w:sz="8" w:color="CCEEFF"/>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55.6</w:t>
            </w:r>
          </w:p>
        </w:tc>
        <w:tc>
          <w:tcPr>
            <w:tcW w:w="940" w:type="dxa"/>
            <w:vAlign w:val="bottom"/>
            <w:tcBorders>
              <w:bottom w:val="single" w:sz="8" w:color="CCEEFF"/>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47.8</w:t>
            </w:r>
          </w:p>
        </w:tc>
        <w:tc>
          <w:tcPr>
            <w:tcW w:w="540" w:type="dxa"/>
            <w:vAlign w:val="bottom"/>
            <w:tcBorders>
              <w:bottom w:val="single" w:sz="8" w:color="CCEEFF"/>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w:t>
            </w:r>
          </w:p>
        </w:tc>
      </w:tr>
      <w:tr>
        <w:trPr>
          <w:trHeight w:val="237"/>
        </w:trPr>
        <w:tc>
          <w:tcPr>
            <w:tcW w:w="4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Land segment</w:t>
            </w:r>
          </w:p>
        </w:tc>
        <w:tc>
          <w:tcPr>
            <w:tcW w:w="3380" w:type="dxa"/>
            <w:vAlign w:val="bottom"/>
          </w:tcPr>
          <w:p>
            <w:pPr>
              <w:spacing w:after="0"/>
              <w:rPr>
                <w:sz w:val="20"/>
                <w:szCs w:val="20"/>
                <w:color w:val="auto"/>
              </w:rPr>
            </w:pP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21.0</w:t>
            </w:r>
          </w:p>
        </w:tc>
        <w:tc>
          <w:tcPr>
            <w:tcW w:w="94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w:t>
            </w:r>
          </w:p>
        </w:tc>
        <w:tc>
          <w:tcPr>
            <w:tcW w:w="5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r>
      <w:tr>
        <w:trPr>
          <w:trHeight w:val="33"/>
        </w:trPr>
        <w:tc>
          <w:tcPr>
            <w:tcW w:w="4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Marine segment</w:t>
            </w:r>
          </w:p>
        </w:tc>
        <w:tc>
          <w:tcPr>
            <w:tcW w:w="33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13.5</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r>
      <w:tr>
        <w:trPr>
          <w:trHeight w:val="231"/>
        </w:trPr>
        <w:tc>
          <w:tcPr>
            <w:tcW w:w="472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90.1</w:t>
            </w: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75.9</w:t>
            </w: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14.2</w:t>
            </w:r>
          </w:p>
        </w:tc>
      </w:tr>
      <w:tr>
        <w:trPr>
          <w:trHeight w:val="33"/>
        </w:trPr>
        <w:tc>
          <w:tcPr>
            <w:tcW w:w="4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Corporate overhead - unallocated</w:t>
            </w:r>
          </w:p>
        </w:tc>
        <w:tc>
          <w:tcPr>
            <w:tcW w:w="33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(19.7)</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1"/>
        </w:trPr>
        <w:tc>
          <w:tcPr>
            <w:tcW w:w="472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70.4</w:t>
            </w:r>
          </w:p>
        </w:tc>
        <w:tc>
          <w:tcPr>
            <w:tcW w:w="940" w:type="dxa"/>
            <w:vAlign w:val="bottom"/>
            <w:tcBorders>
              <w:top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57.2</w:t>
            </w:r>
          </w:p>
        </w:tc>
        <w:tc>
          <w:tcPr>
            <w:tcW w:w="54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13.2</w:t>
            </w:r>
          </w:p>
        </w:tc>
      </w:tr>
      <w:tr>
        <w:trPr>
          <w:trHeight w:val="33"/>
        </w:trPr>
        <w:tc>
          <w:tcPr>
            <w:tcW w:w="47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income from operations for the first quarter of 2019 was $70.4 million, an increase of $13.2 million, or 23.0%, as compared to the first quarter of 2018, and includes $3.4 million of operating income to correct an item that should have been recognized in a prior period. All three reporting segments benefited from the improved operating efficiencies resulting from our ongoing cost initiatives. Within our aviation segment, the increase was primarily due to higher profitability in our government-related operations and growth in our international fueling operations. Within our marine segment, we experienced higher profitability as a result of improved profitability in our core resale business and lower operating costs, as compared to the first quarter of 2018. Within our land segment, improved profitability was driven primarily by operating efficiencies and partially offset by weak demand in the U.K. due to unseasonably warm winter weather and lower activity in North America resulting from our decision to exit certain non-core supply and trading activities.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Corporate overhead costs not charged to the business segments for the first quarter of 2019 were $19.7 million, an increase of $1.0 million, or 5.5%, as compared to the first quarter of 2018, primarily attributable to increases in employee benefits and general and administrative expenses.</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Non-Operating Expenses, net. </w:t>
      </w:r>
      <w:r>
        <w:rPr>
          <w:rFonts w:ascii="Times New Roman" w:cs="Times New Roman" w:eastAsia="Times New Roman" w:hAnsi="Times New Roman"/>
          <w:sz w:val="18"/>
          <w:szCs w:val="18"/>
          <w:color w:val="auto"/>
        </w:rPr>
        <w:t>For the first quarter of 2019, we had non-operating expenses of $19.0 million, an increase of $0.4 million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quarter of 2018, driven principally by interest and fees associated with our receivable purchase programs.</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the first quarter of 2019, our effective income tax rate was 27.3% and our income tax provision was $14.0 million, as compared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income tax rate of 19.0% and an income tax provision of $7.3 million for the first quarter of 2018. The higher effective income tax rate for the first quarter of 2019 was primarily related to differences in discrete items year over year. See Note 8 - Income Taxes for additional information.</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Net Income Attributable to Noncontrolling Interest</w:t>
      </w:r>
      <w:r>
        <w:rPr>
          <w:rFonts w:ascii="Times New Roman" w:cs="Times New Roman" w:eastAsia="Times New Roman" w:hAnsi="Times New Roman"/>
          <w:sz w:val="18"/>
          <w:szCs w:val="18"/>
          <w:color w:val="auto"/>
        </w:rPr>
        <w:t>. For the first quarter of 2019, net income attributable to noncontrolling interest was $0.1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the same as the first quarter of 2018.</w:t>
      </w:r>
    </w:p>
    <w:p>
      <w:pPr>
        <w:spacing w:after="0" w:line="13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Net Income and Diluted Earnings per Common Share</w:t>
      </w:r>
      <w:r>
        <w:rPr>
          <w:rFonts w:ascii="Times New Roman" w:cs="Times New Roman" w:eastAsia="Times New Roman" w:hAnsi="Times New Roman"/>
          <w:sz w:val="18"/>
          <w:szCs w:val="18"/>
          <w:color w:val="auto"/>
        </w:rPr>
        <w:t>. For the first quarter of 2019, we had a net income of $37.2 million and diluted earnings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share of $0.55 as compared to net income of $31.2 million and diluted earnings per common share of $0.46 for the first quarter of 2018.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income for the first quarter of 2019 includes a discrete tax benefit of $3.2 million with respect to a foreign tax filing and $3.4 million of operating income ($2.3 million after-tax), each of which should have been recognized in a prior period. Excluding these misstatements, which we have determined were not material to current or prior periods, our net income would have been $31.7 million, or $0.47 per diluted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liquidity, consisting of cash and cash equivalents and availability under the Credit Facility fluctuates based on a number of factors, including the timing of receipts from our customers and payments to our suppliers as well as changes in fuel prices. Availability under our Credit Facility is also limited by, among other things, our financial leverage ratio, which limits the total amount of indebtedness we may incur, and may, therefore, fluctuate from period to period.</w:t>
      </w:r>
    </w:p>
    <w:p>
      <w:pPr>
        <w:spacing w:after="0" w:line="14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Cash and liquidity are significant priorities for us, particularly in a high fuel price environment. Our primary use of cash and liquidity is to fund working capital and strategic investments. Increases in fuel prices can negatively affect liquidity by increasing the amount of cash required to fund fuel purchases. In addition, while we are usually extended unsecured trade credit from our suppliers for our fuel purchases, rising fuel prices may reduce the amount of fuel which we can purchase on an unsecured basis, and in certain cases, we may be required to prepay fuel purchases, which would negatively impact our liquidity. Fuel price increases may also negatively impact our customers, whereby they may not be able to purchase as much fuel from us because of their credit limits with us and the resulting adverse impact on their business could cause them to be unable to make payments owed to us for fuel purchased on credit. They may also choose to reduce the amount of fuel they consume in their operations to reduce costs. In any such event, the volume of orders from our customers may thereafter decrease and we may not be able to replace lost volumes with new or existing customers.</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our cash and cash equivalents as of March 31, 2019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major categories of cash flows for the three months ended March 31, 2019 and 2018 (in millions). For additional details, please see the consolidated statements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100" w:type="dxa"/>
            <w:vAlign w:val="bottom"/>
            <w:gridSpan w:val="3"/>
          </w:tcPr>
          <w:p>
            <w:pPr>
              <w:jc w:val="center"/>
              <w:ind w:left="625"/>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40" w:type="dxa"/>
            <w:vAlign w:val="bottom"/>
          </w:tcPr>
          <w:p>
            <w:pPr>
              <w:spacing w:after="0"/>
              <w:rPr>
                <w:sz w:val="16"/>
                <w:szCs w:val="16"/>
                <w:color w:val="auto"/>
              </w:rPr>
            </w:pPr>
          </w:p>
        </w:tc>
      </w:tr>
      <w:tr>
        <w:trPr>
          <w:trHeight w:val="275"/>
        </w:trPr>
        <w:tc>
          <w:tcPr>
            <w:tcW w:w="766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2"/>
          </w:tcPr>
          <w:p>
            <w:pPr>
              <w:jc w:val="center"/>
              <w:ind w:right="46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23"/>
                <w:szCs w:val="23"/>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220" w:type="dxa"/>
            <w:vAlign w:val="bottom"/>
            <w:tcBorders>
              <w:bottom w:val="single" w:sz="8" w:color="CCEEFF"/>
            </w:tcBorders>
            <w:shd w:val="clear" w:color="auto" w:fill="CCEEFF"/>
          </w:tcPr>
          <w:p>
            <w:pPr>
              <w:jc w:val="right"/>
              <w:ind w:right="1025"/>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10.8</w:t>
            </w:r>
          </w:p>
        </w:tc>
        <w:tc>
          <w:tcPr>
            <w:tcW w:w="1240" w:type="dxa"/>
            <w:vAlign w:val="bottom"/>
            <w:tcBorders>
              <w:bottom w:val="single" w:sz="8" w:color="CCEEFF"/>
            </w:tcBorders>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22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(18.5)</w:t>
            </w:r>
          </w:p>
        </w:tc>
        <w:tc>
          <w:tcPr>
            <w:tcW w:w="12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86.1</w:t>
            </w:r>
          </w:p>
        </w:tc>
      </w:tr>
      <w:tr>
        <w:trPr>
          <w:trHeight w:val="33"/>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w:t>
            </w: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*The adoption of ASU 2016-15 resulted in operating cash flow decreases and investing cash flow increases of $120.0 million for the three months ended March 31, 2018.</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the beginning of 2018, accounting standards update 2016-15 (“ASU 2016-15”) became effective for us and provided revised guidance on the presentation of certain items, including those associated with retained beneficial interests in accounts receivable sale programs. Under the terms of our receivables purchase agreements (“RPAs”) with Wells Fargo and Citibank, we were entitled to retained beneficial interests, which gave us the right to receive additional cash consideration of either 10% or 6%, as a result of receiving cash consideration equal to either 90% or 94%, respectively of the total accounts receivables balance. Under the revised guidance, previously disclosed cash inflows attributable to held beneficial interests are no longer treated as a component of accounts receivables, net in operating activities, but instead are classified separately as an investing activity. However, during the quarter ended September 30, 2018, we amended the RPAs with Wells Fargo and Citibank to remove the retained beneficial interests, allowing us to sell 100% of our outstanding qualifying accounts receivable balances and receive cash consideration equal to the total balance, less a discount margin equal to LIBOR plus 1% to 3%.</w:t>
      </w:r>
    </w:p>
    <w:p>
      <w:pPr>
        <w:spacing w:after="0" w:line="18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For the first three months of 2019, net cash provided by operating activities was $10.8 million as compared to net cash used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activities of $228.8 million for the first three months of 2018. The $239.6 million change in operating cash flows was principally due to year-over-year changes in accounts receivables, accounts payable and derivatives. The increases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accounts receivable and accounts payable were primarily associated with the timing of collections and payments. Cash flows from derivative contracts increased by $167.0 million as compared to the first three months of 2018, primarily as a result of roll off and realization of favorable positions during the period.</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For the first three months of 2019, net cash used in investing activities was $18.5 million as compared to net cash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activities of $86.1 million for the first three months of 2018. The $104.6 million change in investing activities cash flows was principally due to decreased cash receipts of retained beneficial interests in receivables sales, resulting from the amendment of our RPA arrangement with Wells Fargo and Citibank.</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For the first three months of 2019, net cash used in financing activities was $10.9 million as compared to net cash used in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of $80.8 million for the first three months of 2018. The $69.9 million change was principally due to a $73.7 million increase in net borrowing of debt under our credit facility in the first three months of 2019 as compared to the first three months of 2018.</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Liquidity Measures</w:t>
      </w:r>
    </w:p>
    <w:p>
      <w:pPr>
        <w:spacing w:after="0" w:line="22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As of March 31, 2019 and December 31, 2018, we had cash and cash equivalents of $194.0 million and $211.7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w:t>
      </w:r>
    </w:p>
    <w:p>
      <w:pPr>
        <w:spacing w:after="0" w:line="1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Credit Facility and Term Loans. </w:t>
      </w:r>
      <w:r>
        <w:rPr>
          <w:rFonts w:ascii="Times New Roman" w:cs="Times New Roman" w:eastAsia="Times New Roman" w:hAnsi="Times New Roman"/>
          <w:sz w:val="18"/>
          <w:szCs w:val="18"/>
          <w:color w:val="auto"/>
        </w:rPr>
        <w:t>On January 30, 2018, we amended our Credit Facility and elected to prepay $300.0 million of our outstanding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and decrease the borrowing capacity of our Credit Facility to $1.2 billion. We had $506.4 million and $514.8 million in Term Loans outstanding as of March 31, 2019 and December 31, 2018, respectively. Our Credit Facility includes a sublimit of $400.0 million for the issuance of letters of credit and bankers' acceptances. Under the Credit Facility, we have the right to request increases in available borrowings up to an additional $200.0 million, subject to the satisfaction of certain conditions. The credit facility matures in October 2021. We had outstanding borrowings under our Credit Facility totaling $170.0 million as of March 31, 2019 and December 31, 2018. Our issued letters of credit under the Credit Facility totaled $3.8 million and $4.1 million as of March 31, 2019 and December 31, 2018, respectively. As of March 31, 2019 and December 31, 2018, the unused portion of our Credit Facility was $986.2 million and $985.9 million. The unused portion of our Credit Facility is limited by, among other things, our financial leverage ratio, which limits the total amount of indebtedness we may incur, and may, therefore, fluctuate from period to period.</w:t>
      </w:r>
    </w:p>
    <w:p>
      <w:pPr>
        <w:spacing w:after="0" w:line="19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Credit Facility and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cross-defaults under certain other agreements to which we are a party and impair our ability to obtain working capital advances and issue letters of credit, which would have a material adverse effect on our business, financial condition, results of operations and cash flows. As of March 31, 2019, we were in compliance with all financial covenants contained in our Credit Facility and our Term Loans.</w:t>
      </w:r>
    </w:p>
    <w:p>
      <w:pPr>
        <w:spacing w:after="0" w:line="18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Other Agreements</w:t>
      </w:r>
      <w:r>
        <w:rPr>
          <w:rFonts w:ascii="Times New Roman" w:cs="Times New Roman" w:eastAsia="Times New Roman" w:hAnsi="Times New Roman"/>
          <w:sz w:val="18"/>
          <w:szCs w:val="18"/>
          <w:color w:val="auto"/>
        </w:rPr>
        <w:t>. Additionally, we have other uncommitted credit lines primarily for the issuance of letters of credit, bank guarantees and bankers’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acceptances. These credit lines are renewable on an annual basis and are subject to fees at market rates. As of March 31, 2019 and December 31, 2018, our outstanding letters of credit and bank guarantees under these credit lines totaled $417.6 million and $303.6 million, respectively. We also have RPAs that allow for the sale of up to an aggregate of $725.0 million of our accounts receivable. Our sold accounts receivable under the RPAs was $479.0 million and $508.2 million, as of March 31, 2019 and December 31, 2018, respectively.</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Short-Term Debt</w:t>
      </w:r>
      <w:r>
        <w:rPr>
          <w:rFonts w:ascii="Times New Roman" w:cs="Times New Roman" w:eastAsia="Times New Roman" w:hAnsi="Times New Roman"/>
          <w:sz w:val="18"/>
          <w:szCs w:val="18"/>
          <w:color w:val="auto"/>
        </w:rPr>
        <w:t>. As of March 31, 2019, our short-term debt of $45.8 million primarily represents the current maturities (within the next twelve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Term Loan borrowings, certain promissory notes related to acquisitions and capital lease obligations.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for changes in the contractual obligations and off-balance sheet arrangements described below, there were no other material changes from December 31, 2018 to March 31, 2019. For a discussion of these matters, refer to “Contractual Obligations and Off-Balance Sheet Arrangements” in Item 7 of our 2018 10-K Report.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Derivative Obligations. </w:t>
      </w:r>
      <w:r>
        <w:rPr>
          <w:rFonts w:ascii="Times New Roman" w:cs="Times New Roman" w:eastAsia="Times New Roman" w:hAnsi="Times New Roman"/>
          <w:sz w:val="18"/>
          <w:szCs w:val="18"/>
          <w:color w:val="auto"/>
        </w:rPr>
        <w:t>As of March 31, 2019, our net derivative obligations were $57.2 million, principally due within one year.</w:t>
      </w:r>
    </w:p>
    <w:p>
      <w:pPr>
        <w:spacing w:after="0" w:line="22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Purchase Commitment Obligations. </w:t>
      </w:r>
      <w:r>
        <w:rPr>
          <w:rFonts w:ascii="Times New Roman" w:cs="Times New Roman" w:eastAsia="Times New Roman" w:hAnsi="Times New Roman"/>
          <w:sz w:val="18"/>
          <w:szCs w:val="18"/>
          <w:color w:val="auto"/>
        </w:rPr>
        <w:t>As of March 31, 2019, fixed purchase commitments under our derivative programs amounted to $38.8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due within one year.</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Letters of Credit and Bank Guarantees. </w:t>
      </w:r>
      <w:r>
        <w:rPr>
          <w:rFonts w:ascii="Times New Roman" w:cs="Times New Roman" w:eastAsia="Times New Roman" w:hAnsi="Times New Roman"/>
          <w:sz w:val="18"/>
          <w:szCs w:val="18"/>
          <w:color w:val="auto"/>
        </w:rPr>
        <w:t>In the normal course of business, we are required to provide letters of credit to certain suppliers. A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letters of credit expire within one year from their issuance, and expired letters of credit are renewed as needed. As of March 31, 2019, we had issued letters of credit and bank guarantees totaling $421.4 million under our Credit Facility and other uncommitted credit lines. For additional information on our Credit Facility and other credit lines, see the discussion in “Liquidity and Capital Resources” above.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new accounting pronouncements is included in Note 1, Basis of Presentation and Significant Accounting Policies, in the “Notes to the Consolidated Financial Statements” in this 10-Q Report.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about our derivative instruments, at their respective fair value positions as of March 31, 2019, see Notes to the Consolidated Financial Statements – </w:t>
      </w:r>
      <w:r>
        <w:rPr>
          <w:rFonts w:ascii="Times New Roman" w:cs="Times New Roman" w:eastAsia="Times New Roman" w:hAnsi="Times New Roman"/>
          <w:sz w:val="18"/>
          <w:szCs w:val="18"/>
          <w:i w:val="1"/>
          <w:iCs w:val="1"/>
          <w:color w:val="auto"/>
        </w:rPr>
        <w:t>Note 4. Derivatives.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exposures to interest rate or foreign currency risk since December 31, 2018. Please refer to our 2018 10-K Report for a complete discussion of our exposure to these risks.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March 31, 2019.</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 during the quarter ended March 31, 2019.</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20, 2016, we were informed that the U.S. Department of Justice (the “DOJ”) is conducting an investigation into the aviation fuel supply industry, including certain activities by us and other industry participants at an airport in Central America. In connection therewith, we were served with formal requests by the DOJ about our activities at that airport and our aviation fuel supply business more broadly. We are cooperating with the investigation.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are under review by the IRS and various other domestic and foreign tax authorities with regards to income tax and indirect tax matters and are involved in various challenges and litigation in a number of countries, including, in particular, U.S., Brazil, Denmark and South Korea, where the amounts under controversy may be material. See Notes 8 and 12 of the accompanying consolidated financial statements for additional details regarding certain tax matters.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repurchases of common stock made by us during the quarterly period ended March 31, 2019 (in thousands, except average price per share):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32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140" w:type="dxa"/>
            <w:vAlign w:val="bottom"/>
            <w:vMerge w:val="restart"/>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4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32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of Shares Purchased</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32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2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14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46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320" w:type="dxa"/>
            <w:vAlign w:val="bottom"/>
          </w:tcPr>
          <w:p>
            <w:pPr>
              <w:jc w:val="center"/>
              <w:ind w:left="888"/>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5"/>
        </w:trPr>
        <w:tc>
          <w:tcPr>
            <w:tcW w:w="236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7"/>
                <w:szCs w:val="7"/>
                <w:b w:val="1"/>
                <w:bCs w:val="1"/>
                <w:color w:val="auto"/>
              </w:rPr>
              <w:t>(1)</w:t>
            </w:r>
          </w:p>
        </w:tc>
        <w:tc>
          <w:tcPr>
            <w:tcW w:w="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320" w:type="dxa"/>
            <w:vAlign w:val="bottom"/>
            <w:tcBorders>
              <w:bottom w:val="single" w:sz="8" w:color="auto"/>
            </w:tcBorders>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7"/>
                <w:szCs w:val="7"/>
                <w:b w:val="1"/>
                <w:bCs w:val="1"/>
                <w:color w:val="auto"/>
              </w:rPr>
              <w:t>(2)</w:t>
            </w:r>
          </w:p>
        </w:tc>
        <w:tc>
          <w:tcPr>
            <w:tcW w:w="0" w:type="dxa"/>
            <w:vAlign w:val="bottom"/>
          </w:tcPr>
          <w:p>
            <w:pPr>
              <w:spacing w:after="0"/>
              <w:rPr>
                <w:sz w:val="1"/>
                <w:szCs w:val="1"/>
                <w:color w:val="auto"/>
              </w:rPr>
            </w:pPr>
          </w:p>
        </w:tc>
      </w:tr>
      <w:tr>
        <w:trPr>
          <w:trHeight w:val="269"/>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1/1/2019 - 1/31/2019</w:t>
            </w:r>
          </w:p>
        </w:tc>
        <w:tc>
          <w:tcPr>
            <w:tcW w:w="214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ind w:right="1388"/>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shd w:val="clear" w:color="auto" w:fill="CCEEFF"/>
          </w:tcPr>
          <w:p>
            <w:pPr>
              <w:jc w:val="right"/>
              <w:ind w:right="1848"/>
              <w:spacing w:after="0"/>
              <w:rPr>
                <w:sz w:val="20"/>
                <w:szCs w:val="20"/>
                <w:color w:val="auto"/>
              </w:rPr>
            </w:pPr>
            <w:r>
              <w:rPr>
                <w:rFonts w:ascii="Times New Roman" w:cs="Times New Roman" w:eastAsia="Times New Roman" w:hAnsi="Times New Roman"/>
                <w:sz w:val="14"/>
                <w:szCs w:val="14"/>
                <w:color w:val="auto"/>
              </w:rPr>
              <w:t>21.41</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79,986</w:t>
            </w:r>
          </w:p>
        </w:tc>
        <w:tc>
          <w:tcPr>
            <w:tcW w:w="0" w:type="dxa"/>
            <w:vAlign w:val="bottom"/>
          </w:tcPr>
          <w:p>
            <w:pPr>
              <w:spacing w:after="0"/>
              <w:rPr>
                <w:sz w:val="1"/>
                <w:szCs w:val="1"/>
                <w:color w:val="auto"/>
              </w:rPr>
            </w:pPr>
          </w:p>
        </w:tc>
      </w:tr>
      <w:tr>
        <w:trPr>
          <w:trHeight w:val="265"/>
        </w:trPr>
        <w:tc>
          <w:tcPr>
            <w:tcW w:w="2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2/1/2019 - 2/28/2019</w:t>
            </w:r>
          </w:p>
        </w:tc>
        <w:tc>
          <w:tcPr>
            <w:tcW w:w="2140" w:type="dxa"/>
            <w:vAlign w:val="bottom"/>
          </w:tcPr>
          <w:p>
            <w:pPr>
              <w:spacing w:after="0"/>
              <w:rPr>
                <w:sz w:val="23"/>
                <w:szCs w:val="23"/>
                <w:color w:val="auto"/>
              </w:rPr>
            </w:pP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1660" w:type="dxa"/>
            <w:vAlign w:val="bottom"/>
          </w:tcPr>
          <w:p>
            <w:pPr>
              <w:spacing w:after="0"/>
              <w:rPr>
                <w:sz w:val="23"/>
                <w:szCs w:val="23"/>
                <w:color w:val="auto"/>
              </w:rPr>
            </w:pPr>
          </w:p>
        </w:tc>
        <w:tc>
          <w:tcPr>
            <w:tcW w:w="2320" w:type="dxa"/>
            <w:vAlign w:val="bottom"/>
          </w:tcPr>
          <w:p>
            <w:pPr>
              <w:jc w:val="right"/>
              <w:ind w:right="1848"/>
              <w:spacing w:after="0"/>
              <w:rPr>
                <w:sz w:val="20"/>
                <w:szCs w:val="20"/>
                <w:color w:val="auto"/>
              </w:rPr>
            </w:pPr>
            <w:r>
              <w:rPr>
                <w:rFonts w:ascii="Times New Roman" w:cs="Times New Roman" w:eastAsia="Times New Roman" w:hAnsi="Times New Roman"/>
                <w:sz w:val="14"/>
                <w:szCs w:val="14"/>
                <w:color w:val="auto"/>
              </w:rPr>
              <w:t>23.99</w:t>
            </w:r>
          </w:p>
        </w:tc>
        <w:tc>
          <w:tcPr>
            <w:tcW w:w="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79,986</w:t>
            </w:r>
          </w:p>
        </w:tc>
        <w:tc>
          <w:tcPr>
            <w:tcW w:w="0" w:type="dxa"/>
            <w:vAlign w:val="bottom"/>
          </w:tcPr>
          <w:p>
            <w:pPr>
              <w:spacing w:after="0"/>
              <w:rPr>
                <w:sz w:val="1"/>
                <w:szCs w:val="1"/>
                <w:color w:val="auto"/>
              </w:rPr>
            </w:pPr>
          </w:p>
        </w:tc>
      </w:tr>
      <w:tr>
        <w:trPr>
          <w:trHeight w:val="270"/>
        </w:trPr>
        <w:tc>
          <w:tcPr>
            <w:tcW w:w="23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3/1/2019 - 3/31/2019</w:t>
            </w:r>
          </w:p>
        </w:tc>
        <w:tc>
          <w:tcPr>
            <w:tcW w:w="21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CEEFF"/>
          </w:tcPr>
          <w:p>
            <w:pPr>
              <w:spacing w:after="0"/>
              <w:rPr>
                <w:sz w:val="23"/>
                <w:szCs w:val="23"/>
                <w:color w:val="auto"/>
              </w:rPr>
            </w:pPr>
          </w:p>
        </w:tc>
        <w:tc>
          <w:tcPr>
            <w:tcW w:w="2320" w:type="dxa"/>
            <w:vAlign w:val="bottom"/>
            <w:tcBorders>
              <w:bottom w:val="single" w:sz="8" w:color="auto"/>
            </w:tcBorders>
            <w:shd w:val="clear" w:color="auto" w:fill="CCEEFF"/>
          </w:tcPr>
          <w:p>
            <w:pPr>
              <w:jc w:val="right"/>
              <w:ind w:right="18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79,986</w:t>
            </w:r>
          </w:p>
        </w:tc>
        <w:tc>
          <w:tcPr>
            <w:tcW w:w="0" w:type="dxa"/>
            <w:vAlign w:val="bottom"/>
          </w:tcPr>
          <w:p>
            <w:pPr>
              <w:spacing w:after="0"/>
              <w:rPr>
                <w:sz w:val="1"/>
                <w:szCs w:val="1"/>
                <w:color w:val="auto"/>
              </w:rPr>
            </w:pPr>
          </w:p>
        </w:tc>
      </w:tr>
      <w:tr>
        <w:trPr>
          <w:trHeight w:val="264"/>
        </w:trPr>
        <w:tc>
          <w:tcPr>
            <w:tcW w:w="2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1660" w:type="dxa"/>
            <w:vAlign w:val="bottom"/>
            <w:tcBorders>
              <w:bottom w:val="single" w:sz="8" w:color="auto"/>
            </w:tcBorders>
          </w:tcPr>
          <w:p>
            <w:pPr>
              <w:jc w:val="right"/>
              <w:ind w:right="1388"/>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tcBorders>
              <w:bottom w:val="single" w:sz="8" w:color="auto"/>
            </w:tcBorders>
          </w:tcPr>
          <w:p>
            <w:pPr>
              <w:jc w:val="right"/>
              <w:ind w:right="1848"/>
              <w:spacing w:after="0"/>
              <w:rPr>
                <w:sz w:val="20"/>
                <w:szCs w:val="20"/>
                <w:color w:val="auto"/>
              </w:rPr>
            </w:pPr>
            <w:r>
              <w:rPr>
                <w:rFonts w:ascii="Times New Roman" w:cs="Times New Roman" w:eastAsia="Times New Roman" w:hAnsi="Times New Roman"/>
                <w:sz w:val="14"/>
                <w:szCs w:val="14"/>
                <w:color w:val="auto"/>
              </w:rPr>
              <w:t>23.89</w:t>
            </w: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79,986</w:t>
            </w:r>
          </w:p>
        </w:tc>
        <w:tc>
          <w:tcPr>
            <w:tcW w:w="0" w:type="dxa"/>
            <w:vAlign w:val="bottom"/>
          </w:tcPr>
          <w:p>
            <w:pPr>
              <w:spacing w:after="0"/>
              <w:rPr>
                <w:sz w:val="1"/>
                <w:szCs w:val="1"/>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hanging="332"/>
        <w:spacing w:after="0" w:line="266" w:lineRule="auto"/>
        <w:tabs>
          <w:tab w:leader="none" w:pos="2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35" w:lineRule="exact"/>
        <w:rPr>
          <w:rFonts w:ascii="Times New Roman" w:cs="Times New Roman" w:eastAsia="Times New Roman" w:hAnsi="Times New Roman"/>
          <w:sz w:val="18"/>
          <w:szCs w:val="18"/>
          <w:color w:val="auto"/>
        </w:rPr>
      </w:pPr>
    </w:p>
    <w:p>
      <w:pPr>
        <w:ind w:left="340" w:hanging="332"/>
        <w:spacing w:after="0" w:line="258" w:lineRule="auto"/>
        <w:tabs>
          <w:tab w:leader="none" w:pos="2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2017, our Board of Directors approved a new common stock repurchase program which replaced the remainder of the existing program and authorized the purchase of up to $100.0 million in common stock (the “Repurchase Program”). The Repurchase Program does not require a minimum number of shares of common stock to be purchased, has no expiration date and may be suspended or discontinued at any time. As of March 31, 2019, approximately $80.0 million remains available for purchase under the Repurchase Program. The timing and amount of shares of common stock to be repurchased under the Repurchase Program will depend on market conditions, share price, securities law and other legal requirements and factors.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exhibits set forth in the following index of exhibits are filed as part of this 10-Q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r>
      <w:tr>
        <w:trPr>
          <w:trHeight w:val="196"/>
        </w:trPr>
        <w:tc>
          <w:tcPr>
            <w:tcW w:w="600" w:type="dxa"/>
            <w:vAlign w:val="bottom"/>
          </w:tcPr>
          <w:p>
            <w:pPr>
              <w:spacing w:after="0"/>
              <w:rPr>
                <w:sz w:val="17"/>
                <w:szCs w:val="17"/>
                <w:color w:val="auto"/>
              </w:rPr>
            </w:pPr>
          </w:p>
        </w:tc>
        <w:tc>
          <w:tcPr>
            <w:tcW w:w="320" w:type="dxa"/>
            <w:vAlign w:val="bottom"/>
            <w:tcBorders>
              <w:bottom w:val="single" w:sz="8" w:color="0000FF"/>
            </w:tcBorders>
          </w:tcPr>
          <w:p>
            <w:pPr>
              <w:jc w:val="right"/>
              <w:spacing w:after="0" w:line="196" w:lineRule="exact"/>
              <w:rPr>
                <w:rFonts w:ascii="Times New Roman" w:cs="Times New Roman" w:eastAsia="Times New Roman" w:hAnsi="Times New Roman"/>
                <w:sz w:val="18"/>
                <w:szCs w:val="18"/>
                <w:color w:val="0000FF"/>
                <w:w w:val="95"/>
              </w:rPr>
            </w:pPr>
            <w:hyperlink w:anchor="page36">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hyperlink>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Certification of the Chief Executive Officer pursuant to Rule 13a-14(a) or Rule 15d — 14(a).</w:t>
            </w:r>
          </w:p>
        </w:tc>
      </w:tr>
      <w:tr>
        <w:trPr>
          <w:trHeight w:val="547"/>
        </w:trPr>
        <w:tc>
          <w:tcPr>
            <w:tcW w:w="60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95"/>
              </w:rPr>
            </w:pPr>
            <w:hyperlink w:anchor="page37">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hyperlink>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Rule 13a-14(a) or Rule 15d — 14(a).</w:t>
            </w:r>
          </w:p>
        </w:tc>
      </w:tr>
      <w:tr>
        <w:trPr>
          <w:trHeight w:val="547"/>
        </w:trPr>
        <w:tc>
          <w:tcPr>
            <w:tcW w:w="60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95"/>
              </w:rPr>
            </w:pPr>
            <w:hyperlink w:anchor="page38">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hyperlink>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under Section 906 of the Sarbanes-Oxley Act of 2002.</w:t>
            </w:r>
          </w:p>
        </w:tc>
      </w:tr>
    </w:tbl>
    <w:p>
      <w:pPr>
        <w:spacing w:after="0" w:line="333" w:lineRule="exact"/>
        <w:rPr>
          <w:sz w:val="20"/>
          <w:szCs w:val="20"/>
          <w:color w:val="auto"/>
        </w:rPr>
      </w:pPr>
    </w:p>
    <w:p>
      <w:pPr>
        <w:jc w:val="both"/>
        <w:ind w:left="1980" w:right="40" w:hanging="1357"/>
        <w:spacing w:after="0" w:line="261"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World Fuel Services Corporation’s Quarterly Report on Form 10-Q for the quarter ended March 31, 2019,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May 7, 2019</w:t>
      </w:r>
      <w:r>
        <w:rPr>
          <w:sz w:val="20"/>
          <w:szCs w:val="20"/>
          <w:color w:val="auto"/>
        </w:rPr>
        <w:tab/>
      </w:r>
      <w:r>
        <w:rPr>
          <w:rFonts w:ascii="Times New Roman" w:cs="Times New Roman" w:eastAsia="Times New Roman" w:hAnsi="Times New Roman"/>
          <w:sz w:val="17"/>
          <w:szCs w:val="17"/>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 — 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Kasbar,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World Fuel Services Corporation for the period ended March 31, 2019;</w:t>
      </w:r>
    </w:p>
    <w:p>
      <w:pPr>
        <w:spacing w:after="0" w:line="184"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7, 2019</w:t>
      </w:r>
    </w:p>
    <w:p>
      <w:pPr>
        <w:spacing w:after="0" w:line="38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Michael J. Kasbar</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420"/>
          </w:cols>
          <w:pgMar w:left="240" w:top="117"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 — 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Ira M. Birns,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World Fuel Services Corporation for the period ended March 31, 2019;</w:t>
      </w:r>
    </w:p>
    <w:p>
      <w:pPr>
        <w:spacing w:after="0" w:line="184"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7, 2019</w:t>
      </w:r>
    </w:p>
    <w:p>
      <w:pPr>
        <w:spacing w:after="0" w:line="38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01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117"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 1350)</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52" w:lineRule="exact"/>
        <w:rPr>
          <w:sz w:val="20"/>
          <w:szCs w:val="20"/>
          <w:color w:val="auto"/>
        </w:rPr>
      </w:pPr>
    </w:p>
    <w:p>
      <w:pPr>
        <w:ind w:left="660" w:right="3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2019 (the “Report”)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7, 2019</w:t>
      </w:r>
    </w:p>
    <w:p>
      <w:pPr>
        <w:spacing w:after="0" w:line="38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288925</wp:posOffset>
            </wp:positionV>
            <wp:extent cx="70751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6"/>
    </w:lvl>
  </w:abstractNum>
  <w:abstractNum w:abstractNumId="3">
    <w:nsid w:val="7545E146"/>
    <w:multiLevelType w:val="hybridMultilevel"/>
    <w:lvl w:ilvl="0">
      <w:lvlJc w:val="left"/>
      <w:lvlText w:val="\emdash "/>
      <w:numFmt w:val="bullet"/>
      <w:start w:val="1"/>
    </w:lvl>
  </w:abstractNum>
  <w:abstractNum w:abstractNumId="4">
    <w:nsid w:val="515F007C"/>
    <w:multiLevelType w:val="hybridMultilevel"/>
    <w:lvl w:ilvl="0">
      <w:lvlJc w:val="left"/>
      <w:lvlText w:val="(%1)"/>
      <w:numFmt w:val="lowerRoman"/>
      <w:start w:val="3"/>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0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2019-12-28T12:40:26Z</dcterms:created>
  <dcterms:modified xsi:type="dcterms:W3CDTF">2019-12-28T12:40:26Z</dcterms:modified>
</cp:coreProperties>
</file>