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877570</wp:posOffset>
            </wp:positionH>
            <wp:positionV relativeFrom="page">
              <wp:posOffset>337820</wp:posOffset>
            </wp:positionV>
            <wp:extent cx="5805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page">
              <wp:posOffset>877570</wp:posOffset>
            </wp:positionH>
            <wp:positionV relativeFrom="page">
              <wp:posOffset>354965</wp:posOffset>
            </wp:positionV>
            <wp:extent cx="5805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5805" cy="8890"/>
                    </a:xfrm>
                    <a:prstGeom prst="rect">
                      <a:avLst/>
                    </a:prstGeom>
                    <a:noFill/>
                  </pic:spPr>
                </pic:pic>
              </a:graphicData>
            </a:graphic>
          </wp:anchor>
        </w:drawing>
        <w:t>UNITED STATES</w:t>
      </w:r>
    </w:p>
    <w:p>
      <w:pPr>
        <w:spacing w:after="0" w:line="5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ind w:left="3860"/>
        <w:spacing w:after="0"/>
        <w:rPr>
          <w:sz w:val="20"/>
          <w:szCs w:val="20"/>
          <w:color w:val="auto"/>
        </w:rPr>
      </w:pPr>
      <w:r>
        <w:rPr>
          <w:rFonts w:ascii="Arial" w:cs="Arial" w:eastAsia="Arial" w:hAnsi="Arial"/>
          <w:sz w:val="18"/>
          <w:szCs w:val="18"/>
          <w:color w:val="auto"/>
        </w:rPr>
        <w:t>________________</w:t>
      </w:r>
    </w:p>
    <w:p>
      <w:pPr>
        <w:spacing w:after="0" w:line="37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CURRENT REPORT</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 January 30, 2015</w:t>
      </w:r>
    </w:p>
    <w:p>
      <w:pPr>
        <w:spacing w:after="0" w:line="336"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WORLD FUEL SERVICES CORPORATION</w:t>
      </w:r>
    </w:p>
    <w:p>
      <w:pPr>
        <w:jc w:val="center"/>
        <w:ind w:right="-8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87"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3080" w:type="dxa"/>
            <w:vAlign w:val="bottom"/>
          </w:tcPr>
          <w:p>
            <w:pPr>
              <w:jc w:val="center"/>
              <w:ind w:right="1502"/>
              <w:spacing w:after="0"/>
              <w:rPr>
                <w:sz w:val="20"/>
                <w:szCs w:val="20"/>
                <w:color w:val="auto"/>
              </w:rPr>
            </w:pPr>
            <w:r>
              <w:rPr>
                <w:rFonts w:ascii="Arial" w:cs="Arial" w:eastAsia="Arial" w:hAnsi="Arial"/>
                <w:sz w:val="18"/>
                <w:szCs w:val="18"/>
                <w:b w:val="1"/>
                <w:bCs w:val="1"/>
                <w:color w:val="auto"/>
                <w:w w:val="96"/>
              </w:rPr>
              <w:t>Florida</w:t>
            </w:r>
          </w:p>
        </w:tc>
        <w:tc>
          <w:tcPr>
            <w:tcW w:w="1880" w:type="dxa"/>
            <w:vAlign w:val="bottom"/>
          </w:tcPr>
          <w:p>
            <w:pPr>
              <w:jc w:val="center"/>
              <w:ind w:right="442"/>
              <w:spacing w:after="0"/>
              <w:rPr>
                <w:sz w:val="20"/>
                <w:szCs w:val="20"/>
                <w:color w:val="auto"/>
              </w:rPr>
            </w:pPr>
            <w:r>
              <w:rPr>
                <w:rFonts w:ascii="Arial" w:cs="Arial" w:eastAsia="Arial" w:hAnsi="Arial"/>
                <w:sz w:val="18"/>
                <w:szCs w:val="18"/>
                <w:b w:val="1"/>
                <w:bCs w:val="1"/>
                <w:color w:val="auto"/>
                <w:w w:val="92"/>
              </w:rPr>
              <w:t>1-9533</w:t>
            </w:r>
          </w:p>
        </w:tc>
        <w:tc>
          <w:tcPr>
            <w:tcW w:w="2340" w:type="dxa"/>
            <w:vAlign w:val="bottom"/>
          </w:tcPr>
          <w:p>
            <w:pPr>
              <w:jc w:val="center"/>
              <w:ind w:left="1203"/>
              <w:spacing w:after="0"/>
              <w:rPr>
                <w:sz w:val="20"/>
                <w:szCs w:val="20"/>
                <w:color w:val="auto"/>
              </w:rPr>
            </w:pPr>
            <w:r>
              <w:rPr>
                <w:rFonts w:ascii="Arial" w:cs="Arial" w:eastAsia="Arial" w:hAnsi="Arial"/>
                <w:sz w:val="18"/>
                <w:szCs w:val="18"/>
                <w:b w:val="1"/>
                <w:bCs w:val="1"/>
                <w:color w:val="auto"/>
                <w:w w:val="89"/>
              </w:rPr>
              <w:t>59-2459427</w:t>
            </w:r>
          </w:p>
        </w:tc>
        <w:tc>
          <w:tcPr>
            <w:tcW w:w="0" w:type="dxa"/>
            <w:vAlign w:val="bottom"/>
          </w:tcPr>
          <w:p>
            <w:pPr>
              <w:spacing w:after="0"/>
              <w:rPr>
                <w:sz w:val="1"/>
                <w:szCs w:val="1"/>
                <w:color w:val="auto"/>
              </w:rPr>
            </w:pPr>
          </w:p>
        </w:tc>
      </w:tr>
      <w:tr>
        <w:trPr>
          <w:trHeight w:val="140"/>
        </w:trPr>
        <w:tc>
          <w:tcPr>
            <w:tcW w:w="3080" w:type="dxa"/>
            <w:vAlign w:val="bottom"/>
          </w:tcPr>
          <w:p>
            <w:pPr>
              <w:jc w:val="center"/>
              <w:ind w:right="1502"/>
              <w:spacing w:after="0" w:line="141" w:lineRule="exact"/>
              <w:rPr>
                <w:sz w:val="20"/>
                <w:szCs w:val="20"/>
                <w:color w:val="auto"/>
              </w:rPr>
            </w:pPr>
            <w:r>
              <w:rPr>
                <w:rFonts w:ascii="Arial" w:cs="Arial" w:eastAsia="Arial" w:hAnsi="Arial"/>
                <w:sz w:val="14"/>
                <w:szCs w:val="14"/>
                <w:color w:val="auto"/>
                <w:w w:val="94"/>
              </w:rPr>
              <w:t>(State or other jurisdiction</w:t>
            </w:r>
          </w:p>
        </w:tc>
        <w:tc>
          <w:tcPr>
            <w:tcW w:w="1880" w:type="dxa"/>
            <w:vAlign w:val="bottom"/>
          </w:tcPr>
          <w:p>
            <w:pPr>
              <w:jc w:val="center"/>
              <w:ind w:right="442"/>
              <w:spacing w:after="0" w:line="141" w:lineRule="exact"/>
              <w:rPr>
                <w:sz w:val="20"/>
                <w:szCs w:val="20"/>
                <w:color w:val="auto"/>
              </w:rPr>
            </w:pPr>
            <w:r>
              <w:rPr>
                <w:rFonts w:ascii="Arial" w:cs="Arial" w:eastAsia="Arial" w:hAnsi="Arial"/>
                <w:sz w:val="14"/>
                <w:szCs w:val="14"/>
                <w:color w:val="auto"/>
                <w:w w:val="93"/>
              </w:rPr>
              <w:t>(Commission</w:t>
            </w:r>
          </w:p>
        </w:tc>
        <w:tc>
          <w:tcPr>
            <w:tcW w:w="2340" w:type="dxa"/>
            <w:vAlign w:val="bottom"/>
          </w:tcPr>
          <w:p>
            <w:pPr>
              <w:jc w:val="center"/>
              <w:ind w:left="1183"/>
              <w:spacing w:after="0" w:line="141"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3080" w:type="dxa"/>
            <w:vAlign w:val="bottom"/>
          </w:tcPr>
          <w:p>
            <w:pPr>
              <w:jc w:val="center"/>
              <w:ind w:right="1502"/>
              <w:spacing w:after="0"/>
              <w:rPr>
                <w:sz w:val="20"/>
                <w:szCs w:val="20"/>
                <w:color w:val="auto"/>
              </w:rPr>
            </w:pPr>
            <w:r>
              <w:rPr>
                <w:rFonts w:ascii="Arial" w:cs="Arial" w:eastAsia="Arial" w:hAnsi="Arial"/>
                <w:sz w:val="14"/>
                <w:szCs w:val="14"/>
                <w:color w:val="auto"/>
                <w:w w:val="96"/>
              </w:rPr>
              <w:t>of incorporation)</w:t>
            </w:r>
          </w:p>
        </w:tc>
        <w:tc>
          <w:tcPr>
            <w:tcW w:w="1880" w:type="dxa"/>
            <w:vAlign w:val="bottom"/>
          </w:tcPr>
          <w:p>
            <w:pPr>
              <w:jc w:val="center"/>
              <w:ind w:right="442"/>
              <w:spacing w:after="0"/>
              <w:rPr>
                <w:sz w:val="20"/>
                <w:szCs w:val="20"/>
                <w:color w:val="auto"/>
              </w:rPr>
            </w:pPr>
            <w:r>
              <w:rPr>
                <w:rFonts w:ascii="Arial" w:cs="Arial" w:eastAsia="Arial" w:hAnsi="Arial"/>
                <w:sz w:val="14"/>
                <w:szCs w:val="14"/>
                <w:color w:val="auto"/>
                <w:w w:val="93"/>
              </w:rPr>
              <w:t>File Number)</w:t>
            </w:r>
          </w:p>
        </w:tc>
        <w:tc>
          <w:tcPr>
            <w:tcW w:w="2340" w:type="dxa"/>
            <w:vAlign w:val="bottom"/>
          </w:tcPr>
          <w:p>
            <w:pPr>
              <w:jc w:val="center"/>
              <w:ind w:left="1203"/>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591"/>
        </w:trPr>
        <w:tc>
          <w:tcPr>
            <w:tcW w:w="3080" w:type="dxa"/>
            <w:vAlign w:val="bottom"/>
          </w:tcPr>
          <w:p>
            <w:pPr>
              <w:jc w:val="center"/>
              <w:ind w:left="142"/>
              <w:spacing w:after="0"/>
              <w:rPr>
                <w:sz w:val="20"/>
                <w:szCs w:val="20"/>
                <w:color w:val="auto"/>
              </w:rPr>
            </w:pPr>
            <w:r>
              <w:rPr>
                <w:rFonts w:ascii="Arial" w:cs="Arial" w:eastAsia="Arial" w:hAnsi="Arial"/>
                <w:sz w:val="16"/>
                <w:szCs w:val="16"/>
                <w:b w:val="1"/>
                <w:bCs w:val="1"/>
                <w:color w:val="auto"/>
                <w:w w:val="90"/>
              </w:rPr>
              <w:t>9800 N.W. 41</w:t>
            </w:r>
            <w:r>
              <w:rPr>
                <w:rFonts w:ascii="Arial" w:cs="Arial" w:eastAsia="Arial" w:hAnsi="Arial"/>
                <w:sz w:val="17"/>
                <w:szCs w:val="17"/>
                <w:b w:val="1"/>
                <w:bCs w:val="1"/>
                <w:color w:val="auto"/>
                <w:w w:val="90"/>
                <w:vertAlign w:val="superscript"/>
              </w:rPr>
              <w:t>st</w:t>
            </w:r>
            <w:r>
              <w:rPr>
                <w:rFonts w:ascii="Arial" w:cs="Arial" w:eastAsia="Arial" w:hAnsi="Arial"/>
                <w:sz w:val="16"/>
                <w:szCs w:val="16"/>
                <w:b w:val="1"/>
                <w:bCs w:val="1"/>
                <w:color w:val="auto"/>
                <w:w w:val="90"/>
              </w:rPr>
              <w:t xml:space="preserve"> Street, Suite 400</w:t>
            </w:r>
          </w:p>
        </w:tc>
        <w:tc>
          <w:tcPr>
            <w:tcW w:w="1880" w:type="dxa"/>
            <w:vAlign w:val="bottom"/>
          </w:tcPr>
          <w:p>
            <w:pPr>
              <w:spacing w:after="0"/>
              <w:rPr>
                <w:sz w:val="24"/>
                <w:szCs w:val="24"/>
                <w:color w:val="auto"/>
              </w:rPr>
            </w:pPr>
          </w:p>
        </w:tc>
        <w:tc>
          <w:tcPr>
            <w:tcW w:w="2340" w:type="dxa"/>
            <w:vAlign w:val="bottom"/>
            <w:vMerge w:val="restart"/>
          </w:tcPr>
          <w:p>
            <w:pPr>
              <w:jc w:val="right"/>
              <w:ind w:right="943"/>
              <w:spacing w:after="0"/>
              <w:rPr>
                <w:sz w:val="20"/>
                <w:szCs w:val="20"/>
                <w:color w:val="auto"/>
              </w:rPr>
            </w:pPr>
            <w:r>
              <w:rPr>
                <w:rFonts w:ascii="Arial" w:cs="Arial" w:eastAsia="Arial" w:hAnsi="Arial"/>
                <w:sz w:val="16"/>
                <w:szCs w:val="16"/>
                <w:b w:val="1"/>
                <w:bCs w:val="1"/>
                <w:color w:val="auto"/>
              </w:rPr>
              <w:t>33178</w:t>
            </w:r>
          </w:p>
        </w:tc>
        <w:tc>
          <w:tcPr>
            <w:tcW w:w="0" w:type="dxa"/>
            <w:vAlign w:val="bottom"/>
          </w:tcPr>
          <w:p>
            <w:pPr>
              <w:spacing w:after="0"/>
              <w:rPr>
                <w:sz w:val="1"/>
                <w:szCs w:val="1"/>
                <w:color w:val="auto"/>
              </w:rPr>
            </w:pPr>
          </w:p>
        </w:tc>
      </w:tr>
      <w:tr>
        <w:trPr>
          <w:trHeight w:val="206"/>
        </w:trPr>
        <w:tc>
          <w:tcPr>
            <w:tcW w:w="3080" w:type="dxa"/>
            <w:vAlign w:val="bottom"/>
          </w:tcPr>
          <w:p>
            <w:pPr>
              <w:jc w:val="center"/>
              <w:ind w:left="142"/>
              <w:spacing w:after="0"/>
              <w:rPr>
                <w:sz w:val="20"/>
                <w:szCs w:val="20"/>
                <w:color w:val="auto"/>
              </w:rPr>
            </w:pPr>
            <w:r>
              <w:rPr>
                <w:rFonts w:ascii="Arial" w:cs="Arial" w:eastAsia="Arial" w:hAnsi="Arial"/>
                <w:sz w:val="16"/>
                <w:szCs w:val="16"/>
                <w:color w:val="auto"/>
                <w:w w:val="97"/>
              </w:rPr>
              <w:t>Miami, Florida</w:t>
            </w:r>
          </w:p>
        </w:tc>
        <w:tc>
          <w:tcPr>
            <w:tcW w:w="1880" w:type="dxa"/>
            <w:vAlign w:val="bottom"/>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80" w:type="dxa"/>
            <w:vAlign w:val="bottom"/>
          </w:tcPr>
          <w:p>
            <w:pPr>
              <w:jc w:val="center"/>
              <w:ind w:left="122"/>
              <w:spacing w:after="0"/>
              <w:rPr>
                <w:sz w:val="20"/>
                <w:szCs w:val="20"/>
                <w:color w:val="auto"/>
              </w:rPr>
            </w:pPr>
            <w:r>
              <w:rPr>
                <w:rFonts w:ascii="Arial" w:cs="Arial" w:eastAsia="Arial" w:hAnsi="Arial"/>
                <w:sz w:val="14"/>
                <w:szCs w:val="14"/>
                <w:color w:val="auto"/>
                <w:w w:val="95"/>
              </w:rPr>
              <w:t>(Address of principal executive offices)</w:t>
            </w:r>
          </w:p>
        </w:tc>
        <w:tc>
          <w:tcPr>
            <w:tcW w:w="1880" w:type="dxa"/>
            <w:vAlign w:val="bottom"/>
          </w:tcPr>
          <w:p>
            <w:pPr>
              <w:spacing w:after="0"/>
              <w:rPr>
                <w:sz w:val="19"/>
                <w:szCs w:val="19"/>
                <w:color w:val="auto"/>
              </w:rPr>
            </w:pPr>
          </w:p>
        </w:tc>
        <w:tc>
          <w:tcPr>
            <w:tcW w:w="2340" w:type="dxa"/>
            <w:vAlign w:val="bottom"/>
          </w:tcPr>
          <w:p>
            <w:pPr>
              <w:jc w:val="center"/>
              <w:ind w:right="2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241"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(305) 428-8000</w:t>
      </w:r>
    </w:p>
    <w:p>
      <w:pPr>
        <w:spacing w:after="0" w:line="200" w:lineRule="exact"/>
        <w:rPr>
          <w:sz w:val="24"/>
          <w:szCs w:val="24"/>
          <w:color w:val="auto"/>
        </w:rPr>
      </w:pPr>
    </w:p>
    <w:p>
      <w:pPr>
        <w:spacing w:after="0" w:line="250" w:lineRule="exact"/>
        <w:rPr>
          <w:sz w:val="24"/>
          <w:szCs w:val="24"/>
          <w:color w:val="auto"/>
        </w:rPr>
      </w:pPr>
    </w:p>
    <w:p>
      <w:pPr>
        <w:ind w:right="139"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80" w:hanging="25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25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253"/>
        <w:spacing w:after="0" w:line="184" w:lineRule="exact"/>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w:t>
      </w:r>
      <w:r>
        <w:rPr>
          <w:rFonts w:ascii="MS PGothic" w:cs="MS PGothic" w:eastAsia="MS PGothic" w:hAnsi="MS PGothic"/>
          <w:sz w:val="16"/>
          <w:szCs w:val="16"/>
          <w:color w:val="auto"/>
        </w:rPr>
        <w:t>‑</w:t>
      </w:r>
      <w:r>
        <w:rPr>
          <w:rFonts w:ascii="Arial" w:cs="Arial" w:eastAsia="Arial" w:hAnsi="Arial"/>
          <w:sz w:val="16"/>
          <w:szCs w:val="16"/>
          <w:color w:val="auto"/>
        </w:rPr>
        <w:t>2(b))</w:t>
      </w:r>
    </w:p>
    <w:p>
      <w:pPr>
        <w:spacing w:after="0" w:line="140" w:lineRule="exact"/>
        <w:rPr>
          <w:rFonts w:ascii="MS PGothic" w:cs="MS PGothic" w:eastAsia="MS PGothic" w:hAnsi="MS PGothic"/>
          <w:sz w:val="16"/>
          <w:szCs w:val="16"/>
          <w:color w:val="auto"/>
        </w:rPr>
      </w:pPr>
    </w:p>
    <w:p>
      <w:pPr>
        <w:ind w:left="580" w:hanging="253"/>
        <w:spacing w:after="0" w:line="184" w:lineRule="exact"/>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w:t>
      </w:r>
      <w:r>
        <w:rPr>
          <w:rFonts w:ascii="MS PGothic" w:cs="MS PGothic" w:eastAsia="MS PGothic" w:hAnsi="MS PGothic"/>
          <w:sz w:val="16"/>
          <w:szCs w:val="16"/>
          <w:color w:val="auto"/>
        </w:rPr>
        <w:t>‑</w:t>
      </w:r>
      <w:r>
        <w:rPr>
          <w:rFonts w:ascii="Arial" w:cs="Arial" w:eastAsia="Arial" w:hAnsi="Arial"/>
          <w:sz w:val="16"/>
          <w:szCs w:val="16"/>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402590</wp:posOffset>
            </wp:positionV>
            <wp:extent cx="584835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79" w:right="1440" w:bottom="1440" w:gutter="0" w:footer="0" w:header="0"/>
        </w:sectPr>
      </w:pPr>
    </w:p>
    <w:bookmarkStart w:id="1" w:name="page2"/>
    <w:bookmarkEnd w:id="1"/>
    <w:p>
      <w:pPr>
        <w:spacing w:after="0"/>
        <w:tabs>
          <w:tab w:leader="none" w:pos="150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40"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On January 30, 2015, World Fuel Services Corporation (the “Company”) entered into Amendment No. 1 to the Fourth Amended and Restated Credit Agreement and Joinder Agreement (the “Amendment”) by and among the Company and certain of its subsidiaries, as borrowers, Bank of America, N.A., as administrative agent, and the financial institutions named therein as lenders. The Amendment amended certain terms and conditions of the Company’s Fourth Amended and Restated Credit Agreement, dated as of October 10, 2013, including to: (i) increase the size of the revolving credit facility to approximately $1.26 billion (which may be increased by up to an additional $150 million); (ii) add a new $100 million term loan facility, thereby increasing the aggregate outstanding term loans to approximately $340 million; and (iii) modify certain financial and other covenants to provide greater operating flexibility.</w:t>
      </w:r>
    </w:p>
    <w:p>
      <w:pPr>
        <w:spacing w:after="0" w:line="182"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The above description of the Amendment is qualified in its entirety by reference to the full text of the Amendment, a copy of which is filed as Exhibit 10.1 to this Current Report on Form 8-K and is incorporated herein by reference.</w:t>
      </w:r>
    </w:p>
    <w:p>
      <w:pPr>
        <w:spacing w:after="0" w:line="18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Certain of the lenders party to the Amendment and their respective affiliates have, from time to time, performed, and may in the future perform, various financial advisory, commercial banking and investment banking services for the Company, for which they received or will receive customary fees and expenses.</w:t>
      </w:r>
    </w:p>
    <w:p>
      <w:pPr>
        <w:spacing w:after="0" w:line="200" w:lineRule="exact"/>
        <w:rPr>
          <w:sz w:val="20"/>
          <w:szCs w:val="20"/>
          <w:color w:val="auto"/>
        </w:rPr>
      </w:pPr>
    </w:p>
    <w:p>
      <w:pPr>
        <w:spacing w:after="0" w:line="222"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information set forth above in Item 1.01 of this Form 8-K is incorporated herein by reference.</w:t>
      </w:r>
    </w:p>
    <w:p>
      <w:pPr>
        <w:spacing w:after="0" w:line="200" w:lineRule="exact"/>
        <w:rPr>
          <w:sz w:val="20"/>
          <w:szCs w:val="20"/>
          <w:color w:val="auto"/>
        </w:rPr>
      </w:pPr>
    </w:p>
    <w:p>
      <w:pPr>
        <w:spacing w:after="0" w:line="305"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40" w:hanging="63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1000" w:type="dxa"/>
            <w:vAlign w:val="bottom"/>
            <w:gridSpan w:val="2"/>
          </w:tcPr>
          <w:p>
            <w:pPr>
              <w:jc w:val="center"/>
              <w:ind w:right="300"/>
              <w:spacing w:after="0"/>
              <w:rPr>
                <w:sz w:val="20"/>
                <w:szCs w:val="20"/>
                <w:color w:val="auto"/>
              </w:rPr>
            </w:pPr>
            <w:r>
              <w:rPr>
                <w:rFonts w:ascii="Arial" w:cs="Arial" w:eastAsia="Arial" w:hAnsi="Arial"/>
                <w:sz w:val="22"/>
                <w:szCs w:val="22"/>
                <w:color w:val="auto"/>
                <w:w w:val="93"/>
              </w:rPr>
              <w:t>Exhibit</w:t>
            </w:r>
          </w:p>
        </w:tc>
        <w:tc>
          <w:tcPr>
            <w:tcW w:w="3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24"/>
        </w:trPr>
        <w:tc>
          <w:tcPr>
            <w:tcW w:w="1000" w:type="dxa"/>
            <w:vAlign w:val="bottom"/>
            <w:gridSpan w:val="2"/>
          </w:tcPr>
          <w:p>
            <w:pPr>
              <w:jc w:val="center"/>
              <w:ind w:right="300"/>
              <w:spacing w:after="0" w:line="224" w:lineRule="exact"/>
              <w:rPr>
                <w:sz w:val="20"/>
                <w:szCs w:val="20"/>
                <w:color w:val="auto"/>
              </w:rPr>
            </w:pPr>
            <w:r>
              <w:rPr>
                <w:rFonts w:ascii="Arial" w:cs="Arial" w:eastAsia="Arial" w:hAnsi="Arial"/>
                <w:sz w:val="22"/>
                <w:szCs w:val="22"/>
                <w:color w:val="auto"/>
                <w:w w:val="89"/>
              </w:rPr>
              <w:t>Number</w:t>
            </w:r>
          </w:p>
        </w:tc>
        <w:tc>
          <w:tcPr>
            <w:tcW w:w="3420" w:type="dxa"/>
            <w:vAlign w:val="bottom"/>
          </w:tcPr>
          <w:p>
            <w:pPr>
              <w:spacing w:after="0"/>
              <w:rPr>
                <w:sz w:val="19"/>
                <w:szCs w:val="19"/>
                <w:color w:val="auto"/>
              </w:rPr>
            </w:pPr>
          </w:p>
        </w:tc>
        <w:tc>
          <w:tcPr>
            <w:tcW w:w="4180" w:type="dxa"/>
            <w:vAlign w:val="bottom"/>
            <w:gridSpan w:val="2"/>
          </w:tcPr>
          <w:p>
            <w:pPr>
              <w:spacing w:after="0" w:line="224" w:lineRule="exact"/>
              <w:rPr>
                <w:sz w:val="20"/>
                <w:szCs w:val="20"/>
                <w:color w:val="auto"/>
              </w:rPr>
            </w:pPr>
            <w:r>
              <w:rPr>
                <w:rFonts w:ascii="Arial" w:cs="Arial" w:eastAsia="Arial" w:hAnsi="Arial"/>
                <w:sz w:val="22"/>
                <w:szCs w:val="22"/>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58"/>
        </w:trPr>
        <w:tc>
          <w:tcPr>
            <w:tcW w:w="700" w:type="dxa"/>
            <w:vAlign w:val="bottom"/>
          </w:tcPr>
          <w:p>
            <w:pPr>
              <w:jc w:val="center"/>
              <w:spacing w:after="0"/>
              <w:rPr>
                <w:sz w:val="20"/>
                <w:szCs w:val="20"/>
                <w:color w:val="auto"/>
              </w:rPr>
            </w:pPr>
            <w:r>
              <w:rPr>
                <w:rFonts w:ascii="Arial" w:cs="Arial" w:eastAsia="Arial" w:hAnsi="Arial"/>
                <w:sz w:val="22"/>
                <w:szCs w:val="22"/>
                <w:color w:val="auto"/>
                <w:w w:val="88"/>
              </w:rPr>
              <w:t>10.1</w:t>
            </w:r>
          </w:p>
        </w:tc>
        <w:tc>
          <w:tcPr>
            <w:tcW w:w="300" w:type="dxa"/>
            <w:vAlign w:val="bottom"/>
          </w:tcPr>
          <w:p>
            <w:pPr>
              <w:spacing w:after="0"/>
              <w:rPr>
                <w:sz w:val="24"/>
                <w:szCs w:val="24"/>
                <w:color w:val="auto"/>
              </w:rPr>
            </w:pPr>
          </w:p>
        </w:tc>
        <w:tc>
          <w:tcPr>
            <w:tcW w:w="7600" w:type="dxa"/>
            <w:vAlign w:val="bottom"/>
            <w:gridSpan w:val="3"/>
          </w:tcPr>
          <w:p>
            <w:pPr>
              <w:ind w:left="300"/>
              <w:spacing w:after="0"/>
              <w:rPr>
                <w:sz w:val="20"/>
                <w:szCs w:val="20"/>
                <w:color w:val="auto"/>
              </w:rPr>
            </w:pPr>
            <w:r>
              <w:rPr>
                <w:rFonts w:ascii="Arial" w:cs="Arial" w:eastAsia="Arial" w:hAnsi="Arial"/>
                <w:sz w:val="22"/>
                <w:szCs w:val="22"/>
                <w:color w:val="auto"/>
                <w:w w:val="94"/>
              </w:rPr>
              <w:t>Amendment No. 1 to the Fourth Amended and Restated Credit Agreement, and</w:t>
            </w:r>
          </w:p>
        </w:tc>
      </w:tr>
      <w:tr>
        <w:trPr>
          <w:trHeight w:val="243"/>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0" w:type="dxa"/>
            <w:vAlign w:val="bottom"/>
            <w:gridSpan w:val="3"/>
          </w:tcPr>
          <w:p>
            <w:pPr>
              <w:ind w:left="300"/>
              <w:spacing w:after="0" w:line="243" w:lineRule="exact"/>
              <w:rPr>
                <w:sz w:val="20"/>
                <w:szCs w:val="20"/>
                <w:color w:val="auto"/>
              </w:rPr>
            </w:pPr>
            <w:r>
              <w:rPr>
                <w:rFonts w:ascii="Arial" w:cs="Arial" w:eastAsia="Arial" w:hAnsi="Arial"/>
                <w:sz w:val="22"/>
                <w:szCs w:val="22"/>
                <w:color w:val="auto"/>
                <w:w w:val="95"/>
              </w:rPr>
              <w:t>Joinder Agreement, dated as of January 30, 2015, among World Fuel Services</w:t>
            </w:r>
          </w:p>
        </w:tc>
      </w:tr>
      <w:tr>
        <w:trPr>
          <w:trHeight w:val="243"/>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0" w:type="dxa"/>
            <w:vAlign w:val="bottom"/>
            <w:gridSpan w:val="3"/>
          </w:tcPr>
          <w:p>
            <w:pPr>
              <w:ind w:left="300"/>
              <w:spacing w:after="0" w:line="243" w:lineRule="exact"/>
              <w:rPr>
                <w:sz w:val="20"/>
                <w:szCs w:val="20"/>
                <w:color w:val="auto"/>
              </w:rPr>
            </w:pPr>
            <w:r>
              <w:rPr>
                <w:rFonts w:ascii="Arial" w:cs="Arial" w:eastAsia="Arial" w:hAnsi="Arial"/>
                <w:sz w:val="22"/>
                <w:szCs w:val="22"/>
                <w:color w:val="auto"/>
                <w:w w:val="89"/>
              </w:rPr>
              <w:t>Corporation, World Fuel Services Europe, Ltd. and World Fuel Services (Singapore)</w:t>
            </w:r>
          </w:p>
        </w:tc>
      </w:tr>
      <w:tr>
        <w:trPr>
          <w:trHeight w:val="243"/>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0" w:type="dxa"/>
            <w:vAlign w:val="bottom"/>
            <w:gridSpan w:val="3"/>
          </w:tcPr>
          <w:p>
            <w:pPr>
              <w:ind w:left="300"/>
              <w:spacing w:after="0" w:line="243" w:lineRule="exact"/>
              <w:rPr>
                <w:sz w:val="20"/>
                <w:szCs w:val="20"/>
                <w:color w:val="auto"/>
              </w:rPr>
            </w:pPr>
            <w:r>
              <w:rPr>
                <w:rFonts w:ascii="Arial" w:cs="Arial" w:eastAsia="Arial" w:hAnsi="Arial"/>
                <w:sz w:val="22"/>
                <w:szCs w:val="22"/>
                <w:color w:val="auto"/>
                <w:w w:val="95"/>
              </w:rPr>
              <w:t>Pte Ltd, as borrowers, Bank of America, N.A., as administrative agent, and the</w:t>
            </w:r>
          </w:p>
        </w:tc>
      </w:tr>
      <w:tr>
        <w:trPr>
          <w:trHeight w:val="275"/>
        </w:trPr>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0" w:type="dxa"/>
            <w:vAlign w:val="bottom"/>
            <w:gridSpan w:val="3"/>
          </w:tcPr>
          <w:p>
            <w:pPr>
              <w:ind w:left="300"/>
              <w:spacing w:after="0"/>
              <w:rPr>
                <w:sz w:val="20"/>
                <w:szCs w:val="20"/>
                <w:color w:val="auto"/>
              </w:rPr>
            </w:pPr>
            <w:r>
              <w:rPr>
                <w:rFonts w:ascii="Arial" w:cs="Arial" w:eastAsia="Arial" w:hAnsi="Arial"/>
                <w:sz w:val="22"/>
                <w:szCs w:val="22"/>
                <w:color w:val="auto"/>
              </w:rPr>
              <w:t>financial institutions named therein as lenders.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 w:name="page3"/>
    <w:bookmarkEnd w:id="2"/>
    <w:p>
      <w:pPr>
        <w:jc w:val="center"/>
        <w:ind w:right="-60"/>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479" w:firstLine="648"/>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120"/>
        <w:spacing w:after="0"/>
        <w:tabs>
          <w:tab w:leader="none" w:pos="4680" w:val="left"/>
        </w:tabs>
        <w:rPr>
          <w:sz w:val="20"/>
          <w:szCs w:val="20"/>
          <w:color w:val="auto"/>
        </w:rPr>
      </w:pPr>
      <w:r>
        <w:rPr>
          <w:rFonts w:ascii="Arial" w:cs="Arial" w:eastAsia="Arial" w:hAnsi="Arial"/>
          <w:sz w:val="22"/>
          <w:szCs w:val="22"/>
          <w:color w:val="auto"/>
        </w:rPr>
        <w:t>Date: February 4, 2015</w:t>
      </w:r>
      <w:r>
        <w:rPr>
          <w:sz w:val="20"/>
          <w:szCs w:val="20"/>
          <w:color w:val="auto"/>
        </w:rPr>
        <w:tab/>
      </w:r>
      <w:r>
        <w:rPr>
          <w:rFonts w:ascii="Arial" w:cs="Arial" w:eastAsia="Arial" w:hAnsi="Arial"/>
          <w:sz w:val="19"/>
          <w:szCs w:val="19"/>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7620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color w:val="auto"/>
        </w:rPr>
        <w:t>Ira M. Birns,</w:t>
      </w:r>
    </w:p>
    <w:p>
      <w:pPr>
        <w:ind w:left="4700"/>
        <w:spacing w:after="0" w:line="230"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328" w:right="1440" w:bottom="1440" w:gutter="0" w:footer="0" w:header="0"/>
        </w:sectPr>
      </w:pPr>
    </w:p>
    <w:bookmarkStart w:id="3" w:name="page4"/>
    <w:bookmarkEnd w:id="3"/>
    <w:tbl>
      <w:tblPr>
        <w:tblLayout w:type="fixed"/>
        <w:tblInd w:w="8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0" w:type="dxa"/>
            <w:vAlign w:val="bottom"/>
            <w:gridSpan w:val="5"/>
          </w:tcPr>
          <w:p>
            <w:pPr>
              <w:ind w:left="2640"/>
              <w:spacing w:after="0"/>
              <w:rPr>
                <w:sz w:val="20"/>
                <w:szCs w:val="20"/>
                <w:color w:val="auto"/>
              </w:rPr>
            </w:pPr>
            <w:r>
              <w:rPr>
                <w:rFonts w:ascii="Arial" w:cs="Arial" w:eastAsia="Arial" w:hAnsi="Arial"/>
                <w:sz w:val="22"/>
                <w:szCs w:val="22"/>
                <w:color w:val="auto"/>
              </w:rPr>
              <w:t>EXHIBIT INDEX</w:t>
            </w:r>
          </w:p>
        </w:tc>
      </w:tr>
      <w:tr>
        <w:trPr>
          <w:trHeight w:val="755"/>
        </w:trPr>
        <w:tc>
          <w:tcPr>
            <w:tcW w:w="1000" w:type="dxa"/>
            <w:vAlign w:val="bottom"/>
            <w:gridSpan w:val="2"/>
          </w:tcPr>
          <w:p>
            <w:pPr>
              <w:jc w:val="center"/>
              <w:ind w:right="300"/>
              <w:spacing w:after="0"/>
              <w:rPr>
                <w:sz w:val="20"/>
                <w:szCs w:val="20"/>
                <w:color w:val="auto"/>
              </w:rPr>
            </w:pPr>
            <w:r>
              <w:rPr>
                <w:rFonts w:ascii="Arial" w:cs="Arial" w:eastAsia="Arial" w:hAnsi="Arial"/>
                <w:sz w:val="22"/>
                <w:szCs w:val="22"/>
                <w:color w:val="auto"/>
                <w:w w:val="93"/>
              </w:rPr>
              <w:t>Exhibit</w:t>
            </w:r>
          </w:p>
        </w:tc>
        <w:tc>
          <w:tcPr>
            <w:tcW w:w="26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4"/>
        </w:trPr>
        <w:tc>
          <w:tcPr>
            <w:tcW w:w="1000" w:type="dxa"/>
            <w:vAlign w:val="bottom"/>
            <w:gridSpan w:val="2"/>
          </w:tcPr>
          <w:p>
            <w:pPr>
              <w:jc w:val="center"/>
              <w:ind w:right="300"/>
              <w:spacing w:after="0" w:line="224" w:lineRule="exact"/>
              <w:rPr>
                <w:sz w:val="20"/>
                <w:szCs w:val="20"/>
                <w:color w:val="auto"/>
              </w:rPr>
            </w:pPr>
            <w:r>
              <w:rPr>
                <w:rFonts w:ascii="Arial" w:cs="Arial" w:eastAsia="Arial" w:hAnsi="Arial"/>
                <w:sz w:val="22"/>
                <w:szCs w:val="22"/>
                <w:color w:val="auto"/>
                <w:w w:val="89"/>
              </w:rPr>
              <w:t>Number</w:t>
            </w:r>
          </w:p>
        </w:tc>
        <w:tc>
          <w:tcPr>
            <w:tcW w:w="2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gridSpan w:val="3"/>
          </w:tcPr>
          <w:p>
            <w:pPr>
              <w:spacing w:after="0" w:line="224" w:lineRule="exact"/>
              <w:rPr>
                <w:sz w:val="20"/>
                <w:szCs w:val="20"/>
                <w:color w:val="auto"/>
              </w:rPr>
            </w:pPr>
            <w:r>
              <w:rPr>
                <w:rFonts w:ascii="Arial" w:cs="Arial" w:eastAsia="Arial" w:hAnsi="Arial"/>
                <w:sz w:val="22"/>
                <w:szCs w:val="22"/>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58"/>
        </w:trPr>
        <w:tc>
          <w:tcPr>
            <w:tcW w:w="700" w:type="dxa"/>
            <w:vAlign w:val="bottom"/>
          </w:tcPr>
          <w:p>
            <w:pPr>
              <w:jc w:val="center"/>
              <w:spacing w:after="0"/>
              <w:rPr>
                <w:sz w:val="20"/>
                <w:szCs w:val="20"/>
                <w:color w:val="auto"/>
              </w:rPr>
            </w:pPr>
            <w:r>
              <w:rPr>
                <w:rFonts w:ascii="Arial" w:cs="Arial" w:eastAsia="Arial" w:hAnsi="Arial"/>
                <w:sz w:val="22"/>
                <w:szCs w:val="22"/>
                <w:color w:val="auto"/>
                <w:w w:val="88"/>
              </w:rPr>
              <w:t>10.1</w:t>
            </w:r>
          </w:p>
        </w:tc>
        <w:tc>
          <w:tcPr>
            <w:tcW w:w="300" w:type="dxa"/>
            <w:vAlign w:val="bottom"/>
          </w:tcPr>
          <w:p>
            <w:pPr>
              <w:spacing w:after="0"/>
              <w:rPr>
                <w:sz w:val="24"/>
                <w:szCs w:val="24"/>
                <w:color w:val="auto"/>
              </w:rPr>
            </w:pPr>
          </w:p>
        </w:tc>
        <w:tc>
          <w:tcPr>
            <w:tcW w:w="7600" w:type="dxa"/>
            <w:vAlign w:val="bottom"/>
            <w:gridSpan w:val="5"/>
          </w:tcPr>
          <w:p>
            <w:pPr>
              <w:ind w:left="300"/>
              <w:spacing w:after="0"/>
              <w:rPr>
                <w:sz w:val="20"/>
                <w:szCs w:val="20"/>
                <w:color w:val="auto"/>
              </w:rPr>
            </w:pPr>
            <w:r>
              <w:rPr>
                <w:rFonts w:ascii="Arial" w:cs="Arial" w:eastAsia="Arial" w:hAnsi="Arial"/>
                <w:sz w:val="22"/>
                <w:szCs w:val="22"/>
                <w:color w:val="auto"/>
                <w:w w:val="94"/>
              </w:rPr>
              <w:t>Amendment No. 1 to the Fourth Amended and Restated Credit Agreement, and</w:t>
            </w:r>
          </w:p>
        </w:tc>
      </w:tr>
      <w:tr>
        <w:trPr>
          <w:trHeight w:val="243"/>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5"/>
              </w:rPr>
              <w:t>Joinder Agreement, dated as of January 30, 2015, among World Fuel Services</w:t>
            </w:r>
          </w:p>
        </w:tc>
      </w:tr>
      <w:tr>
        <w:trPr>
          <w:trHeight w:val="243"/>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89"/>
              </w:rPr>
              <w:t>Corporation, World Fuel Services Europe, Ltd. and World Fuel Services (Singapore)</w:t>
            </w:r>
          </w:p>
        </w:tc>
      </w:tr>
      <w:tr>
        <w:trPr>
          <w:trHeight w:val="243"/>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5"/>
              </w:rPr>
              <w:t>Pte Ltd, as borrowers, Bank of America, N.A., as administrative agent, and the</w:t>
            </w:r>
          </w:p>
        </w:tc>
      </w:tr>
      <w:tr>
        <w:trPr>
          <w:trHeight w:val="275"/>
        </w:trPr>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0" w:type="dxa"/>
            <w:vAlign w:val="bottom"/>
            <w:gridSpan w:val="5"/>
          </w:tcPr>
          <w:p>
            <w:pPr>
              <w:ind w:left="300"/>
              <w:spacing w:after="0"/>
              <w:rPr>
                <w:sz w:val="20"/>
                <w:szCs w:val="20"/>
                <w:color w:val="auto"/>
              </w:rPr>
            </w:pPr>
            <w:r>
              <w:rPr>
                <w:rFonts w:ascii="Arial" w:cs="Arial" w:eastAsia="Arial" w:hAnsi="Arial"/>
                <w:sz w:val="22"/>
                <w:szCs w:val="22"/>
                <w:color w:val="auto"/>
              </w:rPr>
              <w:t>financial institutions named therein as lenders.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70485</wp:posOffset>
            </wp:positionV>
            <wp:extent cx="584835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19"/>
          </w:cols>
          <w:pgMar w:left="1440" w:top="5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u w:val="single" w:color="auto"/>
          <w:color w:val="auto"/>
        </w:rPr>
        <w:t>AMENDMENT NO. 1 TO FOURTH AMENDED AND RESTATED CREDIT AGREEMENT, AND JOINDER AGREEMENT</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AMENDMENT NO. 1 TO FOURTH AMENDED AND RESTATED CREDIT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AND JOINDER AGREEMENT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January 30, 2015, is made by and among</w:t>
      </w:r>
      <w:r>
        <w:rPr>
          <w:rFonts w:ascii="Arial" w:cs="Arial" w:eastAsia="Arial" w:hAnsi="Arial"/>
          <w:sz w:val="21"/>
          <w:szCs w:val="21"/>
          <w:b w:val="1"/>
          <w:bCs w:val="1"/>
          <w:color w:val="auto"/>
        </w:rPr>
        <w:t xml:space="preserve"> WORLD FUEL SERVICES CORPORATION</w:t>
      </w:r>
      <w:r>
        <w:rPr>
          <w:rFonts w:ascii="Arial" w:cs="Arial" w:eastAsia="Arial" w:hAnsi="Arial"/>
          <w:sz w:val="21"/>
          <w:szCs w:val="21"/>
          <w:color w:val="auto"/>
        </w:rPr>
        <w:t>, a Florida corporation (“</w:t>
      </w:r>
      <w:r>
        <w:rPr>
          <w:rFonts w:ascii="Arial" w:cs="Arial" w:eastAsia="Arial" w:hAnsi="Arial"/>
          <w:sz w:val="21"/>
          <w:szCs w:val="21"/>
          <w:u w:val="single" w:color="auto"/>
          <w:color w:val="auto"/>
        </w:rPr>
        <w:t>WFS</w:t>
      </w:r>
      <w:r>
        <w:rPr>
          <w:rFonts w:ascii="Arial" w:cs="Arial" w:eastAsia="Arial" w:hAnsi="Arial"/>
          <w:sz w:val="21"/>
          <w:szCs w:val="21"/>
          <w:color w:val="auto"/>
        </w:rPr>
        <w:t>”),</w:t>
      </w:r>
      <w:r>
        <w:rPr>
          <w:rFonts w:ascii="Arial" w:cs="Arial" w:eastAsia="Arial" w:hAnsi="Arial"/>
          <w:sz w:val="21"/>
          <w:szCs w:val="21"/>
          <w:b w:val="1"/>
          <w:bCs w:val="1"/>
          <w:color w:val="auto"/>
        </w:rPr>
        <w:t xml:space="preserve"> WORLD FUEL SERVICES EUROPE, LTD.</w:t>
      </w:r>
      <w:r>
        <w:rPr>
          <w:rFonts w:ascii="Arial" w:cs="Arial" w:eastAsia="Arial" w:hAnsi="Arial"/>
          <w:sz w:val="21"/>
          <w:szCs w:val="21"/>
          <w:color w:val="auto"/>
        </w:rPr>
        <w:t>, a corporation organized and existing under the laws of the United Kingdom (“</w:t>
      </w:r>
      <w:r>
        <w:rPr>
          <w:rFonts w:ascii="Arial" w:cs="Arial" w:eastAsia="Arial" w:hAnsi="Arial"/>
          <w:sz w:val="21"/>
          <w:szCs w:val="21"/>
          <w:u w:val="single" w:color="auto"/>
          <w:color w:val="auto"/>
        </w:rPr>
        <w:t>WFS Europe</w:t>
      </w:r>
      <w:r>
        <w:rPr>
          <w:rFonts w:ascii="Arial" w:cs="Arial" w:eastAsia="Arial" w:hAnsi="Arial"/>
          <w:sz w:val="21"/>
          <w:szCs w:val="21"/>
          <w:color w:val="auto"/>
        </w:rPr>
        <w:t>”), and</w:t>
      </w:r>
      <w:r>
        <w:rPr>
          <w:rFonts w:ascii="Arial" w:cs="Arial" w:eastAsia="Arial" w:hAnsi="Arial"/>
          <w:sz w:val="21"/>
          <w:szCs w:val="21"/>
          <w:b w:val="1"/>
          <w:bCs w:val="1"/>
          <w:color w:val="auto"/>
        </w:rPr>
        <w:t xml:space="preserve"> WORLD FUEL SERVICES (SINGAPORE) PTE LTD</w:t>
      </w:r>
      <w:r>
        <w:rPr>
          <w:rFonts w:ascii="Arial" w:cs="Arial" w:eastAsia="Arial" w:hAnsi="Arial"/>
          <w:sz w:val="21"/>
          <w:szCs w:val="21"/>
          <w:color w:val="auto"/>
        </w:rPr>
        <w:t>, a corporation organized and existing under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Republic of Singapore (“</w:t>
      </w:r>
      <w:r>
        <w:rPr>
          <w:rFonts w:ascii="Arial" w:cs="Arial" w:eastAsia="Arial" w:hAnsi="Arial"/>
          <w:sz w:val="21"/>
          <w:szCs w:val="21"/>
          <w:u w:val="single" w:color="auto"/>
          <w:color w:val="auto"/>
        </w:rPr>
        <w:t>WFS Singapore</w:t>
      </w:r>
      <w:r>
        <w:rPr>
          <w:rFonts w:ascii="Arial" w:cs="Arial" w:eastAsia="Arial" w:hAnsi="Arial"/>
          <w:sz w:val="21"/>
          <w:szCs w:val="21"/>
          <w:color w:val="auto"/>
        </w:rPr>
        <w:t>”, and together with WFS and WFS Europe, each a “</w:t>
      </w:r>
      <w:r>
        <w:rPr>
          <w:rFonts w:ascii="Arial" w:cs="Arial" w:eastAsia="Arial" w:hAnsi="Arial"/>
          <w:sz w:val="21"/>
          <w:szCs w:val="21"/>
          <w:u w:val="single" w:color="auto"/>
          <w:color w:val="auto"/>
        </w:rPr>
        <w:t>Borrower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Borrowers</w:t>
      </w:r>
      <w:r>
        <w:rPr>
          <w:rFonts w:ascii="Arial" w:cs="Arial" w:eastAsia="Arial" w:hAnsi="Arial"/>
          <w:sz w:val="21"/>
          <w:szCs w:val="21"/>
          <w:color w:val="auto"/>
        </w:rPr>
        <w:t xml:space="preserve">”), each of the undersigned Guarantors, </w:t>
      </w:r>
      <w:r>
        <w:rPr>
          <w:rFonts w:ascii="Arial" w:cs="Arial" w:eastAsia="Arial" w:hAnsi="Arial"/>
          <w:sz w:val="21"/>
          <w:szCs w:val="21"/>
          <w:b w:val="1"/>
          <w:bCs w:val="1"/>
          <w:color w:val="auto"/>
        </w:rPr>
        <w:t>BANK OF AMERICA, N.A.</w:t>
      </w:r>
      <w:r>
        <w:rPr>
          <w:rFonts w:ascii="Arial" w:cs="Arial" w:eastAsia="Arial" w:hAnsi="Arial"/>
          <w:sz w:val="21"/>
          <w:szCs w:val="21"/>
          <w:color w:val="auto"/>
        </w:rPr>
        <w:t>, a national banking association organized and existing under the laws of the United States (“</w:t>
      </w:r>
      <w:r>
        <w:rPr>
          <w:rFonts w:ascii="Arial" w:cs="Arial" w:eastAsia="Arial" w:hAnsi="Arial"/>
          <w:sz w:val="21"/>
          <w:szCs w:val="21"/>
          <w:u w:val="single" w:color="auto"/>
          <w:color w:val="auto"/>
        </w:rPr>
        <w:t>Bank of America</w:t>
      </w:r>
      <w:r>
        <w:rPr>
          <w:rFonts w:ascii="Arial" w:cs="Arial" w:eastAsia="Arial" w:hAnsi="Arial"/>
          <w:sz w:val="21"/>
          <w:szCs w:val="21"/>
          <w:color w:val="auto"/>
        </w:rPr>
        <w:t>”), in its capacity as administrative agent for the Lenders generally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w:t>
      </w:r>
      <w:r>
        <w:rPr>
          <w:rFonts w:ascii="Arial" w:cs="Arial" w:eastAsia="Arial" w:hAnsi="Arial"/>
          <w:sz w:val="21"/>
          <w:szCs w:val="21"/>
          <w:b w:val="1"/>
          <w:bCs w:val="1"/>
          <w:color w:val="auto"/>
        </w:rPr>
        <w:t>BANK OF</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AMERICA, N.A., SINGAPORE BRANCH </w:t>
      </w:r>
      <w:r>
        <w:rPr>
          <w:rFonts w:ascii="Arial" w:cs="Arial" w:eastAsia="Arial" w:hAnsi="Arial"/>
          <w:sz w:val="21"/>
          <w:szCs w:val="21"/>
          <w:color w:val="auto"/>
        </w:rPr>
        <w:t>(“</w:t>
      </w:r>
      <w:r>
        <w:rPr>
          <w:rFonts w:ascii="Arial" w:cs="Arial" w:eastAsia="Arial" w:hAnsi="Arial"/>
          <w:sz w:val="21"/>
          <w:szCs w:val="21"/>
          <w:u w:val="single" w:color="auto"/>
          <w:color w:val="auto"/>
        </w:rPr>
        <w:t>Bank of America Singapore</w:t>
      </w:r>
      <w:r>
        <w:rPr>
          <w:rFonts w:ascii="Arial" w:cs="Arial" w:eastAsia="Arial" w:hAnsi="Arial"/>
          <w:sz w:val="21"/>
          <w:szCs w:val="21"/>
          <w:color w:val="auto"/>
        </w:rPr>
        <w:t>”), in its capacity as administrative</w:t>
      </w:r>
      <w:r>
        <w:rPr>
          <w:rFonts w:ascii="Arial" w:cs="Arial" w:eastAsia="Arial" w:hAnsi="Arial"/>
          <w:sz w:val="21"/>
          <w:szCs w:val="21"/>
          <w:b w:val="1"/>
          <w:bCs w:val="1"/>
          <w:color w:val="auto"/>
        </w:rPr>
        <w:t xml:space="preserve"> </w:t>
      </w:r>
      <w:r>
        <w:rPr>
          <w:rFonts w:ascii="Arial" w:cs="Arial" w:eastAsia="Arial" w:hAnsi="Arial"/>
          <w:sz w:val="21"/>
          <w:szCs w:val="21"/>
          <w:color w:val="auto"/>
        </w:rPr>
        <w:t>agent for the Singapore Term Loan Facility (in such capacity, the “</w:t>
      </w:r>
      <w:r>
        <w:rPr>
          <w:rFonts w:ascii="Arial" w:cs="Arial" w:eastAsia="Arial" w:hAnsi="Arial"/>
          <w:sz w:val="21"/>
          <w:szCs w:val="21"/>
          <w:u w:val="single" w:color="auto"/>
          <w:color w:val="auto"/>
        </w:rPr>
        <w:t>Singapore Agent</w:t>
      </w:r>
      <w:r>
        <w:rPr>
          <w:rFonts w:ascii="Arial" w:cs="Arial" w:eastAsia="Arial" w:hAnsi="Arial"/>
          <w:sz w:val="21"/>
          <w:szCs w:val="21"/>
          <w:color w:val="auto"/>
        </w:rPr>
        <w:t>”), each of the existing Lenders under the Fourth Amended Credit Agreement (defined below) (collectively, the “</w:t>
      </w:r>
      <w:r>
        <w:rPr>
          <w:rFonts w:ascii="Arial" w:cs="Arial" w:eastAsia="Arial" w:hAnsi="Arial"/>
          <w:sz w:val="21"/>
          <w:szCs w:val="21"/>
          <w:u w:val="single" w:color="auto"/>
          <w:color w:val="auto"/>
        </w:rPr>
        <w:t>Existing Lenders</w:t>
      </w:r>
      <w:r>
        <w:rPr>
          <w:rFonts w:ascii="Arial" w:cs="Arial" w:eastAsia="Arial" w:hAnsi="Arial"/>
          <w:sz w:val="21"/>
          <w:szCs w:val="21"/>
          <w:color w:val="auto"/>
        </w:rPr>
        <w:t>”) signatory hereto, and each of the Persons executing this Amendment as a Lender that is not an existing Lender (collectively, the “</w:t>
      </w:r>
      <w:r>
        <w:rPr>
          <w:rFonts w:ascii="Arial" w:cs="Arial" w:eastAsia="Arial" w:hAnsi="Arial"/>
          <w:sz w:val="21"/>
          <w:szCs w:val="21"/>
          <w:u w:val="single" w:color="auto"/>
          <w:color w:val="auto"/>
        </w:rPr>
        <w:t>Joining Lenders</w:t>
      </w:r>
      <w:r>
        <w:rPr>
          <w:rFonts w:ascii="Arial" w:cs="Arial" w:eastAsia="Arial" w:hAnsi="Arial"/>
          <w:sz w:val="21"/>
          <w:szCs w:val="21"/>
          <w:color w:val="auto"/>
        </w:rPr>
        <w:t>”). Except as expressly provided herein, capitalized terms used but not otherwise defined herein have the respective meanings ascribed to them in the Credit Agreement, as defined below after giving effect to this Amendment.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Borrowers, Bank of America, as Administrative Agent, Swing Line Lender and L/C-BA</w:t>
      </w:r>
      <w:r>
        <w:rPr>
          <w:rFonts w:ascii="Arial" w:cs="Arial" w:eastAsia="Arial" w:hAnsi="Arial"/>
          <w:sz w:val="21"/>
          <w:szCs w:val="21"/>
          <w:b w:val="1"/>
          <w:bCs w:val="1"/>
          <w:color w:val="auto"/>
        </w:rPr>
        <w:t xml:space="preserve"> </w:t>
      </w:r>
      <w:r>
        <w:rPr>
          <w:rFonts w:ascii="Arial" w:cs="Arial" w:eastAsia="Arial" w:hAnsi="Arial"/>
          <w:sz w:val="21"/>
          <w:szCs w:val="21"/>
          <w:color w:val="auto"/>
        </w:rPr>
        <w:t>Issuer, and the existing Lenders have entered into that Fourth Amended and Restated Credit Agreement dated as of October 10, 2013 (as amended, supplemented, restated or otherwise modified prior to the date hereof, the “</w:t>
      </w:r>
      <w:r>
        <w:rPr>
          <w:rFonts w:ascii="Arial" w:cs="Arial" w:eastAsia="Arial" w:hAnsi="Arial"/>
          <w:sz w:val="21"/>
          <w:szCs w:val="21"/>
          <w:u w:val="single" w:color="auto"/>
          <w:color w:val="auto"/>
        </w:rPr>
        <w:t>Fourth</w:t>
      </w:r>
      <w:r>
        <w:rPr>
          <w:rFonts w:ascii="Arial" w:cs="Arial" w:eastAsia="Arial" w:hAnsi="Arial"/>
          <w:sz w:val="21"/>
          <w:szCs w:val="21"/>
          <w:color w:val="auto"/>
        </w:rPr>
        <w:t xml:space="preserv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 pursuant to which the Revolving Lenders have made available to the Borrowers a $1,100,000,000 revolving credit facility with a swing line sublimit and a letter of credit sublimit, the Domestic Term Loan Lenders continued Initial Domestic Term Loans in the outstanding principal amount of $194,000,000 (the original principal amount being $200,000,000 and the outstanding principal amount as of the date hereof being $193,030,000) and the Singapore Term Loan Lenders continued Singapore Term Loans in the outstanding principal amount of $48,500,000 (the original principal amount being $50,000,000 and the outstanding principal amount as of the date hereof being $48,257,500);</w:t>
      </w:r>
    </w:p>
    <w:p>
      <w:pPr>
        <w:spacing w:after="0" w:line="209"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Guarantors and the Administrative Agent entered into that Third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Guaranty Agreement dated as of October 10, 2013, pursuant to which the Guarantors agreed to guarantee payment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786130</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5" w:name="page6"/>
    <w:bookmarkEnd w:id="5"/>
    <w:p>
      <w:pPr>
        <w:jc w:val="both"/>
        <w:ind w:right="20" w:firstLine="648"/>
        <w:spacing w:after="0" w:line="30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Borrowers have requested that the existing Lenders make certain amendments to the Fourth</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Credit Agreement, which amendments shall, among other things provide for 2015 Domestic Term Loan Commitments of $100,000,000 and additional Revolving Commitments of $158,712,500;</w:t>
      </w:r>
    </w:p>
    <w:p>
      <w:pPr>
        <w:spacing w:after="0" w:line="15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certain of the existing Lenders and the Joining Lenders have agreed to provide the requested</w:t>
      </w:r>
      <w:r>
        <w:rPr>
          <w:rFonts w:ascii="Arial" w:cs="Arial" w:eastAsia="Arial" w:hAnsi="Arial"/>
          <w:sz w:val="22"/>
          <w:szCs w:val="22"/>
          <w:b w:val="1"/>
          <w:bCs w:val="1"/>
          <w:color w:val="auto"/>
        </w:rPr>
        <w:t xml:space="preserve"> </w:t>
      </w:r>
      <w:r>
        <w:rPr>
          <w:rFonts w:ascii="Arial" w:cs="Arial" w:eastAsia="Arial" w:hAnsi="Arial"/>
          <w:sz w:val="22"/>
          <w:szCs w:val="22"/>
          <w:color w:val="auto"/>
        </w:rPr>
        <w:t>2015 Domestic Term Loan Commitments and the additional Revolving Commitments;</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Administrative Agent and the Lenders signatory hereto are willing to effect such</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on the terms and conditions contained in this Amendment;</w:t>
      </w:r>
    </w:p>
    <w:p>
      <w:pPr>
        <w:spacing w:after="0" w:line="16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hereby acknowledged, the parties hereto agree as follows:</w:t>
      </w:r>
    </w:p>
    <w:p>
      <w:pPr>
        <w:spacing w:after="0" w:line="196" w:lineRule="exact"/>
        <w:rPr>
          <w:sz w:val="20"/>
          <w:szCs w:val="20"/>
          <w:color w:val="auto"/>
        </w:rPr>
      </w:pPr>
    </w:p>
    <w:p>
      <w:pPr>
        <w:jc w:val="both"/>
        <w:ind w:firstLine="645"/>
        <w:spacing w:after="0" w:line="238" w:lineRule="auto"/>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Amendments to Fourth Amended Credit Agreement</w:t>
      </w:r>
      <w:r>
        <w:rPr>
          <w:rFonts w:ascii="Arial" w:cs="Arial" w:eastAsia="Arial" w:hAnsi="Arial"/>
          <w:sz w:val="22"/>
          <w:szCs w:val="22"/>
          <w:color w:val="auto"/>
        </w:rPr>
        <w:t xml:space="preserve">. Subject to the terms and conditions set forth herein, effective as of the Amendment Effective Date (as defined below), the Fourth Amended Credit Agreement (exclusive of the Schedules and Exhibits thereto) shall be amended so that it reads as set forth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hereto (as so amended, the “</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45"/>
        <w:spacing w:after="0" w:line="258" w:lineRule="auto"/>
        <w:tabs>
          <w:tab w:leader="none" w:pos="1459"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Amendments to Schedule 2.01 to the Fourth Amended Credit Agreement</w:t>
      </w:r>
      <w:r>
        <w:rPr>
          <w:rFonts w:ascii="Arial" w:cs="Arial" w:eastAsia="Arial" w:hAnsi="Arial"/>
          <w:sz w:val="21"/>
          <w:szCs w:val="21"/>
          <w:color w:val="auto"/>
        </w:rPr>
        <w:t xml:space="preserve">. Subject to the terms and conditions set forth herein, effective as of the Amendment Effective Date,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to the Fourth Amended Credit Agreement shall be amended so that it reads as set forth in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hereto.</w:t>
      </w:r>
    </w:p>
    <w:p>
      <w:pPr>
        <w:spacing w:after="0" w:line="166" w:lineRule="exact"/>
        <w:rPr>
          <w:rFonts w:ascii="Arial" w:cs="Arial" w:eastAsia="Arial" w:hAnsi="Arial"/>
          <w:sz w:val="21"/>
          <w:szCs w:val="21"/>
          <w:color w:val="auto"/>
        </w:rPr>
      </w:pPr>
    </w:p>
    <w:p>
      <w:pPr>
        <w:jc w:val="both"/>
        <w:ind w:firstLine="645"/>
        <w:spacing w:after="0"/>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Amendments to Schedule 5.13 to the Fourth Amended Credit Agreement</w:t>
      </w:r>
      <w:r>
        <w:rPr>
          <w:rFonts w:ascii="Arial" w:cs="Arial" w:eastAsia="Arial" w:hAnsi="Arial"/>
          <w:sz w:val="22"/>
          <w:szCs w:val="22"/>
          <w:color w:val="auto"/>
        </w:rPr>
        <w:t xml:space="preserve">. Subject to the terms and conditions set forth herein, effective as of the Amendment Effective Date, Part (b) of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to the Fourth Amended Credit Agreement shall be amended so that it reads as follows: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“Part (b) – Other Investments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Isthmian Petroleum Supply &amp; Services S.A.</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Intoplane Services (Gibraltar)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Page Avjet Fuel Co, L.L.C.</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Quintessentially Aviation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Quintessentially Villas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Quintessentially (UK)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Quintessentially Travel Limited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6" w:name="page7"/>
    <w:bookmarkEnd w:id="6"/>
    <w:p>
      <w:pPr>
        <w:ind w:left="1300"/>
        <w:spacing w:after="0"/>
        <w:rPr>
          <w:sz w:val="20"/>
          <w:szCs w:val="20"/>
          <w:color w:val="auto"/>
        </w:rPr>
      </w:pPr>
      <w:r>
        <w:rPr>
          <w:rFonts w:ascii="Arial" w:cs="Arial" w:eastAsia="Arial" w:hAnsi="Arial"/>
          <w:sz w:val="22"/>
          <w:szCs w:val="22"/>
          <w:color w:val="auto"/>
        </w:rPr>
        <w:t>Quintessentially Driven Limited</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Amsterdam Software B.V.</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PPT Aviation Services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Plum Energy, LLC</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Exeno Yamamizu Corporation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7.02(e)</w:t>
      </w:r>
      <w:r>
        <w:rPr>
          <w:rFonts w:ascii="Arial" w:cs="Arial" w:eastAsia="Arial" w:hAnsi="Arial"/>
          <w:sz w:val="22"/>
          <w:szCs w:val="22"/>
          <w:color w:val="auto"/>
        </w:rPr>
        <w:t xml:space="preserve">, refer to Part (b) of </w:t>
      </w:r>
      <w:r>
        <w:rPr>
          <w:rFonts w:ascii="Arial" w:cs="Arial" w:eastAsia="Arial" w:hAnsi="Arial"/>
          <w:sz w:val="22"/>
          <w:szCs w:val="22"/>
          <w:u w:val="single" w:color="auto"/>
          <w:color w:val="auto"/>
        </w:rPr>
        <w:t>Schedule 7.03</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5"/>
        <w:spacing w:after="0"/>
        <w:tabs>
          <w:tab w:leader="none" w:pos="1459"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Amendments to Exhibit E to the Fourth Amended Credit Agreement</w:t>
      </w:r>
      <w:r>
        <w:rPr>
          <w:rFonts w:ascii="Arial" w:cs="Arial" w:eastAsia="Arial" w:hAnsi="Arial"/>
          <w:sz w:val="22"/>
          <w:szCs w:val="22"/>
          <w:color w:val="auto"/>
        </w:rPr>
        <w:t xml:space="preserve">. Subject to the terms and conditions set forth herein, effective as of the Amendment Effective Date,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to the Fourth Amended Credit Agreement shall be amended so that it reads as set forth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w:t>
      </w:r>
    </w:p>
    <w:p>
      <w:pPr>
        <w:spacing w:after="0" w:line="186" w:lineRule="exact"/>
        <w:rPr>
          <w:rFonts w:ascii="Arial" w:cs="Arial" w:eastAsia="Arial" w:hAnsi="Arial"/>
          <w:sz w:val="22"/>
          <w:szCs w:val="22"/>
          <w:color w:val="auto"/>
        </w:rPr>
      </w:pPr>
    </w:p>
    <w:p>
      <w:pPr>
        <w:jc w:val="both"/>
        <w:ind w:firstLine="645"/>
        <w:spacing w:after="0" w:line="269" w:lineRule="auto"/>
        <w:tabs>
          <w:tab w:leader="none" w:pos="1459"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Joinder of Joining Lenders</w:t>
      </w:r>
      <w:r>
        <w:rPr>
          <w:rFonts w:ascii="Arial" w:cs="Arial" w:eastAsia="Arial" w:hAnsi="Arial"/>
          <w:sz w:val="19"/>
          <w:szCs w:val="19"/>
          <w:color w:val="auto"/>
        </w:rPr>
        <w:t>. By its execution of this Amendment, each Joining Lender hereby confirms and agrees that, on and after the date this Amendment becomes effective (the “</w:t>
      </w:r>
      <w:r>
        <w:rPr>
          <w:rFonts w:ascii="Arial" w:cs="Arial" w:eastAsia="Arial" w:hAnsi="Arial"/>
          <w:sz w:val="19"/>
          <w:szCs w:val="19"/>
          <w:u w:val="single" w:color="auto"/>
          <w:color w:val="auto"/>
        </w:rPr>
        <w:t>Amendment 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such Joining Lender shall be and become a party to the Credit Agreement as a Lender (and more specifically a 2015 Domestic Term Loan Lender and a Revolving Lender), shall have all of the rights and be obligated to perform all of the obligations of a Lender thereunder with respect to the 2015 Domestic Term Loan Facility and its Pro Rata Share of the outstanding 2015 Domestic Term Loans and to the Revolving Credit Facility and its Pro Rata Share of the Revolving Commitments, all as identified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attached hereto. Each Joining Lender further (a) represents and warrants that (i) it has full power and authority, and has taken all action necessary, to execute and deliver this Amendment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date hereof, it shall be bound by the provisions of the Credit Agreement as a Lender thereunder and shall have the obligations of a Lender thereunder, (iv) it has received a copy of the Credit Agreement, together with copies of the most recent financial statements delivered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thereof, as applicable, and such other documents and information as it has deemed appropriate to make its own credit analysis and decision to enter into the Credit Agreement on the basis of which it has made such analysis and decision independently and without reliance on the Administrative Agent, the Arrangers or any other Lender or agent, and (v) if it is a Foreign Lender, it has delivered to the Administrative Agent any documentation required to be delivered by it pursuant to the terms of the Credit Agreement, duly completed and executed by such Joining Lender;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4" w:lineRule="exact"/>
        <w:rPr>
          <w:rFonts w:ascii="Arial" w:cs="Arial" w:eastAsia="Arial" w:hAnsi="Arial"/>
          <w:sz w:val="19"/>
          <w:szCs w:val="19"/>
          <w:color w:val="auto"/>
        </w:rPr>
      </w:pPr>
    </w:p>
    <w:p>
      <w:pPr>
        <w:ind w:left="1460" w:hanging="815"/>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Reallocation and Assignment</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 w:name="page8"/>
    <w:bookmarkEnd w:id="7"/>
    <w:p>
      <w:pPr>
        <w:jc w:val="both"/>
        <w:ind w:left="640" w:firstLine="653"/>
        <w:spacing w:after="0" w:line="271" w:lineRule="auto"/>
        <w:tabs>
          <w:tab w:leader="none" w:pos="2176" w:val="left"/>
        </w:tabs>
        <w:numPr>
          <w:ilvl w:val="1"/>
          <w:numId w:val="5"/>
        </w:numPr>
        <w:rPr>
          <w:rFonts w:ascii="Arial" w:cs="Arial" w:eastAsia="Arial" w:hAnsi="Arial"/>
          <w:sz w:val="19"/>
          <w:szCs w:val="19"/>
          <w:color w:val="auto"/>
        </w:rPr>
      </w:pPr>
      <w:r>
        <w:rPr>
          <w:rFonts w:ascii="Arial" w:cs="Arial" w:eastAsia="Arial" w:hAnsi="Arial"/>
          <w:sz w:val="19"/>
          <w:szCs w:val="19"/>
          <w:color w:val="auto"/>
        </w:rPr>
        <w:t xml:space="preserve">Simultaneously with the Amendment Effective Date, the parties hereby agree that the Commitments shall be as set forth in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the portion of Loans and other Outstanding Amounts outstanding under the Fourth Amended Credit Agreement shall be reallocated in accordance with such Commitments and the requisite assignments shall be deemed to be made in such amounts by and between the Lenders and from each Lender to each other Lender, including any Joining Lender, with the same force and effect as if such assignments were evidenced by applicable assignment agreements required pursuant to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of the Fourth Amended Credit Agreement. Notwithstanding anything to the contrary in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of the Fourth Amended Credit Agreement or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of the Credit Agreement, no other documents or instruments, including any assignment agreements, shall be executed in connection with these assignments (all of which requirements are hereby waived), and such assignments shall be deemed to be made with all applicable representations, warranties and covenants as if evidenced by an assignment agreement. On the Amendment Effective Date, the Lenders, including any Joining Lender, shall make full cash settlement with each other either directly or through the Administrative Agent, as the Administrative Agent may direct or approve, with respect to all assignments, reallocations and other changes in Commitments (as such term is defined in the Fourth Amended Credit Agreement) such that after giving effect to such settlements each Lender’s Applicable Percentage shall be as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right="20" w:firstLine="320"/>
        <w:spacing w:after="0" w:line="328" w:lineRule="auto"/>
        <w:tabs>
          <w:tab w:leader="none" w:pos="513"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Effectiveness; Conditions Precedent</w:t>
      </w:r>
      <w:r>
        <w:rPr>
          <w:rFonts w:ascii="Arial" w:cs="Arial" w:eastAsia="Arial" w:hAnsi="Arial"/>
          <w:sz w:val="19"/>
          <w:szCs w:val="19"/>
          <w:color w:val="auto"/>
        </w:rPr>
        <w:t>. The effectiveness of this Amendment and the amendments to the Fourth Amended Credit Agreement herein provided are subject to the satisfaction of the following conditions precedent:</w:t>
      </w:r>
    </w:p>
    <w:p>
      <w:pPr>
        <w:spacing w:after="0" w:line="105" w:lineRule="exact"/>
        <w:rPr>
          <w:rFonts w:ascii="Arial" w:cs="Arial" w:eastAsia="Arial" w:hAnsi="Arial"/>
          <w:sz w:val="19"/>
          <w:szCs w:val="19"/>
          <w:color w:val="auto"/>
        </w:rPr>
      </w:pPr>
    </w:p>
    <w:p>
      <w:pPr>
        <w:ind w:left="640" w:right="20" w:firstLine="653"/>
        <w:spacing w:after="0" w:line="251" w:lineRule="auto"/>
        <w:tabs>
          <w:tab w:leader="none" w:pos="1974"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Administrative Agent shall have received each of the following documents or instruments in form and substance reasonably acceptable to the Administrative Agent:</w:t>
      </w:r>
    </w:p>
    <w:p>
      <w:pPr>
        <w:spacing w:after="0" w:line="200" w:lineRule="exact"/>
        <w:rPr>
          <w:rFonts w:ascii="Arial" w:cs="Arial" w:eastAsia="Arial" w:hAnsi="Arial"/>
          <w:sz w:val="22"/>
          <w:szCs w:val="22"/>
          <w:color w:val="auto"/>
        </w:rPr>
      </w:pPr>
    </w:p>
    <w:p>
      <w:pPr>
        <w:jc w:val="both"/>
        <w:ind w:left="1300" w:right="20" w:firstLine="641"/>
        <w:spacing w:after="0"/>
        <w:tabs>
          <w:tab w:leader="none" w:pos="2598" w:val="left"/>
        </w:tabs>
        <w:numPr>
          <w:ilvl w:val="2"/>
          <w:numId w:val="6"/>
        </w:numPr>
        <w:rPr>
          <w:rFonts w:ascii="Arial" w:cs="Arial" w:eastAsia="Arial" w:hAnsi="Arial"/>
          <w:sz w:val="22"/>
          <w:szCs w:val="22"/>
          <w:color w:val="auto"/>
        </w:rPr>
      </w:pPr>
      <w:r>
        <w:rPr>
          <w:rFonts w:ascii="Arial" w:cs="Arial" w:eastAsia="Arial" w:hAnsi="Arial"/>
          <w:sz w:val="22"/>
          <w:szCs w:val="22"/>
          <w:color w:val="auto"/>
        </w:rPr>
        <w:t>counterparts of this Amendment, duly executed by each Borrower, each Guarantor, the Administrative Agent, the Required Lenders (as defined in the Fourth Amended Credit Agreement), and each Joining Lender;</w:t>
      </w:r>
    </w:p>
    <w:p>
      <w:pPr>
        <w:spacing w:after="0" w:line="213" w:lineRule="exact"/>
        <w:rPr>
          <w:rFonts w:ascii="Arial" w:cs="Arial" w:eastAsia="Arial" w:hAnsi="Arial"/>
          <w:sz w:val="22"/>
          <w:szCs w:val="22"/>
          <w:color w:val="auto"/>
        </w:rPr>
      </w:pPr>
    </w:p>
    <w:p>
      <w:pPr>
        <w:jc w:val="both"/>
        <w:ind w:left="1300" w:right="20" w:firstLine="641"/>
        <w:spacing w:after="0" w:line="258" w:lineRule="auto"/>
        <w:tabs>
          <w:tab w:leader="none" w:pos="2590" w:val="left"/>
        </w:tabs>
        <w:numPr>
          <w:ilvl w:val="2"/>
          <w:numId w:val="6"/>
        </w:numPr>
        <w:rPr>
          <w:rFonts w:ascii="Arial" w:cs="Arial" w:eastAsia="Arial" w:hAnsi="Arial"/>
          <w:sz w:val="21"/>
          <w:szCs w:val="21"/>
          <w:color w:val="auto"/>
        </w:rPr>
      </w:pPr>
      <w:r>
        <w:rPr>
          <w:rFonts w:ascii="Arial" w:cs="Arial" w:eastAsia="Arial" w:hAnsi="Arial"/>
          <w:sz w:val="21"/>
          <w:szCs w:val="21"/>
          <w:color w:val="auto"/>
        </w:rPr>
        <w:t>Domestic Term Loan Notes executed by WFS and Revolving Notes executed by WFS, World Fuel Services Europe, Ltd. and World Fuel Singapore in favor of each Joining Lender that has requested a Domestic Term Loan Note and a Revolving Note;</w:t>
      </w:r>
    </w:p>
    <w:p>
      <w:pPr>
        <w:spacing w:after="0" w:line="193" w:lineRule="exact"/>
        <w:rPr>
          <w:rFonts w:ascii="Arial" w:cs="Arial" w:eastAsia="Arial" w:hAnsi="Arial"/>
          <w:sz w:val="21"/>
          <w:szCs w:val="21"/>
          <w:color w:val="auto"/>
        </w:rPr>
      </w:pPr>
    </w:p>
    <w:p>
      <w:pPr>
        <w:jc w:val="both"/>
        <w:ind w:left="1300" w:right="20" w:firstLine="641"/>
        <w:spacing w:after="0" w:line="249" w:lineRule="auto"/>
        <w:tabs>
          <w:tab w:leader="none" w:pos="2596" w:val="left"/>
        </w:tabs>
        <w:numPr>
          <w:ilvl w:val="2"/>
          <w:numId w:val="6"/>
        </w:numPr>
        <w:rPr>
          <w:rFonts w:ascii="Arial" w:cs="Arial" w:eastAsia="Arial" w:hAnsi="Arial"/>
          <w:sz w:val="21"/>
          <w:szCs w:val="21"/>
          <w:color w:val="auto"/>
        </w:rPr>
      </w:pPr>
      <w:r>
        <w:rPr>
          <w:rFonts w:ascii="Arial" w:cs="Arial" w:eastAsia="Arial" w:hAnsi="Arial"/>
          <w:sz w:val="21"/>
          <w:szCs w:val="21"/>
          <w:color w:val="auto"/>
        </w:rPr>
        <w:t>such certificates of resolutions or other action, evidencing the authority and capacity (and if requested by the Administrative Agent, identity) of each Responsible Officer thereof authorized to act as a Responsible Officer in connection with this Amendment and the other Loan Documents to which such Loan Party is a party or is to be a party and good standing certificates of each Borrower from its jurisdiction of organization; 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8" w:name="page9"/>
    <w:bookmarkEnd w:id="8"/>
    <w:p>
      <w:pPr>
        <w:jc w:val="both"/>
        <w:ind w:left="1300" w:right="20" w:firstLine="641"/>
        <w:spacing w:after="0" w:line="241" w:lineRule="auto"/>
        <w:tabs>
          <w:tab w:leader="none" w:pos="2638" w:val="left"/>
        </w:tabs>
        <w:numPr>
          <w:ilvl w:val="2"/>
          <w:numId w:val="7"/>
        </w:numPr>
        <w:rPr>
          <w:rFonts w:ascii="Arial" w:cs="Arial" w:eastAsia="Arial" w:hAnsi="Arial"/>
          <w:sz w:val="22"/>
          <w:szCs w:val="22"/>
          <w:color w:val="auto"/>
        </w:rPr>
      </w:pPr>
      <w:r>
        <w:rPr>
          <w:rFonts w:ascii="Arial" w:cs="Arial" w:eastAsia="Arial" w:hAnsi="Arial"/>
          <w:sz w:val="22"/>
          <w:szCs w:val="22"/>
          <w:color w:val="auto"/>
        </w:rPr>
        <w:t>favorable opinions of counsel to the Borrowers, in each case addressed to the Lenders, as to such matters as the Administrative Agent or the Singapore Agent may reasonably request;</w:t>
      </w:r>
    </w:p>
    <w:p>
      <w:pPr>
        <w:spacing w:after="0" w:line="210" w:lineRule="exact"/>
        <w:rPr>
          <w:rFonts w:ascii="Arial" w:cs="Arial" w:eastAsia="Arial" w:hAnsi="Arial"/>
          <w:sz w:val="22"/>
          <w:szCs w:val="22"/>
          <w:color w:val="auto"/>
        </w:rPr>
      </w:pPr>
    </w:p>
    <w:p>
      <w:pPr>
        <w:jc w:val="both"/>
        <w:ind w:left="640" w:firstLine="653"/>
        <w:spacing w:after="0" w:line="234" w:lineRule="auto"/>
        <w:tabs>
          <w:tab w:leader="none" w:pos="2188" w:val="left"/>
        </w:tabs>
        <w:numPr>
          <w:ilvl w:val="1"/>
          <w:numId w:val="8"/>
        </w:numPr>
        <w:rPr>
          <w:rFonts w:ascii="Arial" w:cs="Arial" w:eastAsia="Arial" w:hAnsi="Arial"/>
          <w:sz w:val="22"/>
          <w:szCs w:val="22"/>
          <w:color w:val="auto"/>
        </w:rPr>
      </w:pPr>
      <w:r>
        <w:rPr>
          <w:rFonts w:ascii="Arial" w:cs="Arial" w:eastAsia="Arial" w:hAnsi="Arial"/>
          <w:sz w:val="22"/>
          <w:szCs w:val="22"/>
          <w:color w:val="auto"/>
        </w:rPr>
        <w:t>an upfront fee shall have been received for the account of each Lender, including any Joining Lender, executing this Amendment by 5:00 p.m. (New York time) on January 30, 2015, paid to the Administrative Agent for the account of such Lender, equal to 0.25% of (i) in the case of an Existing Lender, the aggregate principal amount by which such Existing Lender increases its Revolving Commitments and/or provides 2015 Domestic Term Loan Commitments and (ii) in the case of a Joining Lender, the aggregate principal amount of such Joining Lender’s Revolving Commitment and/or 2015 Domestic Term Loan Commitments;</w:t>
      </w:r>
    </w:p>
    <w:p>
      <w:pPr>
        <w:spacing w:after="0" w:line="191" w:lineRule="exact"/>
        <w:rPr>
          <w:rFonts w:ascii="Arial" w:cs="Arial" w:eastAsia="Arial" w:hAnsi="Arial"/>
          <w:sz w:val="22"/>
          <w:szCs w:val="22"/>
          <w:color w:val="auto"/>
        </w:rPr>
      </w:pPr>
    </w:p>
    <w:p>
      <w:pPr>
        <w:jc w:val="both"/>
        <w:ind w:left="640" w:firstLine="653"/>
        <w:spacing w:after="0" w:line="233" w:lineRule="auto"/>
        <w:tabs>
          <w:tab w:leader="none" w:pos="2176" w:val="left"/>
        </w:tabs>
        <w:numPr>
          <w:ilvl w:val="1"/>
          <w:numId w:val="8"/>
        </w:numPr>
        <w:rPr>
          <w:rFonts w:ascii="Arial" w:cs="Arial" w:eastAsia="Arial" w:hAnsi="Arial"/>
          <w:sz w:val="22"/>
          <w:szCs w:val="22"/>
          <w:color w:val="auto"/>
        </w:rPr>
      </w:pPr>
      <w:r>
        <w:rPr>
          <w:rFonts w:ascii="Arial" w:cs="Arial" w:eastAsia="Arial" w:hAnsi="Arial"/>
          <w:sz w:val="22"/>
          <w:szCs w:val="22"/>
          <w:color w:val="auto"/>
        </w:rPr>
        <w:t>an amendment fee shall have been received for the account of each Existing Lender executing this Amendment by 5:00 p.m. (New York time) on January 30, 2015, paid to the Administrative Agent for the account of such Existing Lender, equal to 0.10% of (i) the Outstanding Amount of Initial Domestic Term Loans and Singapore Term Loans of such Existing Lender that were outstanding immediately prior to giving effect to this Amendment that continue as outstanding Initial Domestic Term Loans and Singapore Term Loans of such Existing Lender immediately after giving effect to this Amendment and (ii) the Revolving Commitments of such Existing Lender immediately prior to giving effect to this Amendment that continue as Revolving Commitments of such Existing Lender immediately after giving effect to this Amendment; and</w:t>
      </w:r>
    </w:p>
    <w:p>
      <w:pPr>
        <w:spacing w:after="0" w:line="193" w:lineRule="exact"/>
        <w:rPr>
          <w:rFonts w:ascii="Arial" w:cs="Arial" w:eastAsia="Arial" w:hAnsi="Arial"/>
          <w:sz w:val="22"/>
          <w:szCs w:val="22"/>
          <w:color w:val="auto"/>
        </w:rPr>
      </w:pPr>
    </w:p>
    <w:p>
      <w:pPr>
        <w:jc w:val="both"/>
        <w:ind w:left="640" w:right="20" w:firstLine="653"/>
        <w:spacing w:after="0" w:line="236" w:lineRule="auto"/>
        <w:tabs>
          <w:tab w:leader="none" w:pos="2188"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other fees and expenses payable to the Administrative Agent (unless waived by the Administrative Agent), the Arrangers, the Singapore Agent and the Lenders (including all fees owing pursuant to any Fee Letter and the fees and expenses of counsel to the Administrative Agent to the extent invoiced prior to the date hereof) shall have been paid in full (without prejudice to final settling of accounts for such fees and expenses).</w:t>
      </w:r>
    </w:p>
    <w:p>
      <w:pPr>
        <w:spacing w:after="0" w:line="187" w:lineRule="exact"/>
        <w:rPr>
          <w:rFonts w:ascii="Arial" w:cs="Arial" w:eastAsia="Arial" w:hAnsi="Arial"/>
          <w:sz w:val="22"/>
          <w:szCs w:val="22"/>
          <w:color w:val="auto"/>
        </w:rPr>
      </w:pPr>
    </w:p>
    <w:p>
      <w:pPr>
        <w:jc w:val="both"/>
        <w:ind w:firstLine="645"/>
        <w:spacing w:after="0" w:line="234" w:lineRule="auto"/>
        <w:tabs>
          <w:tab w:leader="none" w:pos="1459"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Consent and Confirmation of the Guarantors</w:t>
      </w:r>
      <w:r>
        <w:rPr>
          <w:rFonts w:ascii="Arial" w:cs="Arial" w:eastAsia="Arial" w:hAnsi="Arial"/>
          <w:sz w:val="22"/>
          <w:szCs w:val="22"/>
          <w:color w:val="auto"/>
        </w:rPr>
        <w:t>. Each of the Guarantors hereby consents, acknowledges and agrees to the amendments set forth herein and hereby confirms and ratifies in all respects the Collateral Documents to which such Guarantor is a party and the Guaranty (including without limitation the continuation of each such Guarantor’s payment and performance obligations thereunder upon and after the effectiveness of this Amendment and the amendments contemplated hereby) and the enforceability of such Collateral Documents and the Guaranty against such Guarantor in accordance with their respective terms and the inclusion of all principal, interest and fees in respect of the 2015 Domestic Term Loan Facility as “Obligations” under the Credit Agreement.</w:t>
      </w:r>
    </w:p>
    <w:p>
      <w:pPr>
        <w:spacing w:after="0" w:line="187" w:lineRule="exact"/>
        <w:rPr>
          <w:rFonts w:ascii="Arial" w:cs="Arial" w:eastAsia="Arial" w:hAnsi="Arial"/>
          <w:sz w:val="22"/>
          <w:szCs w:val="22"/>
          <w:color w:val="auto"/>
        </w:rPr>
      </w:pPr>
    </w:p>
    <w:p>
      <w:pPr>
        <w:jc w:val="both"/>
        <w:ind w:right="20" w:firstLine="645"/>
        <w:spacing w:after="0"/>
        <w:tabs>
          <w:tab w:leader="none" w:pos="132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In order to induce the Administrative Agent and the Lenders to enter into this Amendment, the Borrowers represent and warrant to the Administrative Agent and the Lenders as follows:</w:t>
      </w:r>
    </w:p>
    <w:p>
      <w:pPr>
        <w:spacing w:after="0" w:line="186" w:lineRule="exact"/>
        <w:rPr>
          <w:rFonts w:ascii="Arial" w:cs="Arial" w:eastAsia="Arial" w:hAnsi="Arial"/>
          <w:sz w:val="22"/>
          <w:szCs w:val="22"/>
          <w:color w:val="auto"/>
        </w:rPr>
      </w:pPr>
    </w:p>
    <w:p>
      <w:pPr>
        <w:ind w:left="640" w:right="20" w:firstLine="653"/>
        <w:spacing w:after="0" w:line="251" w:lineRule="auto"/>
        <w:tabs>
          <w:tab w:leader="none" w:pos="1974"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contained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the Credit Agreement and in the other Loan Documents are true and correct on and as of the date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9" w:name="page10"/>
    <w:bookmarkEnd w:id="9"/>
    <w:p>
      <w:pPr>
        <w:ind w:left="640" w:right="20"/>
        <w:spacing w:after="0" w:line="251" w:lineRule="auto"/>
        <w:rPr>
          <w:sz w:val="20"/>
          <w:szCs w:val="20"/>
          <w:color w:val="auto"/>
        </w:rPr>
      </w:pPr>
      <w:r>
        <w:rPr>
          <w:rFonts w:ascii="Arial" w:cs="Arial" w:eastAsia="Arial" w:hAnsi="Arial"/>
          <w:sz w:val="22"/>
          <w:szCs w:val="22"/>
          <w:color w:val="auto"/>
        </w:rPr>
        <w:t>hereof, except to the extent that such representations and warranties specifically refer to an earlier date, in which case they are true and correct as of such earlier date;</w:t>
      </w:r>
    </w:p>
    <w:p>
      <w:pPr>
        <w:spacing w:after="0" w:line="174" w:lineRule="exact"/>
        <w:rPr>
          <w:sz w:val="20"/>
          <w:szCs w:val="20"/>
          <w:color w:val="auto"/>
        </w:rPr>
      </w:pPr>
    </w:p>
    <w:p>
      <w:pPr>
        <w:jc w:val="both"/>
        <w:ind w:left="640" w:right="20" w:firstLine="653"/>
        <w:spacing w:after="0" w:line="236" w:lineRule="auto"/>
        <w:tabs>
          <w:tab w:leader="none" w:pos="1986"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Persons appearing as Guarantors on the signature pages to this Agreement constitute all Persons who are required to be Guarantors pursuant to the terms of the Credit Agreement and the other Loan Documents, including without limitation all Persons who became Material Subsidiaries or were otherwise required to become Guarantors after the Closing Date, and each of such Persons has become and remains a party to the Guaranty as a Guarantor;</w:t>
      </w:r>
    </w:p>
    <w:p>
      <w:pPr>
        <w:spacing w:after="0" w:line="187" w:lineRule="exact"/>
        <w:rPr>
          <w:rFonts w:ascii="Arial" w:cs="Arial" w:eastAsia="Arial" w:hAnsi="Arial"/>
          <w:sz w:val="22"/>
          <w:szCs w:val="22"/>
          <w:color w:val="auto"/>
        </w:rPr>
      </w:pPr>
    </w:p>
    <w:p>
      <w:pPr>
        <w:jc w:val="both"/>
        <w:ind w:left="640" w:firstLine="653"/>
        <w:spacing w:after="0" w:line="252" w:lineRule="auto"/>
        <w:tabs>
          <w:tab w:leader="none" w:pos="1974" w:val="left"/>
        </w:tabs>
        <w:numPr>
          <w:ilvl w:val="1"/>
          <w:numId w:val="10"/>
        </w:numPr>
        <w:rPr>
          <w:rFonts w:ascii="Arial" w:cs="Arial" w:eastAsia="Arial" w:hAnsi="Arial"/>
          <w:sz w:val="21"/>
          <w:szCs w:val="21"/>
          <w:color w:val="auto"/>
        </w:rPr>
      </w:pPr>
      <w:r>
        <w:rPr>
          <w:rFonts w:ascii="Arial" w:cs="Arial" w:eastAsia="Arial" w:hAnsi="Arial"/>
          <w:sz w:val="21"/>
          <w:szCs w:val="21"/>
          <w:color w:val="auto"/>
        </w:rPr>
        <w:t>This Amendment has been duly authorized, executed and delivered by the Borrowers and the Guarantors party hereto and constitutes a legal, valid and binding obligation of such parties, except as may be limited by general principles of equity or by the effect of any applicable bankruptcy, insolvency, reorganization, moratorium or similar law affecting creditors’ rights generally; and</w:t>
      </w:r>
    </w:p>
    <w:p>
      <w:pPr>
        <w:spacing w:after="0" w:line="174" w:lineRule="exact"/>
        <w:rPr>
          <w:rFonts w:ascii="Arial" w:cs="Arial" w:eastAsia="Arial" w:hAnsi="Arial"/>
          <w:sz w:val="21"/>
          <w:szCs w:val="21"/>
          <w:color w:val="auto"/>
        </w:rPr>
      </w:pPr>
    </w:p>
    <w:p>
      <w:pPr>
        <w:ind w:left="2000" w:hanging="707"/>
        <w:spacing w:after="0"/>
        <w:tabs>
          <w:tab w:leader="none" w:pos="20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06" w:lineRule="exact"/>
        <w:rPr>
          <w:rFonts w:ascii="Arial" w:cs="Arial" w:eastAsia="Arial" w:hAnsi="Arial"/>
          <w:sz w:val="22"/>
          <w:szCs w:val="22"/>
          <w:color w:val="auto"/>
        </w:rPr>
      </w:pPr>
    </w:p>
    <w:p>
      <w:pPr>
        <w:jc w:val="both"/>
        <w:ind w:firstLine="645"/>
        <w:spacing w:after="0" w:line="245" w:lineRule="auto"/>
        <w:tabs>
          <w:tab w:leader="none" w:pos="1364"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Amendment, together with the Loan Documents (collectively, the “</w:t>
      </w:r>
      <w:r>
        <w:rPr>
          <w:rFonts w:ascii="Arial" w:cs="Arial" w:eastAsia="Arial" w:hAnsi="Arial"/>
          <w:sz w:val="21"/>
          <w:szCs w:val="21"/>
          <w:u w:val="single" w:color="auto"/>
          <w:color w:val="auto"/>
        </w:rPr>
        <w:t>Relevant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Documents</w:t>
      </w:r>
      <w:r>
        <w:rPr>
          <w:rFonts w:ascii="Arial" w:cs="Arial" w:eastAsia="Arial" w:hAnsi="Arial"/>
          <w:sz w:val="21"/>
          <w:szCs w:val="21"/>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of the Credit Agreement.</w:t>
      </w:r>
    </w:p>
    <w:p>
      <w:pPr>
        <w:spacing w:after="0" w:line="181" w:lineRule="exact"/>
        <w:rPr>
          <w:rFonts w:ascii="Arial" w:cs="Arial" w:eastAsia="Arial" w:hAnsi="Arial"/>
          <w:sz w:val="21"/>
          <w:szCs w:val="21"/>
          <w:color w:val="auto"/>
        </w:rPr>
      </w:pPr>
    </w:p>
    <w:p>
      <w:pPr>
        <w:jc w:val="both"/>
        <w:ind w:right="20" w:firstLine="645"/>
        <w:spacing w:after="0"/>
        <w:tabs>
          <w:tab w:leader="none" w:pos="135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Full Force and Effect of Amendment</w:t>
      </w:r>
      <w:r>
        <w:rPr>
          <w:rFonts w:ascii="Arial" w:cs="Arial" w:eastAsia="Arial" w:hAnsi="Arial"/>
          <w:sz w:val="22"/>
          <w:szCs w:val="22"/>
          <w:color w:val="auto"/>
        </w:rPr>
        <w:t>. Except as hereby specifically amended, modified or supplemented, the Credit Agreement and all other Loan Documents are hereby confirmed and ratified in all respects and shall be and remain in full force and effect according to their respective terms.</w:t>
      </w:r>
    </w:p>
    <w:p>
      <w:pPr>
        <w:spacing w:after="0" w:line="186" w:lineRule="exact"/>
        <w:rPr>
          <w:rFonts w:ascii="Arial" w:cs="Arial" w:eastAsia="Arial" w:hAnsi="Arial"/>
          <w:sz w:val="22"/>
          <w:szCs w:val="22"/>
          <w:color w:val="auto"/>
        </w:rPr>
      </w:pPr>
    </w:p>
    <w:p>
      <w:pPr>
        <w:jc w:val="both"/>
        <w:ind w:firstLine="645"/>
        <w:spacing w:after="0" w:line="236" w:lineRule="auto"/>
        <w:tabs>
          <w:tab w:leader="none" w:pos="136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87" w:lineRule="exact"/>
        <w:rPr>
          <w:rFonts w:ascii="Arial" w:cs="Arial" w:eastAsia="Arial" w:hAnsi="Arial"/>
          <w:sz w:val="22"/>
          <w:szCs w:val="22"/>
          <w:color w:val="auto"/>
        </w:rPr>
      </w:pPr>
    </w:p>
    <w:p>
      <w:pPr>
        <w:ind w:right="20" w:firstLine="645"/>
        <w:spacing w:after="0" w:line="251" w:lineRule="auto"/>
        <w:tabs>
          <w:tab w:leader="none" w:pos="136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in all respects be governed by, and construed in accordance with, the laws of the State of New York.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0" w:name="page11"/>
    <w:bookmarkEnd w:id="10"/>
    <w:p>
      <w:pPr>
        <w:jc w:val="both"/>
        <w:ind w:firstLine="645"/>
        <w:spacing w:after="0" w:line="241" w:lineRule="auto"/>
        <w:tabs>
          <w:tab w:leader="none" w:pos="136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83" w:lineRule="exact"/>
        <w:rPr>
          <w:rFonts w:ascii="Arial" w:cs="Arial" w:eastAsia="Arial" w:hAnsi="Arial"/>
          <w:sz w:val="22"/>
          <w:szCs w:val="22"/>
          <w:color w:val="auto"/>
        </w:rPr>
      </w:pPr>
    </w:p>
    <w:p>
      <w:pPr>
        <w:ind w:right="20" w:firstLine="645"/>
        <w:spacing w:after="0" w:line="251" w:lineRule="auto"/>
        <w:tabs>
          <w:tab w:leader="none" w:pos="136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References</w:t>
      </w:r>
      <w:r>
        <w:rPr>
          <w:rFonts w:ascii="Arial" w:cs="Arial" w:eastAsia="Arial" w:hAnsi="Arial"/>
          <w:sz w:val="22"/>
          <w:szCs w:val="22"/>
          <w:color w:val="auto"/>
        </w:rPr>
        <w:t>. All references in any of the Loan Documents to the “Credit Agreement” shall mean the Credit Agreement, as amended hereby.</w:t>
      </w:r>
    </w:p>
    <w:p>
      <w:pPr>
        <w:spacing w:after="0" w:line="173" w:lineRule="exact"/>
        <w:rPr>
          <w:rFonts w:ascii="Arial" w:cs="Arial" w:eastAsia="Arial" w:hAnsi="Arial"/>
          <w:sz w:val="22"/>
          <w:szCs w:val="22"/>
          <w:color w:val="auto"/>
        </w:rPr>
      </w:pPr>
    </w:p>
    <w:p>
      <w:pPr>
        <w:jc w:val="both"/>
        <w:ind w:right="20" w:firstLine="645"/>
        <w:spacing w:after="0" w:line="238" w:lineRule="auto"/>
        <w:tabs>
          <w:tab w:leader="none" w:pos="156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Amendment shall be binding upon and inure to the benefit of Borrowers, the Administrative Agent, the Guarantors, the Lenders (including the Joining Lenders) and their respective successors and assignees to the extent such assignees are permitted assignees as provided in </w:t>
      </w:r>
      <w:r>
        <w:rPr>
          <w:rFonts w:ascii="Arial" w:cs="Arial" w:eastAsia="Arial" w:hAnsi="Arial"/>
          <w:sz w:val="22"/>
          <w:szCs w:val="22"/>
          <w:u w:val="single" w:color="auto"/>
          <w:color w:val="auto"/>
        </w:rPr>
        <w:t>Section 10.06</w:t>
      </w:r>
      <w:r>
        <w:rPr>
          <w:rFonts w:ascii="Arial" w:cs="Arial" w:eastAsia="Arial" w:hAnsi="Arial"/>
          <w:sz w:val="22"/>
          <w:szCs w:val="22"/>
          <w:color w:val="auto"/>
        </w:rPr>
        <w:t xml:space="preserve"> of the Credit Agreement.</w:t>
      </w:r>
    </w:p>
    <w:p>
      <w:pPr>
        <w:spacing w:after="0" w:line="185" w:lineRule="exact"/>
        <w:rPr>
          <w:rFonts w:ascii="Arial" w:cs="Arial" w:eastAsia="Arial" w:hAnsi="Arial"/>
          <w:sz w:val="22"/>
          <w:szCs w:val="22"/>
          <w:color w:val="auto"/>
        </w:rPr>
      </w:pPr>
    </w:p>
    <w:p>
      <w:pPr>
        <w:jc w:val="both"/>
        <w:ind w:right="20" w:firstLine="645"/>
        <w:spacing w:after="0" w:line="287" w:lineRule="auto"/>
        <w:tabs>
          <w:tab w:leader="none" w:pos="1567"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FATCA</w:t>
      </w:r>
      <w:r>
        <w:rPr>
          <w:rFonts w:ascii="Arial" w:cs="Arial" w:eastAsia="Arial" w:hAnsi="Arial"/>
          <w:sz w:val="19"/>
          <w:szCs w:val="19"/>
          <w:color w:val="auto"/>
        </w:rPr>
        <w:t>. For purposes of determining withholding Taxes imposed under the Foreign Account Tax Compliance Act (FATCA), from and after the effective date of the Amendment, the Borrowers and the Administrative Agent shall treat (and the Lenders hereby authorize the Administrative Agent to treat) the Loans as not qualifying as a "grandfathered obligation" within the meaning of Treasury Regulation Section 1.1471-2(b)(2)(i).</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1" w:name="page12"/>
    <w:bookmarkEnd w:id="11"/>
    <w:p>
      <w:pPr>
        <w:ind w:firstLine="648"/>
        <w:spacing w:after="0" w:line="25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instrument to be made,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by their duly authorized officers as of the day and year first above written.</w:t>
      </w:r>
    </w:p>
    <w:p>
      <w:pPr>
        <w:spacing w:after="0" w:line="188" w:lineRule="exact"/>
        <w:rPr>
          <w:sz w:val="20"/>
          <w:szCs w:val="20"/>
          <w:color w:val="auto"/>
        </w:rPr>
      </w:pPr>
    </w:p>
    <w:p>
      <w:pPr>
        <w:ind w:left="3880"/>
        <w:spacing w:after="0"/>
        <w:rPr>
          <w:sz w:val="20"/>
          <w:szCs w:val="20"/>
          <w:color w:val="auto"/>
        </w:rPr>
      </w:pPr>
      <w:r>
        <w:rPr>
          <w:rFonts w:ascii="Arial" w:cs="Arial" w:eastAsia="Arial" w:hAnsi="Arial"/>
          <w:sz w:val="22"/>
          <w:szCs w:val="22"/>
          <w:b w:val="1"/>
          <w:bCs w:val="1"/>
          <w:u w:val="single" w:color="auto"/>
          <w:color w:val="auto"/>
        </w:rPr>
        <w:t>BORROWERS</w:t>
      </w:r>
      <w:r>
        <w:rPr>
          <w:rFonts w:ascii="Arial" w:cs="Arial" w:eastAsia="Arial" w:hAnsi="Arial"/>
          <w:sz w:val="22"/>
          <w:szCs w:val="22"/>
          <w:b w:val="1"/>
          <w:bCs w:val="1"/>
          <w:color w:val="auto"/>
        </w:rPr>
        <w:t>:</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WORLD FUEL SERVICES CORPORATION</w:t>
      </w:r>
    </w:p>
    <w:p>
      <w:pPr>
        <w:spacing w:after="0" w:line="200" w:lineRule="exact"/>
        <w:rPr>
          <w:sz w:val="20"/>
          <w:szCs w:val="20"/>
          <w:color w:val="auto"/>
        </w:rPr>
      </w:pPr>
    </w:p>
    <w:p>
      <w:pPr>
        <w:spacing w:after="0" w:line="253" w:lineRule="exact"/>
        <w:rPr>
          <w:sz w:val="20"/>
          <w:szCs w:val="20"/>
          <w:color w:val="auto"/>
        </w:rPr>
      </w:pPr>
    </w:p>
    <w:tbl>
      <w:tblPr>
        <w:tblLayout w:type="fixed"/>
        <w:tblInd w:w="388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7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680" w:type="dxa"/>
            <w:vAlign w:val="bottom"/>
          </w:tcPr>
          <w:p>
            <w:pPr>
              <w:ind w:left="4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5"/>
        </w:trPr>
        <w:tc>
          <w:tcPr>
            <w:tcW w:w="3760" w:type="dxa"/>
            <w:vAlign w:val="bottom"/>
            <w:gridSpan w:val="3"/>
          </w:tcPr>
          <w:p>
            <w:pPr>
              <w:spacing w:after="0"/>
              <w:rPr>
                <w:sz w:val="20"/>
                <w:szCs w:val="20"/>
                <w:color w:val="auto"/>
              </w:rPr>
            </w:pPr>
            <w:r>
              <w:rPr>
                <w:rFonts w:ascii="Arial" w:cs="Arial" w:eastAsia="Arial" w:hAnsi="Arial"/>
                <w:sz w:val="22"/>
                <w:szCs w:val="22"/>
                <w:color w:val="auto"/>
                <w:w w:val="98"/>
              </w:rPr>
              <w:t>Title:  Sr. Vice President and Treasurer</w:t>
            </w: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86"/>
        </w:trPr>
        <w:tc>
          <w:tcPr>
            <w:tcW w:w="5540" w:type="dxa"/>
            <w:vAlign w:val="bottom"/>
            <w:gridSpan w:val="4"/>
          </w:tcPr>
          <w:p>
            <w:pPr>
              <w:spacing w:after="0"/>
              <w:rPr>
                <w:sz w:val="20"/>
                <w:szCs w:val="20"/>
                <w:color w:val="auto"/>
              </w:rPr>
            </w:pPr>
            <w:r>
              <w:rPr>
                <w:rFonts w:ascii="Arial" w:cs="Arial" w:eastAsia="Arial" w:hAnsi="Arial"/>
                <w:sz w:val="22"/>
                <w:szCs w:val="22"/>
                <w:b w:val="1"/>
                <w:bCs w:val="1"/>
                <w:color w:val="auto"/>
              </w:rPr>
              <w:t>WORLD FUEL SERVICES EUROPE, LTD.</w:t>
            </w:r>
          </w:p>
        </w:tc>
        <w:tc>
          <w:tcPr>
            <w:tcW w:w="6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7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680" w:type="dxa"/>
            <w:vAlign w:val="bottom"/>
          </w:tcPr>
          <w:p>
            <w:pPr>
              <w:ind w:left="4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Director</w:t>
            </w: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86"/>
        </w:trPr>
        <w:tc>
          <w:tcPr>
            <w:tcW w:w="5540" w:type="dxa"/>
            <w:vAlign w:val="bottom"/>
            <w:gridSpan w:val="4"/>
          </w:tcPr>
          <w:p>
            <w:pPr>
              <w:spacing w:after="0"/>
              <w:rPr>
                <w:sz w:val="20"/>
                <w:szCs w:val="20"/>
                <w:color w:val="auto"/>
              </w:rPr>
            </w:pPr>
            <w:r>
              <w:rPr>
                <w:rFonts w:ascii="Arial" w:cs="Arial" w:eastAsia="Arial" w:hAnsi="Arial"/>
                <w:sz w:val="22"/>
                <w:szCs w:val="22"/>
                <w:b w:val="1"/>
                <w:bCs w:val="1"/>
                <w:color w:val="auto"/>
              </w:rPr>
              <w:t>WORLD FUEL SERVICES (SINGAPORE) PTE LTD</w:t>
            </w:r>
          </w:p>
        </w:tc>
        <w:tc>
          <w:tcPr>
            <w:tcW w:w="6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7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680" w:type="dxa"/>
            <w:vAlign w:val="bottom"/>
          </w:tcPr>
          <w:p>
            <w:pPr>
              <w:ind w:left="4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Director</w:t>
            </w: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Fourth Amended and Restated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12" w:name="page13"/>
    <w:bookmarkEnd w:id="12"/>
    <w:p>
      <w:pPr>
        <w:ind w:left="334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23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WORLD FUEL SERVICES CORPORATION</w:t>
      </w:r>
    </w:p>
    <w:p>
      <w:pPr>
        <w:spacing w:after="0" w:line="200" w:lineRule="exact"/>
        <w:rPr>
          <w:sz w:val="20"/>
          <w:szCs w:val="20"/>
          <w:color w:val="auto"/>
        </w:rPr>
      </w:pPr>
    </w:p>
    <w:p>
      <w:pPr>
        <w:spacing w:after="0" w:line="253"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7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680" w:type="dxa"/>
            <w:vAlign w:val="bottom"/>
          </w:tcPr>
          <w:p>
            <w:pPr>
              <w:ind w:left="4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5"/>
        </w:trPr>
        <w:tc>
          <w:tcPr>
            <w:tcW w:w="3760" w:type="dxa"/>
            <w:vAlign w:val="bottom"/>
            <w:gridSpan w:val="3"/>
          </w:tcPr>
          <w:p>
            <w:pPr>
              <w:spacing w:after="0"/>
              <w:rPr>
                <w:sz w:val="20"/>
                <w:szCs w:val="20"/>
                <w:color w:val="auto"/>
              </w:rPr>
            </w:pPr>
            <w:r>
              <w:rPr>
                <w:rFonts w:ascii="Arial" w:cs="Arial" w:eastAsia="Arial" w:hAnsi="Arial"/>
                <w:sz w:val="22"/>
                <w:szCs w:val="22"/>
                <w:color w:val="auto"/>
                <w:w w:val="98"/>
              </w:rPr>
              <w:t>Title:  Sr. Vice President and Treasurer</w:t>
            </w: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86"/>
        </w:trPr>
        <w:tc>
          <w:tcPr>
            <w:tcW w:w="5540" w:type="dxa"/>
            <w:vAlign w:val="bottom"/>
            <w:gridSpan w:val="4"/>
          </w:tcPr>
          <w:p>
            <w:pPr>
              <w:spacing w:after="0"/>
              <w:rPr>
                <w:sz w:val="20"/>
                <w:szCs w:val="20"/>
                <w:color w:val="auto"/>
              </w:rPr>
            </w:pPr>
            <w:r>
              <w:rPr>
                <w:rFonts w:ascii="Arial" w:cs="Arial" w:eastAsia="Arial" w:hAnsi="Arial"/>
                <w:sz w:val="22"/>
                <w:szCs w:val="22"/>
                <w:b w:val="1"/>
                <w:bCs w:val="1"/>
                <w:color w:val="auto"/>
              </w:rPr>
              <w:t>WORLD FUEL SERVICES EUROPE, LTD.</w:t>
            </w:r>
          </w:p>
        </w:tc>
        <w:tc>
          <w:tcPr>
            <w:tcW w:w="6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7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680" w:type="dxa"/>
            <w:vAlign w:val="bottom"/>
          </w:tcPr>
          <w:p>
            <w:pPr>
              <w:ind w:left="4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3220" w:type="dxa"/>
            <w:vAlign w:val="bottom"/>
            <w:gridSpan w:val="2"/>
          </w:tcPr>
          <w:p>
            <w:pPr>
              <w:ind w:left="200"/>
              <w:spacing w:after="0"/>
              <w:rPr>
                <w:sz w:val="20"/>
                <w:szCs w:val="20"/>
                <w:color w:val="auto"/>
              </w:rPr>
            </w:pPr>
            <w:r>
              <w:rPr>
                <w:rFonts w:ascii="Arial" w:cs="Arial" w:eastAsia="Arial" w:hAnsi="Arial"/>
                <w:sz w:val="22"/>
                <w:szCs w:val="22"/>
                <w:color w:val="auto"/>
              </w:rPr>
              <w:t>Director</w:t>
            </w: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86"/>
        </w:trPr>
        <w:tc>
          <w:tcPr>
            <w:tcW w:w="5540" w:type="dxa"/>
            <w:vAlign w:val="bottom"/>
            <w:gridSpan w:val="4"/>
          </w:tcPr>
          <w:p>
            <w:pPr>
              <w:spacing w:after="0"/>
              <w:rPr>
                <w:sz w:val="20"/>
                <w:szCs w:val="20"/>
                <w:color w:val="auto"/>
              </w:rPr>
            </w:pPr>
            <w:r>
              <w:rPr>
                <w:rFonts w:ascii="Arial" w:cs="Arial" w:eastAsia="Arial" w:hAnsi="Arial"/>
                <w:sz w:val="22"/>
                <w:szCs w:val="22"/>
                <w:b w:val="1"/>
                <w:bCs w:val="1"/>
                <w:color w:val="auto"/>
              </w:rPr>
              <w:t>WORLD FUEL SERVICES (SINGAPORE) PTE LTD</w:t>
            </w:r>
          </w:p>
        </w:tc>
        <w:tc>
          <w:tcPr>
            <w:tcW w:w="6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7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680" w:type="dxa"/>
            <w:vAlign w:val="bottom"/>
          </w:tcPr>
          <w:p>
            <w:pPr>
              <w:ind w:left="4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Director</w:t>
            </w: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2" w:right="899" w:bottom="1440" w:gutter="0" w:footer="0" w:header="0"/>
        </w:sectPr>
      </w:pPr>
    </w:p>
    <w:bookmarkStart w:id="13" w:name="page14"/>
    <w:bookmarkEnd w:id="13"/>
    <w:p>
      <w:pPr>
        <w:ind w:left="3340"/>
        <w:spacing w:after="0"/>
        <w:rPr>
          <w:sz w:val="20"/>
          <w:szCs w:val="20"/>
          <w:color w:val="auto"/>
        </w:rPr>
      </w:pPr>
      <w:r>
        <w:rPr>
          <w:rFonts w:ascii="Arial" w:cs="Arial" w:eastAsia="Arial" w:hAnsi="Arial"/>
          <w:sz w:val="22"/>
          <w:szCs w:val="22"/>
          <w:b w:val="1"/>
          <w:bCs w:val="1"/>
          <w:u w:val="single" w:color="auto"/>
          <w:color w:val="auto"/>
        </w:rPr>
        <w:t>DOMESTIC SUBSIDIARIES</w:t>
      </w:r>
      <w:r>
        <w:rPr>
          <w:rFonts w:ascii="Arial" w:cs="Arial" w:eastAsia="Arial" w:hAnsi="Arial"/>
          <w:sz w:val="22"/>
          <w:szCs w:val="22"/>
          <w:b w:val="1"/>
          <w:bCs w:val="1"/>
          <w:color w:val="auto"/>
        </w:rPr>
        <w:t>:</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ADVANCE PETROLEUM, INC.</w:t>
      </w:r>
    </w:p>
    <w:p>
      <w:pPr>
        <w:spacing w:after="0" w:line="200" w:lineRule="exact"/>
        <w:rPr>
          <w:sz w:val="20"/>
          <w:szCs w:val="20"/>
          <w:color w:val="auto"/>
        </w:rPr>
      </w:pPr>
    </w:p>
    <w:p>
      <w:pPr>
        <w:spacing w:after="0" w:line="253"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00" w:type="dxa"/>
            <w:vAlign w:val="bottom"/>
          </w:tcPr>
          <w:p>
            <w:pPr>
              <w:ind w:left="20"/>
              <w:spacing w:after="0"/>
              <w:rPr>
                <w:sz w:val="20"/>
                <w:szCs w:val="20"/>
                <w:color w:val="auto"/>
              </w:rPr>
            </w:pPr>
            <w:r>
              <w:rPr>
                <w:rFonts w:ascii="Arial" w:cs="Arial" w:eastAsia="Arial" w:hAnsi="Arial"/>
                <w:sz w:val="22"/>
                <w:szCs w:val="22"/>
                <w:color w:val="auto"/>
              </w:rPr>
              <w:t>Adrienne</w:t>
            </w:r>
          </w:p>
        </w:tc>
        <w:tc>
          <w:tcPr>
            <w:tcW w:w="600" w:type="dxa"/>
            <w:vAlign w:val="bottom"/>
          </w:tcPr>
          <w:p>
            <w:pPr>
              <w:ind w:left="40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42"/>
        </w:trPr>
        <w:tc>
          <w:tcPr>
            <w:tcW w:w="402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5"/>
        </w:trPr>
        <w:tc>
          <w:tcPr>
            <w:tcW w:w="4020" w:type="dxa"/>
            <w:vAlign w:val="bottom"/>
            <w:gridSpan w:val="3"/>
          </w:tcPr>
          <w:p>
            <w:pPr>
              <w:spacing w:after="0"/>
              <w:rPr>
                <w:sz w:val="20"/>
                <w:szCs w:val="20"/>
                <w:color w:val="auto"/>
              </w:rPr>
            </w:pPr>
            <w:r>
              <w:rPr>
                <w:rFonts w:ascii="Arial" w:cs="Arial" w:eastAsia="Arial" w:hAnsi="Arial"/>
                <w:sz w:val="22"/>
                <w:szCs w:val="22"/>
                <w:color w:val="auto"/>
              </w:rPr>
              <w:t>Title:  Vice President and Treasurer</w:t>
            </w:r>
          </w:p>
        </w:tc>
        <w:tc>
          <w:tcPr>
            <w:tcW w:w="16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86"/>
        </w:trPr>
        <w:tc>
          <w:tcPr>
            <w:tcW w:w="4020" w:type="dxa"/>
            <w:vAlign w:val="bottom"/>
            <w:gridSpan w:val="3"/>
          </w:tcPr>
          <w:p>
            <w:pPr>
              <w:spacing w:after="0"/>
              <w:rPr>
                <w:sz w:val="20"/>
                <w:szCs w:val="20"/>
                <w:color w:val="auto"/>
              </w:rPr>
            </w:pPr>
            <w:r>
              <w:rPr>
                <w:rFonts w:ascii="Arial" w:cs="Arial" w:eastAsia="Arial" w:hAnsi="Arial"/>
                <w:sz w:val="22"/>
                <w:szCs w:val="22"/>
                <w:b w:val="1"/>
                <w:bCs w:val="1"/>
                <w:color w:val="auto"/>
              </w:rPr>
              <w:t>ASCENT AVIATION GROUP, INC.</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00" w:type="dxa"/>
            <w:vAlign w:val="bottom"/>
          </w:tcPr>
          <w:p>
            <w:pPr>
              <w:ind w:left="20"/>
              <w:spacing w:after="0"/>
              <w:rPr>
                <w:sz w:val="20"/>
                <w:szCs w:val="20"/>
                <w:color w:val="auto"/>
              </w:rPr>
            </w:pPr>
            <w:r>
              <w:rPr>
                <w:rFonts w:ascii="Arial" w:cs="Arial" w:eastAsia="Arial" w:hAnsi="Arial"/>
                <w:sz w:val="22"/>
                <w:szCs w:val="22"/>
                <w:color w:val="auto"/>
              </w:rPr>
              <w:t>Adrienne</w:t>
            </w:r>
          </w:p>
        </w:tc>
        <w:tc>
          <w:tcPr>
            <w:tcW w:w="600" w:type="dxa"/>
            <w:vAlign w:val="bottom"/>
          </w:tcPr>
          <w:p>
            <w:pPr>
              <w:ind w:left="40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42"/>
        </w:trPr>
        <w:tc>
          <w:tcPr>
            <w:tcW w:w="402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5"/>
        </w:trPr>
        <w:tc>
          <w:tcPr>
            <w:tcW w:w="4020" w:type="dxa"/>
            <w:vAlign w:val="bottom"/>
            <w:gridSpan w:val="3"/>
          </w:tcPr>
          <w:p>
            <w:pPr>
              <w:spacing w:after="0"/>
              <w:rPr>
                <w:sz w:val="20"/>
                <w:szCs w:val="20"/>
                <w:color w:val="auto"/>
              </w:rPr>
            </w:pPr>
            <w:r>
              <w:rPr>
                <w:rFonts w:ascii="Arial" w:cs="Arial" w:eastAsia="Arial" w:hAnsi="Arial"/>
                <w:sz w:val="22"/>
                <w:szCs w:val="22"/>
                <w:color w:val="auto"/>
              </w:rPr>
              <w:t>Title:  Sr. Vice President and Treasurer</w:t>
            </w:r>
          </w:p>
        </w:tc>
        <w:tc>
          <w:tcPr>
            <w:tcW w:w="16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86"/>
        </w:trPr>
        <w:tc>
          <w:tcPr>
            <w:tcW w:w="4020" w:type="dxa"/>
            <w:vAlign w:val="bottom"/>
            <w:gridSpan w:val="3"/>
          </w:tcPr>
          <w:p>
            <w:pPr>
              <w:spacing w:after="0"/>
              <w:rPr>
                <w:sz w:val="20"/>
                <w:szCs w:val="20"/>
                <w:color w:val="auto"/>
              </w:rPr>
            </w:pPr>
            <w:r>
              <w:rPr>
                <w:rFonts w:ascii="Arial" w:cs="Arial" w:eastAsia="Arial" w:hAnsi="Arial"/>
                <w:sz w:val="22"/>
                <w:szCs w:val="22"/>
                <w:b w:val="1"/>
                <w:bCs w:val="1"/>
                <w:color w:val="auto"/>
              </w:rPr>
              <w:t>BASEOPS INTERNATIONAL, INC.</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00" w:type="dxa"/>
            <w:vAlign w:val="bottom"/>
          </w:tcPr>
          <w:p>
            <w:pPr>
              <w:ind w:left="20"/>
              <w:spacing w:after="0"/>
              <w:rPr>
                <w:sz w:val="20"/>
                <w:szCs w:val="20"/>
                <w:color w:val="auto"/>
              </w:rPr>
            </w:pPr>
            <w:r>
              <w:rPr>
                <w:rFonts w:ascii="Arial" w:cs="Arial" w:eastAsia="Arial" w:hAnsi="Arial"/>
                <w:sz w:val="22"/>
                <w:szCs w:val="22"/>
                <w:color w:val="auto"/>
              </w:rPr>
              <w:t>Adrienne</w:t>
            </w:r>
          </w:p>
        </w:tc>
        <w:tc>
          <w:tcPr>
            <w:tcW w:w="600" w:type="dxa"/>
            <w:vAlign w:val="bottom"/>
          </w:tcPr>
          <w:p>
            <w:pPr>
              <w:ind w:left="40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42"/>
        </w:trPr>
        <w:tc>
          <w:tcPr>
            <w:tcW w:w="402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5"/>
        </w:trPr>
        <w:tc>
          <w:tcPr>
            <w:tcW w:w="4020" w:type="dxa"/>
            <w:vAlign w:val="bottom"/>
            <w:gridSpan w:val="3"/>
          </w:tcPr>
          <w:p>
            <w:pPr>
              <w:spacing w:after="0"/>
              <w:rPr>
                <w:sz w:val="20"/>
                <w:szCs w:val="20"/>
                <w:color w:val="auto"/>
              </w:rPr>
            </w:pPr>
            <w:r>
              <w:rPr>
                <w:rFonts w:ascii="Arial" w:cs="Arial" w:eastAsia="Arial" w:hAnsi="Arial"/>
                <w:sz w:val="22"/>
                <w:szCs w:val="22"/>
                <w:color w:val="auto"/>
              </w:rPr>
              <w:t>Title:  Vice President and Treasurer</w:t>
            </w:r>
          </w:p>
        </w:tc>
        <w:tc>
          <w:tcPr>
            <w:tcW w:w="16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86"/>
        </w:trPr>
        <w:tc>
          <w:tcPr>
            <w:tcW w:w="4020" w:type="dxa"/>
            <w:vAlign w:val="bottom"/>
            <w:gridSpan w:val="3"/>
          </w:tcPr>
          <w:p>
            <w:pPr>
              <w:spacing w:after="0"/>
              <w:rPr>
                <w:sz w:val="20"/>
                <w:szCs w:val="20"/>
                <w:color w:val="auto"/>
              </w:rPr>
            </w:pPr>
            <w:r>
              <w:rPr>
                <w:rFonts w:ascii="Arial" w:cs="Arial" w:eastAsia="Arial" w:hAnsi="Arial"/>
                <w:sz w:val="22"/>
                <w:szCs w:val="22"/>
                <w:b w:val="1"/>
                <w:bCs w:val="1"/>
                <w:color w:val="auto"/>
              </w:rPr>
              <w:t>KROPP HOLDINGS, INC.</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00" w:type="dxa"/>
            <w:vAlign w:val="bottom"/>
          </w:tcPr>
          <w:p>
            <w:pPr>
              <w:ind w:left="20"/>
              <w:spacing w:after="0"/>
              <w:rPr>
                <w:sz w:val="20"/>
                <w:szCs w:val="20"/>
                <w:color w:val="auto"/>
              </w:rPr>
            </w:pPr>
            <w:r>
              <w:rPr>
                <w:rFonts w:ascii="Arial" w:cs="Arial" w:eastAsia="Arial" w:hAnsi="Arial"/>
                <w:sz w:val="22"/>
                <w:szCs w:val="22"/>
                <w:color w:val="auto"/>
              </w:rPr>
              <w:t>Adrienne</w:t>
            </w:r>
          </w:p>
        </w:tc>
        <w:tc>
          <w:tcPr>
            <w:tcW w:w="600" w:type="dxa"/>
            <w:vAlign w:val="bottom"/>
          </w:tcPr>
          <w:p>
            <w:pPr>
              <w:ind w:left="40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42"/>
        </w:trPr>
        <w:tc>
          <w:tcPr>
            <w:tcW w:w="402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5"/>
        </w:trPr>
        <w:tc>
          <w:tcPr>
            <w:tcW w:w="4020" w:type="dxa"/>
            <w:vAlign w:val="bottom"/>
            <w:gridSpan w:val="3"/>
          </w:tcPr>
          <w:p>
            <w:pPr>
              <w:spacing w:after="0"/>
              <w:rPr>
                <w:sz w:val="20"/>
                <w:szCs w:val="20"/>
                <w:color w:val="auto"/>
              </w:rPr>
            </w:pPr>
            <w:r>
              <w:rPr>
                <w:rFonts w:ascii="Arial" w:cs="Arial" w:eastAsia="Arial" w:hAnsi="Arial"/>
                <w:sz w:val="22"/>
                <w:szCs w:val="22"/>
                <w:color w:val="auto"/>
              </w:rPr>
              <w:t>Title:  Vice President and Treasurer</w:t>
            </w:r>
          </w:p>
        </w:tc>
        <w:tc>
          <w:tcPr>
            <w:tcW w:w="16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86"/>
        </w:trPr>
        <w:tc>
          <w:tcPr>
            <w:tcW w:w="5620" w:type="dxa"/>
            <w:vAlign w:val="bottom"/>
            <w:gridSpan w:val="4"/>
          </w:tcPr>
          <w:p>
            <w:pPr>
              <w:spacing w:after="0"/>
              <w:rPr>
                <w:sz w:val="20"/>
                <w:szCs w:val="20"/>
                <w:color w:val="auto"/>
              </w:rPr>
            </w:pPr>
            <w:r>
              <w:rPr>
                <w:rFonts w:ascii="Arial" w:cs="Arial" w:eastAsia="Arial" w:hAnsi="Arial"/>
                <w:sz w:val="22"/>
                <w:szCs w:val="22"/>
                <w:b w:val="1"/>
                <w:bCs w:val="1"/>
                <w:color w:val="auto"/>
              </w:rPr>
              <w:t>MULTI SERVICE TECHNOLOGY SOLUTIONS, INC.</w:t>
            </w:r>
          </w:p>
        </w:tc>
        <w:tc>
          <w:tcPr>
            <w:tcW w:w="600" w:type="dxa"/>
            <w:vAlign w:val="bottom"/>
          </w:tcPr>
          <w:p>
            <w:pPr>
              <w:spacing w:after="0"/>
              <w:rPr>
                <w:sz w:val="24"/>
                <w:szCs w:val="24"/>
                <w:color w:val="auto"/>
              </w:rPr>
            </w:pPr>
          </w:p>
        </w:tc>
      </w:tr>
      <w:tr>
        <w:trPr>
          <w:trHeight w:val="436"/>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00" w:type="dxa"/>
            <w:vAlign w:val="bottom"/>
          </w:tcPr>
          <w:p>
            <w:pPr>
              <w:ind w:left="20"/>
              <w:spacing w:after="0"/>
              <w:rPr>
                <w:sz w:val="20"/>
                <w:szCs w:val="20"/>
                <w:color w:val="auto"/>
              </w:rPr>
            </w:pPr>
            <w:r>
              <w:rPr>
                <w:rFonts w:ascii="Arial" w:cs="Arial" w:eastAsia="Arial" w:hAnsi="Arial"/>
                <w:sz w:val="22"/>
                <w:szCs w:val="22"/>
                <w:color w:val="auto"/>
              </w:rPr>
              <w:t>Adrienne</w:t>
            </w:r>
          </w:p>
        </w:tc>
        <w:tc>
          <w:tcPr>
            <w:tcW w:w="600" w:type="dxa"/>
            <w:vAlign w:val="bottom"/>
          </w:tcPr>
          <w:p>
            <w:pPr>
              <w:ind w:left="40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42"/>
        </w:trPr>
        <w:tc>
          <w:tcPr>
            <w:tcW w:w="402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5"/>
        </w:trPr>
        <w:tc>
          <w:tcPr>
            <w:tcW w:w="4020" w:type="dxa"/>
            <w:vAlign w:val="bottom"/>
            <w:gridSpan w:val="3"/>
          </w:tcPr>
          <w:p>
            <w:pPr>
              <w:spacing w:after="0"/>
              <w:rPr>
                <w:sz w:val="20"/>
                <w:szCs w:val="20"/>
                <w:color w:val="auto"/>
              </w:rPr>
            </w:pPr>
            <w:r>
              <w:rPr>
                <w:rFonts w:ascii="Arial" w:cs="Arial" w:eastAsia="Arial" w:hAnsi="Arial"/>
                <w:sz w:val="22"/>
                <w:szCs w:val="22"/>
                <w:color w:val="auto"/>
              </w:rPr>
              <w:t>Title:  Sr. Vice President and Treasurer</w:t>
            </w:r>
          </w:p>
        </w:tc>
        <w:tc>
          <w:tcPr>
            <w:tcW w:w="16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86"/>
        </w:trPr>
        <w:tc>
          <w:tcPr>
            <w:tcW w:w="4020" w:type="dxa"/>
            <w:vAlign w:val="bottom"/>
            <w:gridSpan w:val="3"/>
          </w:tcPr>
          <w:p>
            <w:pPr>
              <w:spacing w:after="0"/>
              <w:rPr>
                <w:sz w:val="20"/>
                <w:szCs w:val="20"/>
                <w:color w:val="auto"/>
              </w:rPr>
            </w:pPr>
            <w:r>
              <w:rPr>
                <w:rFonts w:ascii="Arial" w:cs="Arial" w:eastAsia="Arial" w:hAnsi="Arial"/>
                <w:sz w:val="22"/>
                <w:szCs w:val="22"/>
                <w:b w:val="1"/>
                <w:bCs w:val="1"/>
                <w:color w:val="auto"/>
                <w:w w:val="99"/>
              </w:rPr>
              <w:t>THE HILLER GROUP INCORPORATED</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00" w:type="dxa"/>
            <w:vAlign w:val="bottom"/>
          </w:tcPr>
          <w:p>
            <w:pPr>
              <w:ind w:left="20"/>
              <w:spacing w:after="0"/>
              <w:rPr>
                <w:sz w:val="20"/>
                <w:szCs w:val="20"/>
                <w:color w:val="auto"/>
              </w:rPr>
            </w:pPr>
            <w:r>
              <w:rPr>
                <w:rFonts w:ascii="Arial" w:cs="Arial" w:eastAsia="Arial" w:hAnsi="Arial"/>
                <w:sz w:val="22"/>
                <w:szCs w:val="22"/>
                <w:color w:val="auto"/>
              </w:rPr>
              <w:t>Adrienne</w:t>
            </w:r>
          </w:p>
        </w:tc>
        <w:tc>
          <w:tcPr>
            <w:tcW w:w="600" w:type="dxa"/>
            <w:vAlign w:val="bottom"/>
          </w:tcPr>
          <w:p>
            <w:pPr>
              <w:ind w:left="40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42"/>
        </w:trPr>
        <w:tc>
          <w:tcPr>
            <w:tcW w:w="402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3480" w:type="dxa"/>
            <w:vAlign w:val="bottom"/>
            <w:gridSpan w:val="2"/>
          </w:tcPr>
          <w:p>
            <w:pPr>
              <w:ind w:left="140"/>
              <w:spacing w:after="0"/>
              <w:rPr>
                <w:sz w:val="20"/>
                <w:szCs w:val="20"/>
                <w:color w:val="auto"/>
              </w:rPr>
            </w:pPr>
            <w:r>
              <w:rPr>
                <w:rFonts w:ascii="Arial" w:cs="Arial" w:eastAsia="Arial" w:hAnsi="Arial"/>
                <w:sz w:val="22"/>
                <w:szCs w:val="22"/>
                <w:color w:val="auto"/>
              </w:rPr>
              <w:t>Sr. Vice President and Treasurer</w:t>
            </w:r>
          </w:p>
        </w:tc>
        <w:tc>
          <w:tcPr>
            <w:tcW w:w="160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2" w:right="899" w:bottom="1440" w:gutter="0" w:footer="0" w:header="0"/>
        </w:sectPr>
      </w:pPr>
    </w:p>
    <w:bookmarkStart w:id="14" w:name="page15"/>
    <w:bookmarkEnd w:id="14"/>
    <w:tbl>
      <w:tblPr>
        <w:tblLayout w:type="fixed"/>
        <w:tblInd w:w="3340" w:type="dxa"/>
        <w:tblCellMar>
          <w:top w:w="0" w:type="dxa"/>
          <w:left w:w="0" w:type="dxa"/>
          <w:bottom w:w="0" w:type="dxa"/>
          <w:right w:w="0" w:type="dxa"/>
        </w:tblCellMar>
      </w:tblPr>
      <w:tr>
        <w:trPr>
          <w:trHeight w:val="281"/>
        </w:trPr>
        <w:tc>
          <w:tcPr>
            <w:tcW w:w="3880" w:type="dxa"/>
            <w:vAlign w:val="bottom"/>
            <w:gridSpan w:val="3"/>
          </w:tcPr>
          <w:p>
            <w:pPr>
              <w:spacing w:after="0"/>
              <w:rPr>
                <w:sz w:val="20"/>
                <w:szCs w:val="20"/>
                <w:color w:val="auto"/>
              </w:rPr>
            </w:pPr>
            <w:r>
              <w:rPr>
                <w:rFonts w:ascii="Arial" w:cs="Arial" w:eastAsia="Arial" w:hAnsi="Arial"/>
                <w:sz w:val="22"/>
                <w:szCs w:val="22"/>
                <w:b w:val="1"/>
                <w:bCs w:val="1"/>
                <w:color w:val="auto"/>
              </w:rPr>
              <w:t>WESTERN PETROLEUM COMPANY</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34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560" w:type="dxa"/>
            <w:vAlign w:val="bottom"/>
          </w:tcPr>
          <w:p>
            <w:pPr>
              <w:ind w:left="160"/>
              <w:spacing w:after="0"/>
              <w:rPr>
                <w:sz w:val="20"/>
                <w:szCs w:val="20"/>
                <w:color w:val="auto"/>
              </w:rPr>
            </w:pPr>
            <w:r>
              <w:rPr>
                <w:rFonts w:ascii="Arial" w:cs="Arial" w:eastAsia="Arial" w:hAnsi="Arial"/>
                <w:sz w:val="22"/>
                <w:szCs w:val="22"/>
                <w:color w:val="auto"/>
              </w:rPr>
              <w:t>Adrienne</w:t>
            </w:r>
          </w:p>
        </w:tc>
        <w:tc>
          <w:tcPr>
            <w:tcW w:w="780" w:type="dxa"/>
            <w:vAlign w:val="bottom"/>
          </w:tcPr>
          <w:p>
            <w:pPr>
              <w:ind w:left="5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Vice President and Treasurer</w:t>
            </w: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86"/>
        </w:trPr>
        <w:tc>
          <w:tcPr>
            <w:tcW w:w="5440" w:type="dxa"/>
            <w:vAlign w:val="bottom"/>
            <w:gridSpan w:val="4"/>
          </w:tcPr>
          <w:p>
            <w:pPr>
              <w:spacing w:after="0"/>
              <w:rPr>
                <w:sz w:val="20"/>
                <w:szCs w:val="20"/>
                <w:color w:val="auto"/>
              </w:rPr>
            </w:pPr>
            <w:r>
              <w:rPr>
                <w:rFonts w:ascii="Arial" w:cs="Arial" w:eastAsia="Arial" w:hAnsi="Arial"/>
                <w:sz w:val="22"/>
                <w:szCs w:val="22"/>
                <w:b w:val="1"/>
                <w:bCs w:val="1"/>
                <w:color w:val="auto"/>
              </w:rPr>
              <w:t>WORLD FUEL SERVICES CANADA, INC.</w:t>
            </w:r>
          </w:p>
        </w:tc>
        <w:tc>
          <w:tcPr>
            <w:tcW w:w="7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34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560" w:type="dxa"/>
            <w:vAlign w:val="bottom"/>
          </w:tcPr>
          <w:p>
            <w:pPr>
              <w:ind w:left="160"/>
              <w:spacing w:after="0"/>
              <w:rPr>
                <w:sz w:val="20"/>
                <w:szCs w:val="20"/>
                <w:color w:val="auto"/>
              </w:rPr>
            </w:pPr>
            <w:r>
              <w:rPr>
                <w:rFonts w:ascii="Arial" w:cs="Arial" w:eastAsia="Arial" w:hAnsi="Arial"/>
                <w:sz w:val="22"/>
                <w:szCs w:val="22"/>
                <w:color w:val="auto"/>
              </w:rPr>
              <w:t>Adrienne</w:t>
            </w:r>
          </w:p>
        </w:tc>
        <w:tc>
          <w:tcPr>
            <w:tcW w:w="780" w:type="dxa"/>
            <w:vAlign w:val="bottom"/>
          </w:tcPr>
          <w:p>
            <w:pPr>
              <w:ind w:left="5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Vice President and Treasurer</w:t>
            </w: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86"/>
        </w:trPr>
        <w:tc>
          <w:tcPr>
            <w:tcW w:w="5440" w:type="dxa"/>
            <w:vAlign w:val="bottom"/>
            <w:gridSpan w:val="4"/>
          </w:tcPr>
          <w:p>
            <w:pPr>
              <w:spacing w:after="0"/>
              <w:rPr>
                <w:sz w:val="20"/>
                <w:szCs w:val="20"/>
                <w:color w:val="auto"/>
              </w:rPr>
            </w:pPr>
            <w:r>
              <w:rPr>
                <w:rFonts w:ascii="Arial" w:cs="Arial" w:eastAsia="Arial" w:hAnsi="Arial"/>
                <w:sz w:val="22"/>
                <w:szCs w:val="22"/>
                <w:b w:val="1"/>
                <w:bCs w:val="1"/>
                <w:color w:val="auto"/>
              </w:rPr>
              <w:t>WORLD FUEL SERVICES COMPANY, INC.</w:t>
            </w:r>
          </w:p>
        </w:tc>
        <w:tc>
          <w:tcPr>
            <w:tcW w:w="7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34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560" w:type="dxa"/>
            <w:vAlign w:val="bottom"/>
          </w:tcPr>
          <w:p>
            <w:pPr>
              <w:ind w:left="160"/>
              <w:spacing w:after="0"/>
              <w:rPr>
                <w:sz w:val="20"/>
                <w:szCs w:val="20"/>
                <w:color w:val="auto"/>
              </w:rPr>
            </w:pPr>
            <w:r>
              <w:rPr>
                <w:rFonts w:ascii="Arial" w:cs="Arial" w:eastAsia="Arial" w:hAnsi="Arial"/>
                <w:sz w:val="22"/>
                <w:szCs w:val="22"/>
                <w:color w:val="auto"/>
              </w:rPr>
              <w:t>Adrienne</w:t>
            </w:r>
          </w:p>
        </w:tc>
        <w:tc>
          <w:tcPr>
            <w:tcW w:w="780" w:type="dxa"/>
            <w:vAlign w:val="bottom"/>
          </w:tcPr>
          <w:p>
            <w:pPr>
              <w:ind w:left="5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Vice President and Treasurer</w:t>
            </w: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6" w:lineRule="exact"/>
        <w:rPr>
          <w:sz w:val="20"/>
          <w:szCs w:val="20"/>
          <w:color w:val="auto"/>
        </w:rPr>
      </w:pPr>
    </w:p>
    <w:p>
      <w:pPr>
        <w:ind w:left="3340" w:right="20"/>
        <w:spacing w:after="0" w:line="256" w:lineRule="auto"/>
        <w:rPr>
          <w:sz w:val="20"/>
          <w:szCs w:val="20"/>
          <w:color w:val="auto"/>
        </w:rPr>
      </w:pPr>
      <w:r>
        <w:rPr>
          <w:rFonts w:ascii="Arial" w:cs="Arial" w:eastAsia="Arial" w:hAnsi="Arial"/>
          <w:sz w:val="22"/>
          <w:szCs w:val="22"/>
          <w:b w:val="1"/>
          <w:bCs w:val="1"/>
          <w:color w:val="auto"/>
        </w:rPr>
        <w:t>WORLD FUEL SERVICES CORPORATE AVIATION SUPPORT SERVICES, INC.</w:t>
      </w:r>
    </w:p>
    <w:p>
      <w:pPr>
        <w:spacing w:after="0" w:line="200" w:lineRule="exact"/>
        <w:rPr>
          <w:sz w:val="20"/>
          <w:szCs w:val="20"/>
          <w:color w:val="auto"/>
        </w:rPr>
      </w:pPr>
    </w:p>
    <w:p>
      <w:pPr>
        <w:spacing w:after="0" w:line="210"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780" w:type="dxa"/>
            <w:vAlign w:val="bottom"/>
          </w:tcPr>
          <w:p>
            <w:pPr>
              <w:ind w:left="5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3760" w:type="dxa"/>
            <w:vAlign w:val="bottom"/>
            <w:gridSpan w:val="3"/>
          </w:tcPr>
          <w:p>
            <w:pPr>
              <w:spacing w:after="0"/>
              <w:rPr>
                <w:sz w:val="20"/>
                <w:szCs w:val="20"/>
                <w:color w:val="auto"/>
              </w:rPr>
            </w:pPr>
            <w:r>
              <w:rPr>
                <w:rFonts w:ascii="Arial" w:cs="Arial" w:eastAsia="Arial" w:hAnsi="Arial"/>
                <w:sz w:val="22"/>
                <w:szCs w:val="22"/>
                <w:color w:val="auto"/>
                <w:w w:val="98"/>
              </w:rPr>
              <w:t>Title:  Sr. Vice President and Treasurer</w:t>
            </w:r>
          </w:p>
        </w:tc>
        <w:tc>
          <w:tcPr>
            <w:tcW w:w="16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86"/>
        </w:trPr>
        <w:tc>
          <w:tcPr>
            <w:tcW w:w="3760" w:type="dxa"/>
            <w:vAlign w:val="bottom"/>
            <w:gridSpan w:val="3"/>
          </w:tcPr>
          <w:p>
            <w:pPr>
              <w:spacing w:after="0"/>
              <w:rPr>
                <w:sz w:val="20"/>
                <w:szCs w:val="20"/>
                <w:color w:val="auto"/>
              </w:rPr>
            </w:pPr>
            <w:r>
              <w:rPr>
                <w:rFonts w:ascii="Arial" w:cs="Arial" w:eastAsia="Arial" w:hAnsi="Arial"/>
                <w:sz w:val="22"/>
                <w:szCs w:val="22"/>
                <w:b w:val="1"/>
                <w:bCs w:val="1"/>
                <w:color w:val="auto"/>
              </w:rPr>
              <w:t>WORLD FUEL SERVICES, INC.</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680" w:type="dxa"/>
            <w:vAlign w:val="bottom"/>
          </w:tcPr>
          <w:p>
            <w:pPr>
              <w:ind w:left="280"/>
              <w:spacing w:after="0"/>
              <w:rPr>
                <w:sz w:val="20"/>
                <w:szCs w:val="20"/>
                <w:color w:val="auto"/>
              </w:rPr>
            </w:pPr>
            <w:r>
              <w:rPr>
                <w:rFonts w:ascii="Arial" w:cs="Arial" w:eastAsia="Arial" w:hAnsi="Arial"/>
                <w:sz w:val="22"/>
                <w:szCs w:val="22"/>
                <w:color w:val="auto"/>
              </w:rPr>
              <w:t>Adrienne</w:t>
            </w:r>
          </w:p>
        </w:tc>
        <w:tc>
          <w:tcPr>
            <w:tcW w:w="780" w:type="dxa"/>
            <w:vAlign w:val="bottom"/>
          </w:tcPr>
          <w:p>
            <w:pPr>
              <w:ind w:left="5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42"/>
        </w:trPr>
        <w:tc>
          <w:tcPr>
            <w:tcW w:w="37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6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Vice President and Treasurer</w:t>
            </w:r>
          </w:p>
        </w:tc>
        <w:tc>
          <w:tcPr>
            <w:tcW w:w="168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2" w:right="899" w:bottom="1440" w:gutter="0" w:footer="0" w:header="0"/>
        </w:sectPr>
      </w:pPr>
    </w:p>
    <w:bookmarkStart w:id="15" w:name="page16"/>
    <w:bookmarkEnd w:id="15"/>
    <w:p>
      <w:pPr>
        <w:ind w:left="3340"/>
        <w:spacing w:after="0"/>
        <w:rPr>
          <w:sz w:val="20"/>
          <w:szCs w:val="20"/>
          <w:color w:val="auto"/>
        </w:rPr>
      </w:pPr>
      <w:r>
        <w:rPr>
          <w:rFonts w:ascii="Arial" w:cs="Arial" w:eastAsia="Arial" w:hAnsi="Arial"/>
          <w:sz w:val="22"/>
          <w:szCs w:val="22"/>
          <w:b w:val="1"/>
          <w:bCs w:val="1"/>
          <w:u w:val="single" w:color="auto"/>
          <w:color w:val="auto"/>
        </w:rPr>
        <w:t>FOREIGN SUBSIDIARIES</w:t>
      </w:r>
      <w:r>
        <w:rPr>
          <w:rFonts w:ascii="Arial" w:cs="Arial" w:eastAsia="Arial" w:hAnsi="Arial"/>
          <w:sz w:val="22"/>
          <w:szCs w:val="22"/>
          <w:b w:val="1"/>
          <w:bCs w:val="1"/>
          <w:color w:val="auto"/>
        </w:rPr>
        <w:t>:</w:t>
      </w:r>
    </w:p>
    <w:p>
      <w:pPr>
        <w:spacing w:after="0" w:line="23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FALMOUTH PETROLEUM LIMITED</w:t>
      </w:r>
    </w:p>
    <w:p>
      <w:pPr>
        <w:spacing w:after="0" w:line="200" w:lineRule="exact"/>
        <w:rPr>
          <w:sz w:val="20"/>
          <w:szCs w:val="20"/>
          <w:color w:val="auto"/>
        </w:rPr>
      </w:pPr>
    </w:p>
    <w:p>
      <w:pPr>
        <w:spacing w:after="0" w:line="253"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60" w:type="dxa"/>
            <w:vAlign w:val="bottom"/>
            <w:gridSpan w:val="2"/>
          </w:tcPr>
          <w:p>
            <w:pPr>
              <w:spacing w:after="0"/>
              <w:rPr>
                <w:sz w:val="20"/>
                <w:szCs w:val="20"/>
                <w:color w:val="auto"/>
              </w:rPr>
            </w:pPr>
            <w:r>
              <w:rPr>
                <w:rFonts w:ascii="Arial" w:cs="Arial" w:eastAsia="Arial" w:hAnsi="Arial"/>
                <w:sz w:val="22"/>
                <w:szCs w:val="22"/>
                <w:color w:val="auto"/>
              </w:rPr>
              <w:t>By:</w:t>
            </w:r>
          </w:p>
        </w:tc>
        <w:tc>
          <w:tcPr>
            <w:tcW w:w="20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Arial" w:cs="Arial" w:eastAsia="Arial" w:hAnsi="Arial"/>
                <w:sz w:val="22"/>
                <w:szCs w:val="22"/>
                <w:color w:val="auto"/>
              </w:rPr>
              <w:t>/s/</w:t>
            </w:r>
          </w:p>
        </w:tc>
        <w:tc>
          <w:tcPr>
            <w:tcW w:w="2060" w:type="dxa"/>
            <w:vAlign w:val="bottom"/>
          </w:tcPr>
          <w:p>
            <w:pPr>
              <w:jc w:val="center"/>
              <w:spacing w:after="0"/>
              <w:rPr>
                <w:sz w:val="20"/>
                <w:szCs w:val="20"/>
                <w:color w:val="auto"/>
              </w:rPr>
            </w:pPr>
            <w:r>
              <w:rPr>
                <w:rFonts w:ascii="Arial" w:cs="Arial" w:eastAsia="Arial" w:hAnsi="Arial"/>
                <w:sz w:val="22"/>
                <w:szCs w:val="22"/>
                <w:color w:val="auto"/>
                <w:w w:val="93"/>
              </w:rPr>
              <w:t>Adrienne</w:t>
            </w:r>
          </w:p>
        </w:tc>
        <w:tc>
          <w:tcPr>
            <w:tcW w:w="760" w:type="dxa"/>
            <w:vAlign w:val="bottom"/>
            <w:gridSpan w:val="2"/>
          </w:tcPr>
          <w:p>
            <w:pPr>
              <w:ind w:left="540"/>
              <w:spacing w:after="0"/>
              <w:rPr>
                <w:sz w:val="20"/>
                <w:szCs w:val="20"/>
                <w:color w:val="auto"/>
              </w:rPr>
            </w:pPr>
            <w:r>
              <w:rPr>
                <w:rFonts w:ascii="Arial" w:cs="Arial" w:eastAsia="Arial" w:hAnsi="Arial"/>
                <w:sz w:val="22"/>
                <w:szCs w:val="22"/>
                <w:color w:val="auto"/>
                <w:w w:val="95"/>
              </w:rPr>
              <w:t>B.</w:t>
            </w:r>
          </w:p>
        </w:tc>
      </w:tr>
      <w:tr>
        <w:trPr>
          <w:trHeight w:val="223"/>
        </w:trPr>
        <w:tc>
          <w:tcPr>
            <w:tcW w:w="56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0"/>
              </w:rPr>
              <w:t>Urban</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420" w:type="dxa"/>
            <w:vAlign w:val="bottom"/>
            <w:gridSpan w:val="5"/>
          </w:tcPr>
          <w:p>
            <w:pPr>
              <w:spacing w:after="0" w:line="242" w:lineRule="exact"/>
              <w:rPr>
                <w:sz w:val="20"/>
                <w:szCs w:val="20"/>
                <w:color w:val="auto"/>
              </w:rPr>
            </w:pPr>
            <w:r>
              <w:rPr>
                <w:rFonts w:ascii="Arial" w:cs="Arial" w:eastAsia="Arial" w:hAnsi="Arial"/>
                <w:sz w:val="22"/>
                <w:szCs w:val="22"/>
                <w:color w:val="auto"/>
              </w:rPr>
              <w:t>Name: Adrienne B. Urban</w:t>
            </w:r>
          </w:p>
        </w:tc>
        <w:tc>
          <w:tcPr>
            <w:tcW w:w="2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560" w:type="dxa"/>
            <w:vAlign w:val="bottom"/>
            <w:gridSpan w:val="2"/>
          </w:tcPr>
          <w:p>
            <w:pPr>
              <w:spacing w:after="0"/>
              <w:rPr>
                <w:sz w:val="20"/>
                <w:szCs w:val="20"/>
                <w:color w:val="auto"/>
              </w:rPr>
            </w:pPr>
            <w:r>
              <w:rPr>
                <w:rFonts w:ascii="Arial" w:cs="Arial" w:eastAsia="Arial" w:hAnsi="Arial"/>
                <w:sz w:val="22"/>
                <w:szCs w:val="22"/>
                <w:color w:val="auto"/>
              </w:rPr>
              <w:t>Title:</w:t>
            </w:r>
          </w:p>
        </w:tc>
        <w:tc>
          <w:tcPr>
            <w:tcW w:w="2860" w:type="dxa"/>
            <w:vAlign w:val="bottom"/>
            <w:gridSpan w:val="3"/>
          </w:tcPr>
          <w:p>
            <w:pPr>
              <w:ind w:left="120"/>
              <w:spacing w:after="0"/>
              <w:rPr>
                <w:sz w:val="20"/>
                <w:szCs w:val="20"/>
                <w:color w:val="auto"/>
              </w:rPr>
            </w:pPr>
            <w:r>
              <w:rPr>
                <w:rFonts w:ascii="Arial" w:cs="Arial" w:eastAsia="Arial" w:hAnsi="Arial"/>
                <w:sz w:val="22"/>
                <w:szCs w:val="22"/>
                <w:color w:val="auto"/>
              </w:rPr>
              <w:t>Director</w:t>
            </w:r>
          </w:p>
        </w:tc>
        <w:tc>
          <w:tcPr>
            <w:tcW w:w="2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6"/>
        </w:trPr>
        <w:tc>
          <w:tcPr>
            <w:tcW w:w="3420" w:type="dxa"/>
            <w:vAlign w:val="bottom"/>
            <w:gridSpan w:val="5"/>
          </w:tcPr>
          <w:p>
            <w:pPr>
              <w:spacing w:after="0"/>
              <w:rPr>
                <w:sz w:val="20"/>
                <w:szCs w:val="20"/>
                <w:color w:val="auto"/>
              </w:rPr>
            </w:pPr>
            <w:r>
              <w:rPr>
                <w:rFonts w:ascii="Arial" w:cs="Arial" w:eastAsia="Arial" w:hAnsi="Arial"/>
                <w:sz w:val="22"/>
                <w:szCs w:val="22"/>
                <w:b w:val="1"/>
                <w:bCs w:val="1"/>
                <w:color w:val="auto"/>
              </w:rPr>
              <w:t>GIB OIL (UK) LIMITED</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9"/>
        </w:trPr>
        <w:tc>
          <w:tcPr>
            <w:tcW w:w="560" w:type="dxa"/>
            <w:vAlign w:val="bottom"/>
            <w:gridSpan w:val="2"/>
          </w:tcPr>
          <w:p>
            <w:pPr>
              <w:spacing w:after="0"/>
              <w:rPr>
                <w:sz w:val="20"/>
                <w:szCs w:val="20"/>
                <w:color w:val="auto"/>
              </w:rPr>
            </w:pPr>
            <w:r>
              <w:rPr>
                <w:rFonts w:ascii="Arial" w:cs="Arial" w:eastAsia="Arial" w:hAnsi="Arial"/>
                <w:sz w:val="22"/>
                <w:szCs w:val="22"/>
                <w:color w:val="auto"/>
              </w:rPr>
              <w:t>By:</w:t>
            </w:r>
          </w:p>
        </w:tc>
        <w:tc>
          <w:tcPr>
            <w:tcW w:w="202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Christopher</w:t>
            </w:r>
          </w:p>
        </w:tc>
        <w:tc>
          <w:tcPr>
            <w:tcW w:w="760" w:type="dxa"/>
            <w:vAlign w:val="bottom"/>
            <w:tcBorders>
              <w:bottom w:val="single" w:sz="8" w:color="auto"/>
            </w:tcBorders>
            <w:gridSpan w:val="2"/>
          </w:tcPr>
          <w:p>
            <w:pPr>
              <w:ind w:left="620"/>
              <w:spacing w:after="0"/>
              <w:rPr>
                <w:sz w:val="20"/>
                <w:szCs w:val="20"/>
                <w:color w:val="auto"/>
              </w:rPr>
            </w:pPr>
            <w:r>
              <w:rPr>
                <w:rFonts w:ascii="Arial" w:cs="Arial" w:eastAsia="Arial" w:hAnsi="Arial"/>
                <w:sz w:val="21"/>
                <w:szCs w:val="21"/>
                <w:color w:val="auto"/>
                <w:w w:val="73"/>
              </w:rPr>
              <w:t>J.</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92"/>
              </w:rPr>
              <w:t>White</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420" w:type="dxa"/>
            <w:vAlign w:val="bottom"/>
            <w:gridSpan w:val="5"/>
          </w:tcPr>
          <w:p>
            <w:pPr>
              <w:spacing w:after="0" w:line="242" w:lineRule="exact"/>
              <w:rPr>
                <w:sz w:val="20"/>
                <w:szCs w:val="20"/>
                <w:color w:val="auto"/>
              </w:rPr>
            </w:pPr>
            <w:r>
              <w:rPr>
                <w:rFonts w:ascii="Arial" w:cs="Arial" w:eastAsia="Arial" w:hAnsi="Arial"/>
                <w:sz w:val="22"/>
                <w:szCs w:val="22"/>
                <w:color w:val="auto"/>
              </w:rPr>
              <w:t>Name: Christopher J. White</w:t>
            </w:r>
          </w:p>
        </w:tc>
        <w:tc>
          <w:tcPr>
            <w:tcW w:w="2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560" w:type="dxa"/>
            <w:vAlign w:val="bottom"/>
            <w:gridSpan w:val="2"/>
          </w:tcPr>
          <w:p>
            <w:pPr>
              <w:spacing w:after="0"/>
              <w:rPr>
                <w:sz w:val="20"/>
                <w:szCs w:val="20"/>
                <w:color w:val="auto"/>
              </w:rPr>
            </w:pPr>
            <w:r>
              <w:rPr>
                <w:rFonts w:ascii="Arial" w:cs="Arial" w:eastAsia="Arial" w:hAnsi="Arial"/>
                <w:sz w:val="22"/>
                <w:szCs w:val="22"/>
                <w:color w:val="auto"/>
              </w:rPr>
              <w:t>Title:</w:t>
            </w:r>
          </w:p>
        </w:tc>
        <w:tc>
          <w:tcPr>
            <w:tcW w:w="2860" w:type="dxa"/>
            <w:vAlign w:val="bottom"/>
            <w:gridSpan w:val="3"/>
          </w:tcPr>
          <w:p>
            <w:pPr>
              <w:ind w:left="120"/>
              <w:spacing w:after="0"/>
              <w:rPr>
                <w:sz w:val="20"/>
                <w:szCs w:val="20"/>
                <w:color w:val="auto"/>
              </w:rPr>
            </w:pPr>
            <w:r>
              <w:rPr>
                <w:rFonts w:ascii="Arial" w:cs="Arial" w:eastAsia="Arial" w:hAnsi="Arial"/>
                <w:sz w:val="22"/>
                <w:szCs w:val="22"/>
                <w:color w:val="auto"/>
              </w:rPr>
              <w:t>Director</w:t>
            </w:r>
          </w:p>
        </w:tc>
        <w:tc>
          <w:tcPr>
            <w:tcW w:w="2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6"/>
        </w:trPr>
        <w:tc>
          <w:tcPr>
            <w:tcW w:w="3420" w:type="dxa"/>
            <w:vAlign w:val="bottom"/>
            <w:gridSpan w:val="5"/>
          </w:tcPr>
          <w:p>
            <w:pPr>
              <w:spacing w:after="0"/>
              <w:rPr>
                <w:sz w:val="20"/>
                <w:szCs w:val="20"/>
                <w:color w:val="auto"/>
              </w:rPr>
            </w:pPr>
            <w:r>
              <w:rPr>
                <w:rFonts w:ascii="Arial" w:cs="Arial" w:eastAsia="Arial" w:hAnsi="Arial"/>
                <w:sz w:val="22"/>
                <w:szCs w:val="22"/>
                <w:b w:val="1"/>
                <w:bCs w:val="1"/>
                <w:color w:val="auto"/>
              </w:rPr>
              <w:t>HENTY OIL LIMITED</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9"/>
        </w:trPr>
        <w:tc>
          <w:tcPr>
            <w:tcW w:w="560" w:type="dxa"/>
            <w:vAlign w:val="bottom"/>
            <w:gridSpan w:val="2"/>
          </w:tcPr>
          <w:p>
            <w:pPr>
              <w:spacing w:after="0"/>
              <w:rPr>
                <w:sz w:val="20"/>
                <w:szCs w:val="20"/>
                <w:color w:val="auto"/>
              </w:rPr>
            </w:pPr>
            <w:r>
              <w:rPr>
                <w:rFonts w:ascii="Arial" w:cs="Arial" w:eastAsia="Arial" w:hAnsi="Arial"/>
                <w:sz w:val="22"/>
                <w:szCs w:val="22"/>
                <w:color w:val="auto"/>
              </w:rPr>
              <w:t>By:</w:t>
            </w:r>
          </w:p>
        </w:tc>
        <w:tc>
          <w:tcPr>
            <w:tcW w:w="202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22"/>
                <w:szCs w:val="22"/>
                <w:color w:val="auto"/>
              </w:rPr>
              <w:t>/s/</w:t>
            </w:r>
          </w:p>
        </w:tc>
        <w:tc>
          <w:tcPr>
            <w:tcW w:w="2060" w:type="dxa"/>
            <w:vAlign w:val="bottom"/>
          </w:tcPr>
          <w:p>
            <w:pPr>
              <w:jc w:val="center"/>
              <w:spacing w:after="0"/>
              <w:rPr>
                <w:sz w:val="20"/>
                <w:szCs w:val="20"/>
                <w:color w:val="auto"/>
              </w:rPr>
            </w:pPr>
            <w:r>
              <w:rPr>
                <w:rFonts w:ascii="Arial" w:cs="Arial" w:eastAsia="Arial" w:hAnsi="Arial"/>
                <w:sz w:val="22"/>
                <w:szCs w:val="22"/>
                <w:color w:val="auto"/>
                <w:w w:val="93"/>
              </w:rPr>
              <w:t>Adrienne</w:t>
            </w:r>
          </w:p>
        </w:tc>
        <w:tc>
          <w:tcPr>
            <w:tcW w:w="760" w:type="dxa"/>
            <w:vAlign w:val="bottom"/>
            <w:gridSpan w:val="2"/>
          </w:tcPr>
          <w:p>
            <w:pPr>
              <w:ind w:left="540"/>
              <w:spacing w:after="0"/>
              <w:rPr>
                <w:sz w:val="20"/>
                <w:szCs w:val="20"/>
                <w:color w:val="auto"/>
              </w:rPr>
            </w:pPr>
            <w:r>
              <w:rPr>
                <w:rFonts w:ascii="Arial" w:cs="Arial" w:eastAsia="Arial" w:hAnsi="Arial"/>
                <w:sz w:val="22"/>
                <w:szCs w:val="22"/>
                <w:color w:val="auto"/>
                <w:w w:val="95"/>
              </w:rPr>
              <w:t>B.</w:t>
            </w:r>
          </w:p>
        </w:tc>
      </w:tr>
      <w:tr>
        <w:trPr>
          <w:trHeight w:val="223"/>
        </w:trPr>
        <w:tc>
          <w:tcPr>
            <w:tcW w:w="56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0"/>
              </w:rPr>
              <w:t>Urban</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420" w:type="dxa"/>
            <w:vAlign w:val="bottom"/>
            <w:gridSpan w:val="5"/>
          </w:tcPr>
          <w:p>
            <w:pPr>
              <w:spacing w:after="0" w:line="242" w:lineRule="exact"/>
              <w:rPr>
                <w:sz w:val="20"/>
                <w:szCs w:val="20"/>
                <w:color w:val="auto"/>
              </w:rPr>
            </w:pPr>
            <w:r>
              <w:rPr>
                <w:rFonts w:ascii="Arial" w:cs="Arial" w:eastAsia="Arial" w:hAnsi="Arial"/>
                <w:sz w:val="22"/>
                <w:szCs w:val="22"/>
                <w:color w:val="auto"/>
              </w:rPr>
              <w:t>Name: Adrienne B. Urban</w:t>
            </w:r>
          </w:p>
        </w:tc>
        <w:tc>
          <w:tcPr>
            <w:tcW w:w="2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560" w:type="dxa"/>
            <w:vAlign w:val="bottom"/>
            <w:gridSpan w:val="2"/>
          </w:tcPr>
          <w:p>
            <w:pPr>
              <w:spacing w:after="0"/>
              <w:rPr>
                <w:sz w:val="20"/>
                <w:szCs w:val="20"/>
                <w:color w:val="auto"/>
              </w:rPr>
            </w:pPr>
            <w:r>
              <w:rPr>
                <w:rFonts w:ascii="Arial" w:cs="Arial" w:eastAsia="Arial" w:hAnsi="Arial"/>
                <w:sz w:val="22"/>
                <w:szCs w:val="22"/>
                <w:color w:val="auto"/>
              </w:rPr>
              <w:t>Title:</w:t>
            </w:r>
          </w:p>
        </w:tc>
        <w:tc>
          <w:tcPr>
            <w:tcW w:w="2860" w:type="dxa"/>
            <w:vAlign w:val="bottom"/>
            <w:gridSpan w:val="3"/>
          </w:tcPr>
          <w:p>
            <w:pPr>
              <w:ind w:left="120"/>
              <w:spacing w:after="0"/>
              <w:rPr>
                <w:sz w:val="20"/>
                <w:szCs w:val="20"/>
                <w:color w:val="auto"/>
              </w:rPr>
            </w:pPr>
            <w:r>
              <w:rPr>
                <w:rFonts w:ascii="Arial" w:cs="Arial" w:eastAsia="Arial" w:hAnsi="Arial"/>
                <w:sz w:val="22"/>
                <w:szCs w:val="22"/>
                <w:color w:val="auto"/>
              </w:rPr>
              <w:t>Director</w:t>
            </w:r>
          </w:p>
        </w:tc>
        <w:tc>
          <w:tcPr>
            <w:tcW w:w="2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6"/>
        </w:trPr>
        <w:tc>
          <w:tcPr>
            <w:tcW w:w="3420" w:type="dxa"/>
            <w:vAlign w:val="bottom"/>
            <w:gridSpan w:val="5"/>
          </w:tcPr>
          <w:p>
            <w:pPr>
              <w:spacing w:after="0"/>
              <w:rPr>
                <w:sz w:val="20"/>
                <w:szCs w:val="20"/>
                <w:color w:val="auto"/>
              </w:rPr>
            </w:pPr>
            <w:r>
              <w:rPr>
                <w:rFonts w:ascii="Arial" w:cs="Arial" w:eastAsia="Arial" w:hAnsi="Arial"/>
                <w:sz w:val="22"/>
                <w:szCs w:val="22"/>
                <w:b w:val="1"/>
                <w:bCs w:val="1"/>
                <w:color w:val="auto"/>
              </w:rPr>
              <w:t>NORDIC CAMP SUPPLY APS</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9"/>
        </w:trPr>
        <w:tc>
          <w:tcPr>
            <w:tcW w:w="560" w:type="dxa"/>
            <w:vAlign w:val="bottom"/>
            <w:gridSpan w:val="2"/>
          </w:tcPr>
          <w:p>
            <w:pPr>
              <w:spacing w:after="0"/>
              <w:rPr>
                <w:sz w:val="20"/>
                <w:szCs w:val="20"/>
                <w:color w:val="auto"/>
              </w:rPr>
            </w:pPr>
            <w:r>
              <w:rPr>
                <w:rFonts w:ascii="Arial" w:cs="Arial" w:eastAsia="Arial" w:hAnsi="Arial"/>
                <w:sz w:val="22"/>
                <w:szCs w:val="22"/>
                <w:color w:val="auto"/>
              </w:rPr>
              <w:t>By:</w:t>
            </w:r>
          </w:p>
        </w:tc>
        <w:tc>
          <w:tcPr>
            <w:tcW w:w="202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22"/>
                <w:szCs w:val="22"/>
                <w:color w:val="auto"/>
              </w:rPr>
              <w:t>/s/</w:t>
            </w:r>
          </w:p>
        </w:tc>
        <w:tc>
          <w:tcPr>
            <w:tcW w:w="2060" w:type="dxa"/>
            <w:vAlign w:val="bottom"/>
          </w:tcPr>
          <w:p>
            <w:pPr>
              <w:jc w:val="center"/>
              <w:spacing w:after="0"/>
              <w:rPr>
                <w:sz w:val="20"/>
                <w:szCs w:val="20"/>
                <w:color w:val="auto"/>
              </w:rPr>
            </w:pPr>
            <w:r>
              <w:rPr>
                <w:rFonts w:ascii="Arial" w:cs="Arial" w:eastAsia="Arial" w:hAnsi="Arial"/>
                <w:sz w:val="22"/>
                <w:szCs w:val="22"/>
                <w:color w:val="auto"/>
                <w:w w:val="93"/>
              </w:rPr>
              <w:t>Adrienne</w:t>
            </w:r>
          </w:p>
        </w:tc>
        <w:tc>
          <w:tcPr>
            <w:tcW w:w="760" w:type="dxa"/>
            <w:vAlign w:val="bottom"/>
            <w:gridSpan w:val="2"/>
          </w:tcPr>
          <w:p>
            <w:pPr>
              <w:ind w:left="540"/>
              <w:spacing w:after="0"/>
              <w:rPr>
                <w:sz w:val="20"/>
                <w:szCs w:val="20"/>
                <w:color w:val="auto"/>
              </w:rPr>
            </w:pPr>
            <w:r>
              <w:rPr>
                <w:rFonts w:ascii="Arial" w:cs="Arial" w:eastAsia="Arial" w:hAnsi="Arial"/>
                <w:sz w:val="22"/>
                <w:szCs w:val="22"/>
                <w:color w:val="auto"/>
                <w:w w:val="95"/>
              </w:rPr>
              <w:t>B.</w:t>
            </w:r>
          </w:p>
        </w:tc>
      </w:tr>
      <w:tr>
        <w:trPr>
          <w:trHeight w:val="223"/>
        </w:trPr>
        <w:tc>
          <w:tcPr>
            <w:tcW w:w="56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0"/>
              </w:rPr>
              <w:t>Urban</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420" w:type="dxa"/>
            <w:vAlign w:val="bottom"/>
            <w:gridSpan w:val="5"/>
          </w:tcPr>
          <w:p>
            <w:pPr>
              <w:spacing w:after="0" w:line="242" w:lineRule="exact"/>
              <w:rPr>
                <w:sz w:val="20"/>
                <w:szCs w:val="20"/>
                <w:color w:val="auto"/>
              </w:rPr>
            </w:pPr>
            <w:r>
              <w:rPr>
                <w:rFonts w:ascii="Arial" w:cs="Arial" w:eastAsia="Arial" w:hAnsi="Arial"/>
                <w:sz w:val="22"/>
                <w:szCs w:val="22"/>
                <w:color w:val="auto"/>
              </w:rPr>
              <w:t>Name: Adrienne B. Urban</w:t>
            </w:r>
          </w:p>
        </w:tc>
        <w:tc>
          <w:tcPr>
            <w:tcW w:w="2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560" w:type="dxa"/>
            <w:vAlign w:val="bottom"/>
            <w:gridSpan w:val="2"/>
          </w:tcPr>
          <w:p>
            <w:pPr>
              <w:spacing w:after="0"/>
              <w:rPr>
                <w:sz w:val="20"/>
                <w:szCs w:val="20"/>
                <w:color w:val="auto"/>
              </w:rPr>
            </w:pPr>
            <w:r>
              <w:rPr>
                <w:rFonts w:ascii="Arial" w:cs="Arial" w:eastAsia="Arial" w:hAnsi="Arial"/>
                <w:sz w:val="22"/>
                <w:szCs w:val="22"/>
                <w:color w:val="auto"/>
              </w:rPr>
              <w:t>Title:</w:t>
            </w:r>
          </w:p>
        </w:tc>
        <w:tc>
          <w:tcPr>
            <w:tcW w:w="2860" w:type="dxa"/>
            <w:vAlign w:val="bottom"/>
            <w:gridSpan w:val="3"/>
          </w:tcPr>
          <w:p>
            <w:pPr>
              <w:ind w:left="120"/>
              <w:spacing w:after="0"/>
              <w:rPr>
                <w:sz w:val="20"/>
                <w:szCs w:val="20"/>
                <w:color w:val="auto"/>
              </w:rPr>
            </w:pPr>
            <w:r>
              <w:rPr>
                <w:rFonts w:ascii="Arial" w:cs="Arial" w:eastAsia="Arial" w:hAnsi="Arial"/>
                <w:sz w:val="22"/>
                <w:szCs w:val="22"/>
                <w:color w:val="auto"/>
              </w:rPr>
              <w:t>Director</w:t>
            </w:r>
          </w:p>
        </w:tc>
        <w:tc>
          <w:tcPr>
            <w:tcW w:w="2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TRAMP OIL (BRASIL) LTDA.</w:t>
      </w:r>
    </w:p>
    <w:p>
      <w:pPr>
        <w:spacing w:after="0" w:line="200" w:lineRule="exact"/>
        <w:rPr>
          <w:sz w:val="20"/>
          <w:szCs w:val="20"/>
          <w:color w:val="auto"/>
        </w:rPr>
      </w:pPr>
    </w:p>
    <w:p>
      <w:pPr>
        <w:spacing w:after="0" w:line="28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Calcache</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William Calvache</w:t>
      </w:r>
    </w:p>
    <w:p>
      <w:pPr>
        <w:spacing w:after="0" w:line="8"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Manager</w:t>
      </w:r>
    </w:p>
    <w:p>
      <w:pPr>
        <w:spacing w:after="0" w:line="209"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WFL (UK) LIMITED</w:t>
      </w:r>
    </w:p>
    <w:p>
      <w:pPr>
        <w:spacing w:after="0" w:line="200" w:lineRule="exact"/>
        <w:rPr>
          <w:sz w:val="20"/>
          <w:szCs w:val="20"/>
          <w:color w:val="auto"/>
        </w:rPr>
      </w:pPr>
    </w:p>
    <w:p>
      <w:pPr>
        <w:spacing w:after="0" w:line="253"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2920" w:type="dxa"/>
            <w:vAlign w:val="bottom"/>
            <w:gridSpan w:val="2"/>
          </w:tcPr>
          <w:p>
            <w:pPr>
              <w:ind w:left="2120"/>
              <w:spacing w:after="0"/>
              <w:rPr>
                <w:sz w:val="20"/>
                <w:szCs w:val="20"/>
                <w:color w:val="auto"/>
              </w:rPr>
            </w:pPr>
            <w:r>
              <w:rPr>
                <w:rFonts w:ascii="Arial" w:cs="Arial" w:eastAsia="Arial" w:hAnsi="Arial"/>
                <w:sz w:val="22"/>
                <w:szCs w:val="22"/>
                <w:color w:val="auto"/>
              </w:rPr>
              <w:t>/s/</w:t>
            </w:r>
          </w:p>
        </w:tc>
        <w:tc>
          <w:tcPr>
            <w:tcW w:w="1980" w:type="dxa"/>
            <w:vAlign w:val="bottom"/>
          </w:tcPr>
          <w:p>
            <w:pPr>
              <w:ind w:left="580"/>
              <w:spacing w:after="0"/>
              <w:rPr>
                <w:sz w:val="20"/>
                <w:szCs w:val="20"/>
                <w:color w:val="auto"/>
              </w:rPr>
            </w:pPr>
            <w:r>
              <w:rPr>
                <w:rFonts w:ascii="Arial" w:cs="Arial" w:eastAsia="Arial" w:hAnsi="Arial"/>
                <w:sz w:val="22"/>
                <w:szCs w:val="22"/>
                <w:color w:val="auto"/>
              </w:rPr>
              <w:t>Adrienne</w:t>
            </w:r>
          </w:p>
        </w:tc>
        <w:tc>
          <w:tcPr>
            <w:tcW w:w="780" w:type="dxa"/>
            <w:vAlign w:val="bottom"/>
          </w:tcPr>
          <w:p>
            <w:pPr>
              <w:ind w:left="580"/>
              <w:spacing w:after="0"/>
              <w:rPr>
                <w:sz w:val="20"/>
                <w:szCs w:val="20"/>
                <w:color w:val="auto"/>
              </w:rPr>
            </w:pPr>
            <w:r>
              <w:rPr>
                <w:rFonts w:ascii="Arial" w:cs="Arial" w:eastAsia="Arial" w:hAnsi="Arial"/>
                <w:sz w:val="22"/>
                <w:szCs w:val="22"/>
                <w:color w:val="auto"/>
                <w:w w:val="86"/>
              </w:rPr>
              <w:t>B.</w:t>
            </w: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Urban</w:t>
            </w:r>
          </w:p>
        </w:tc>
        <w:tc>
          <w:tcPr>
            <w:tcW w:w="2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42"/>
        </w:trPr>
        <w:tc>
          <w:tcPr>
            <w:tcW w:w="3460" w:type="dxa"/>
            <w:vAlign w:val="bottom"/>
            <w:gridSpan w:val="3"/>
          </w:tcPr>
          <w:p>
            <w:pPr>
              <w:spacing w:after="0" w:line="242" w:lineRule="exact"/>
              <w:rPr>
                <w:sz w:val="20"/>
                <w:szCs w:val="20"/>
                <w:color w:val="auto"/>
              </w:rPr>
            </w:pPr>
            <w:r>
              <w:rPr>
                <w:rFonts w:ascii="Arial" w:cs="Arial" w:eastAsia="Arial" w:hAnsi="Arial"/>
                <w:sz w:val="22"/>
                <w:szCs w:val="22"/>
                <w:color w:val="auto"/>
              </w:rPr>
              <w:t>Name: Adrienne B. Urban</w:t>
            </w:r>
          </w:p>
        </w:tc>
        <w:tc>
          <w:tcPr>
            <w:tcW w:w="19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2920" w:type="dxa"/>
            <w:vAlign w:val="bottom"/>
            <w:gridSpan w:val="2"/>
          </w:tcPr>
          <w:p>
            <w:pPr>
              <w:ind w:left="140"/>
              <w:spacing w:after="0"/>
              <w:rPr>
                <w:sz w:val="20"/>
                <w:szCs w:val="20"/>
                <w:color w:val="auto"/>
              </w:rPr>
            </w:pPr>
            <w:r>
              <w:rPr>
                <w:rFonts w:ascii="Arial" w:cs="Arial" w:eastAsia="Arial" w:hAnsi="Arial"/>
                <w:sz w:val="22"/>
                <w:szCs w:val="22"/>
                <w:color w:val="auto"/>
              </w:rPr>
              <w:t>Director</w:t>
            </w:r>
          </w:p>
        </w:tc>
        <w:tc>
          <w:tcPr>
            <w:tcW w:w="198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2" w:right="879" w:bottom="1440" w:gutter="0" w:footer="0" w:header="0"/>
        </w:sectPr>
      </w:pPr>
    </w:p>
    <w:bookmarkStart w:id="16" w:name="page17"/>
    <w:bookmarkEnd w:id="16"/>
    <w:p>
      <w:pPr>
        <w:jc w:val="right"/>
        <w:ind w:right="1279"/>
        <w:spacing w:after="0"/>
        <w:rPr>
          <w:sz w:val="20"/>
          <w:szCs w:val="20"/>
          <w:color w:val="auto"/>
        </w:rPr>
      </w:pPr>
      <w:r>
        <w:rPr>
          <w:rFonts w:ascii="Arial" w:cs="Arial" w:eastAsia="Arial" w:hAnsi="Arial"/>
          <w:sz w:val="22"/>
          <w:szCs w:val="22"/>
          <w:b w:val="1"/>
          <w:bCs w:val="1"/>
          <w:color w:val="auto"/>
        </w:rPr>
        <w:t>WORLD FUEL SERVICES TRADING DMCC</w:t>
      </w:r>
    </w:p>
    <w:p>
      <w:pPr>
        <w:spacing w:after="0" w:line="200" w:lineRule="exact"/>
        <w:rPr>
          <w:sz w:val="20"/>
          <w:szCs w:val="20"/>
          <w:color w:val="auto"/>
        </w:rPr>
      </w:pPr>
    </w:p>
    <w:p>
      <w:pPr>
        <w:spacing w:after="0" w:line="28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Timothy Rory Bingham</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Timothy Rory Bingham</w:t>
      </w:r>
    </w:p>
    <w:p>
      <w:pPr>
        <w:spacing w:after="0" w:line="8"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Manager &amp;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jc w:val="right"/>
        <w:ind w:right="839"/>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8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Denise Jones</w:t>
      </w:r>
    </w:p>
    <w:p>
      <w:pPr>
        <w:ind w:left="3340"/>
        <w:spacing w:after="0" w:line="238" w:lineRule="auto"/>
        <w:rPr>
          <w:sz w:val="20"/>
          <w:szCs w:val="20"/>
          <w:color w:val="auto"/>
        </w:rPr>
      </w:pPr>
      <w:r>
        <w:rPr>
          <w:rFonts w:ascii="Arial" w:cs="Arial" w:eastAsia="Arial" w:hAnsi="Arial"/>
          <w:sz w:val="22"/>
          <w:szCs w:val="22"/>
          <w:color w:val="auto"/>
        </w:rPr>
        <w:t>Name: Denise Jones</w:t>
      </w: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 w:name="page19"/>
    <w:bookmarkEnd w:id="18"/>
    <w:p>
      <w:pPr>
        <w:ind w:left="3340" w:right="279"/>
        <w:spacing w:after="0" w:line="257" w:lineRule="auto"/>
        <w:rPr>
          <w:sz w:val="20"/>
          <w:szCs w:val="20"/>
          <w:color w:val="auto"/>
        </w:rPr>
      </w:pPr>
      <w:r>
        <w:rPr>
          <w:rFonts w:ascii="Arial" w:cs="Arial" w:eastAsia="Arial" w:hAnsi="Arial"/>
          <w:sz w:val="22"/>
          <w:szCs w:val="22"/>
          <w:b w:val="1"/>
          <w:bCs w:val="1"/>
          <w:color w:val="auto"/>
        </w:rPr>
        <w:t xml:space="preserve">BANK OF AMERICA, N.A., SINGAPORE BRANCH, </w:t>
      </w:r>
      <w:r>
        <w:rPr>
          <w:rFonts w:ascii="Arial" w:cs="Arial" w:eastAsia="Arial" w:hAnsi="Arial"/>
          <w:sz w:val="22"/>
          <w:szCs w:val="22"/>
          <w:color w:val="auto"/>
        </w:rPr>
        <w:t>as</w:t>
      </w:r>
      <w:r>
        <w:rPr>
          <w:rFonts w:ascii="Arial" w:cs="Arial" w:eastAsia="Arial" w:hAnsi="Arial"/>
          <w:sz w:val="22"/>
          <w:szCs w:val="22"/>
          <w:b w:val="1"/>
          <w:bCs w:val="1"/>
          <w:color w:val="auto"/>
        </w:rPr>
        <w:t xml:space="preserve"> </w:t>
      </w:r>
      <w:r>
        <w:rPr>
          <w:rFonts w:ascii="Arial" w:cs="Arial" w:eastAsia="Arial" w:hAnsi="Arial"/>
          <w:sz w:val="22"/>
          <w:szCs w:val="22"/>
          <w:color w:val="auto"/>
        </w:rPr>
        <w:t>Singapore Agent</w:t>
      </w:r>
    </w:p>
    <w:p>
      <w:pPr>
        <w:spacing w:after="0" w:line="200" w:lineRule="exact"/>
        <w:rPr>
          <w:sz w:val="20"/>
          <w:szCs w:val="20"/>
          <w:color w:val="auto"/>
        </w:rPr>
      </w:pPr>
    </w:p>
    <w:p>
      <w:pPr>
        <w:spacing w:after="0" w:line="345" w:lineRule="exact"/>
        <w:rPr>
          <w:sz w:val="20"/>
          <w:szCs w:val="20"/>
          <w:color w:val="auto"/>
        </w:rPr>
      </w:pPr>
    </w:p>
    <w:p>
      <w:pPr>
        <w:ind w:left="33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Susan 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-17780</wp:posOffset>
            </wp:positionV>
            <wp:extent cx="843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3915" cy="8890"/>
                    </a:xfrm>
                    <a:prstGeom prst="rect">
                      <a:avLst/>
                    </a:prstGeom>
                    <a:noFill/>
                  </pic:spPr>
                </pic:pic>
              </a:graphicData>
            </a:graphic>
          </wp:anchor>
        </w:drawing>
      </w:r>
    </w:p>
    <w:p>
      <w:pPr>
        <w:ind w:left="3340"/>
        <w:spacing w:after="0" w:line="238" w:lineRule="auto"/>
        <w:rPr>
          <w:sz w:val="20"/>
          <w:szCs w:val="20"/>
          <w:color w:val="auto"/>
        </w:rPr>
      </w:pPr>
      <w:r>
        <w:rPr>
          <w:rFonts w:ascii="Arial" w:cs="Arial" w:eastAsia="Arial" w:hAnsi="Arial"/>
          <w:sz w:val="22"/>
          <w:szCs w:val="22"/>
          <w:color w:val="auto"/>
        </w:rPr>
        <w:t>Name:  Susan Yen</w:t>
      </w: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 w:name="page20"/>
    <w:bookmarkEnd w:id="19"/>
    <w:p>
      <w:pPr>
        <w:ind w:left="3340"/>
        <w:spacing w:after="0"/>
        <w:rPr>
          <w:sz w:val="20"/>
          <w:szCs w:val="20"/>
          <w:color w:val="auto"/>
        </w:rPr>
      </w:pPr>
      <w:r>
        <w:rPr>
          <w:rFonts w:ascii="Arial" w:cs="Arial" w:eastAsia="Arial" w:hAnsi="Arial"/>
          <w:sz w:val="22"/>
          <w:szCs w:val="22"/>
          <w:b w:val="1"/>
          <w:bCs w:val="1"/>
          <w:u w:val="single" w:color="auto"/>
          <w:color w:val="auto"/>
        </w:rPr>
        <w:t>LENDERS</w:t>
      </w:r>
      <w:r>
        <w:rPr>
          <w:rFonts w:ascii="Arial" w:cs="Arial" w:eastAsia="Arial" w:hAnsi="Arial"/>
          <w:sz w:val="22"/>
          <w:szCs w:val="22"/>
          <w:b w:val="1"/>
          <w:bCs w:val="1"/>
          <w:color w:val="auto"/>
        </w:rPr>
        <w:t>:</w:t>
      </w:r>
    </w:p>
    <w:p>
      <w:pPr>
        <w:spacing w:after="0" w:line="234" w:lineRule="exact"/>
        <w:rPr>
          <w:sz w:val="20"/>
          <w:szCs w:val="20"/>
          <w:color w:val="auto"/>
        </w:rPr>
      </w:pPr>
    </w:p>
    <w:p>
      <w:pPr>
        <w:ind w:left="3340" w:right="100"/>
        <w:spacing w:after="0" w:line="256" w:lineRule="auto"/>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a Revolving Lender, Domestic Term</w:t>
      </w:r>
      <w:r>
        <w:rPr>
          <w:rFonts w:ascii="Arial" w:cs="Arial" w:eastAsia="Arial" w:hAnsi="Arial"/>
          <w:sz w:val="22"/>
          <w:szCs w:val="22"/>
          <w:b w:val="1"/>
          <w:bCs w:val="1"/>
          <w:color w:val="auto"/>
        </w:rPr>
        <w:t xml:space="preserve"> </w:t>
      </w:r>
      <w:r>
        <w:rPr>
          <w:rFonts w:ascii="Arial" w:cs="Arial" w:eastAsia="Arial" w:hAnsi="Arial"/>
          <w:sz w:val="22"/>
          <w:szCs w:val="22"/>
          <w:color w:val="auto"/>
        </w:rPr>
        <w:t>Loan Lender, Swing Line Lender and L/C-BA Issuer</w:t>
      </w:r>
    </w:p>
    <w:p>
      <w:pPr>
        <w:spacing w:after="0" w:line="200" w:lineRule="exact"/>
        <w:rPr>
          <w:sz w:val="20"/>
          <w:szCs w:val="20"/>
          <w:color w:val="auto"/>
        </w:rPr>
      </w:pPr>
    </w:p>
    <w:p>
      <w:pPr>
        <w:spacing w:after="0" w:line="210"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780" w:type="dxa"/>
            <w:vAlign w:val="bottom"/>
            <w:gridSpan w:val="2"/>
          </w:tcPr>
          <w:p>
            <w:pPr>
              <w:spacing w:after="0"/>
              <w:rPr>
                <w:sz w:val="20"/>
                <w:szCs w:val="20"/>
                <w:color w:val="auto"/>
              </w:rPr>
            </w:pPr>
            <w:r>
              <w:rPr>
                <w:rFonts w:ascii="Arial" w:cs="Arial" w:eastAsia="Arial" w:hAnsi="Arial"/>
                <w:sz w:val="22"/>
                <w:szCs w:val="22"/>
                <w:color w:val="auto"/>
              </w:rPr>
              <w:t>By:</w:t>
            </w:r>
          </w:p>
        </w:tc>
        <w:tc>
          <w:tcPr>
            <w:tcW w:w="1260" w:type="dxa"/>
            <w:vAlign w:val="bottom"/>
          </w:tcPr>
          <w:p>
            <w:pPr>
              <w:spacing w:after="0"/>
              <w:rPr>
                <w:sz w:val="21"/>
                <w:szCs w:val="21"/>
                <w:color w:val="auto"/>
              </w:rPr>
            </w:pPr>
          </w:p>
        </w:tc>
        <w:tc>
          <w:tcPr>
            <w:tcW w:w="3240" w:type="dxa"/>
            <w:vAlign w:val="bottom"/>
            <w:tcBorders>
              <w:bottom w:val="single" w:sz="8" w:color="auto"/>
            </w:tcBorders>
          </w:tcPr>
          <w:p>
            <w:pPr>
              <w:ind w:left="2620"/>
              <w:spacing w:after="0"/>
              <w:rPr>
                <w:sz w:val="20"/>
                <w:szCs w:val="20"/>
                <w:color w:val="auto"/>
              </w:rPr>
            </w:pPr>
            <w:r>
              <w:rPr>
                <w:rFonts w:ascii="Arial" w:cs="Arial" w:eastAsia="Arial" w:hAnsi="Arial"/>
                <w:sz w:val="22"/>
                <w:szCs w:val="22"/>
                <w:color w:val="auto"/>
              </w:rPr>
              <w:t>/s/</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w w:val="81"/>
              </w:rPr>
              <w:t>Jamie</w:t>
            </w:r>
          </w:p>
        </w:tc>
        <w:tc>
          <w:tcPr>
            <w:tcW w:w="0" w:type="dxa"/>
            <w:vAlign w:val="bottom"/>
          </w:tcPr>
          <w:p>
            <w:pPr>
              <w:spacing w:after="0"/>
              <w:rPr>
                <w:sz w:val="1"/>
                <w:szCs w:val="1"/>
                <w:color w:val="auto"/>
              </w:rPr>
            </w:pPr>
          </w:p>
        </w:tc>
      </w:tr>
      <w:tr>
        <w:trPr>
          <w:trHeight w:val="223"/>
        </w:trPr>
        <w:tc>
          <w:tcPr>
            <w:tcW w:w="780" w:type="dxa"/>
            <w:vAlign w:val="bottom"/>
            <w:gridSpan w:val="2"/>
          </w:tcPr>
          <w:p>
            <w:pPr>
              <w:spacing w:after="0" w:line="223" w:lineRule="exact"/>
              <w:rPr>
                <w:sz w:val="20"/>
                <w:szCs w:val="20"/>
                <w:color w:val="auto"/>
              </w:rPr>
            </w:pPr>
            <w:r>
              <w:rPr>
                <w:rFonts w:ascii="Arial" w:cs="Arial" w:eastAsia="Arial" w:hAnsi="Arial"/>
                <w:sz w:val="22"/>
                <w:szCs w:val="22"/>
                <w:color w:val="auto"/>
                <w:w w:val="86"/>
              </w:rPr>
              <w:t>Freeman</w:t>
            </w:r>
          </w:p>
        </w:tc>
        <w:tc>
          <w:tcPr>
            <w:tcW w:w="4500" w:type="dxa"/>
            <w:vAlign w:val="bottom"/>
            <w:gridSpan w:val="2"/>
            <w:vMerge w:val="restart"/>
          </w:tcPr>
          <w:p>
            <w:pPr>
              <w:ind w:left="20"/>
              <w:spacing w:after="0"/>
              <w:rPr>
                <w:sz w:val="20"/>
                <w:szCs w:val="20"/>
                <w:color w:val="auto"/>
              </w:rPr>
            </w:pPr>
            <w:r>
              <w:rPr>
                <w:rFonts w:ascii="Arial" w:cs="Arial" w:eastAsia="Arial" w:hAnsi="Arial"/>
                <w:sz w:val="22"/>
                <w:szCs w:val="22"/>
                <w:color w:val="auto"/>
              </w:rPr>
              <w:t>Jamie Freeman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Name:</w:t>
            </w:r>
          </w:p>
        </w:tc>
        <w:tc>
          <w:tcPr>
            <w:tcW w:w="20" w:type="dxa"/>
            <w:vAlign w:val="bottom"/>
          </w:tcPr>
          <w:p>
            <w:pPr>
              <w:spacing w:after="0"/>
              <w:rPr>
                <w:sz w:val="21"/>
                <w:szCs w:val="21"/>
                <w:color w:val="auto"/>
              </w:rPr>
            </w:pPr>
          </w:p>
        </w:tc>
        <w:tc>
          <w:tcPr>
            <w:tcW w:w="4500" w:type="dxa"/>
            <w:vAlign w:val="bottom"/>
            <w:gridSpan w:val="2"/>
            <w:vMerge w:val="continue"/>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80" w:type="dxa"/>
            <w:vAlign w:val="bottom"/>
            <w:gridSpan w:val="2"/>
          </w:tcPr>
          <w:p>
            <w:pPr>
              <w:spacing w:after="0"/>
              <w:rPr>
                <w:sz w:val="20"/>
                <w:szCs w:val="20"/>
                <w:color w:val="auto"/>
              </w:rPr>
            </w:pPr>
            <w:r>
              <w:rPr>
                <w:rFonts w:ascii="Arial" w:cs="Arial" w:eastAsia="Arial" w:hAnsi="Arial"/>
                <w:sz w:val="22"/>
                <w:szCs w:val="22"/>
                <w:color w:val="auto"/>
              </w:rPr>
              <w:t>Title:</w:t>
            </w:r>
          </w:p>
        </w:tc>
        <w:tc>
          <w:tcPr>
            <w:tcW w:w="4500" w:type="dxa"/>
            <w:vAlign w:val="bottom"/>
            <w:gridSpan w:val="2"/>
          </w:tcPr>
          <w:p>
            <w:pPr>
              <w:ind w:left="20"/>
              <w:spacing w:after="0"/>
              <w:rPr>
                <w:sz w:val="20"/>
                <w:szCs w:val="20"/>
                <w:color w:val="auto"/>
              </w:rPr>
            </w:pPr>
            <w:r>
              <w:rPr>
                <w:rFonts w:ascii="Arial" w:cs="Arial" w:eastAsia="Arial" w:hAnsi="Arial"/>
                <w:sz w:val="22"/>
                <w:szCs w:val="22"/>
                <w:color w:val="auto"/>
              </w:rPr>
              <w:t>Senior Vice President</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0" w:name="page21"/>
    <w:bookmarkEnd w:id="20"/>
    <w:p>
      <w:pPr>
        <w:ind w:left="3340" w:right="820"/>
        <w:spacing w:after="0" w:line="257" w:lineRule="auto"/>
        <w:rPr>
          <w:sz w:val="20"/>
          <w:szCs w:val="20"/>
          <w:color w:val="auto"/>
        </w:rPr>
      </w:pPr>
      <w:r>
        <w:rPr>
          <w:rFonts w:ascii="Arial" w:cs="Arial" w:eastAsia="Arial" w:hAnsi="Arial"/>
          <w:sz w:val="22"/>
          <w:szCs w:val="22"/>
          <w:b w:val="1"/>
          <w:bCs w:val="1"/>
          <w:color w:val="auto"/>
        </w:rPr>
        <w:t xml:space="preserve">BANK OF AMERICA, N.A., SINGAPORE BRANCH, </w:t>
      </w:r>
      <w:r>
        <w:rPr>
          <w:rFonts w:ascii="Arial" w:cs="Arial" w:eastAsia="Arial" w:hAnsi="Arial"/>
          <w:sz w:val="22"/>
          <w:szCs w:val="22"/>
          <w:color w:val="auto"/>
        </w:rPr>
        <w:t>as</w:t>
      </w:r>
      <w:r>
        <w:rPr>
          <w:rFonts w:ascii="Arial" w:cs="Arial" w:eastAsia="Arial" w:hAnsi="Arial"/>
          <w:sz w:val="22"/>
          <w:szCs w:val="22"/>
          <w:b w:val="1"/>
          <w:bCs w:val="1"/>
          <w:color w:val="auto"/>
        </w:rPr>
        <w:t xml:space="preserve"> </w:t>
      </w:r>
      <w:r>
        <w:rPr>
          <w:rFonts w:ascii="Arial" w:cs="Arial" w:eastAsia="Arial" w:hAnsi="Arial"/>
          <w:sz w:val="22"/>
          <w:szCs w:val="22"/>
          <w:color w:val="auto"/>
        </w:rPr>
        <w:t>Singapore Term Loan Lender</w:t>
      </w:r>
    </w:p>
    <w:p>
      <w:pPr>
        <w:spacing w:after="0" w:line="200" w:lineRule="exact"/>
        <w:rPr>
          <w:sz w:val="20"/>
          <w:szCs w:val="20"/>
          <w:color w:val="auto"/>
        </w:rPr>
      </w:pPr>
    </w:p>
    <w:p>
      <w:pPr>
        <w:spacing w:after="0" w:line="316"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80" w:type="dxa"/>
            <w:vAlign w:val="bottom"/>
            <w:gridSpan w:val="2"/>
          </w:tcPr>
          <w:p>
            <w:pPr>
              <w:spacing w:after="0"/>
              <w:rPr>
                <w:sz w:val="20"/>
                <w:szCs w:val="20"/>
                <w:color w:val="auto"/>
              </w:rPr>
            </w:pPr>
            <w:r>
              <w:rPr>
                <w:rFonts w:ascii="Arial" w:cs="Arial" w:eastAsia="Arial" w:hAnsi="Arial"/>
                <w:sz w:val="22"/>
                <w:szCs w:val="22"/>
                <w:color w:val="auto"/>
              </w:rPr>
              <w:t>By:</w:t>
            </w:r>
          </w:p>
        </w:tc>
        <w:tc>
          <w:tcPr>
            <w:tcW w:w="540" w:type="dxa"/>
            <w:vAlign w:val="bottom"/>
          </w:tcPr>
          <w:p>
            <w:pPr>
              <w:spacing w:after="0"/>
              <w:rPr>
                <w:sz w:val="21"/>
                <w:szCs w:val="21"/>
                <w:color w:val="auto"/>
              </w:rPr>
            </w:pPr>
          </w:p>
        </w:tc>
        <w:tc>
          <w:tcPr>
            <w:tcW w:w="3140" w:type="dxa"/>
            <w:vAlign w:val="bottom"/>
            <w:tcBorders>
              <w:bottom w:val="single" w:sz="8" w:color="auto"/>
            </w:tcBorders>
          </w:tcPr>
          <w:p>
            <w:pPr>
              <w:ind w:left="2440"/>
              <w:spacing w:after="0"/>
              <w:rPr>
                <w:sz w:val="20"/>
                <w:szCs w:val="20"/>
                <w:color w:val="auto"/>
              </w:rPr>
            </w:pPr>
            <w:r>
              <w:rPr>
                <w:rFonts w:ascii="Arial" w:cs="Arial" w:eastAsia="Arial" w:hAnsi="Arial"/>
                <w:sz w:val="22"/>
                <w:szCs w:val="22"/>
                <w:color w:val="auto"/>
              </w:rPr>
              <w:t>/s/</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Choo</w:t>
            </w:r>
          </w:p>
        </w:tc>
        <w:tc>
          <w:tcPr>
            <w:tcW w:w="76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w w:val="95"/>
              </w:rPr>
              <w:t>Mui</w:t>
            </w:r>
          </w:p>
        </w:tc>
      </w:tr>
      <w:tr>
        <w:trPr>
          <w:trHeight w:val="223"/>
        </w:trPr>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Leng</w:t>
            </w:r>
          </w:p>
        </w:tc>
        <w:tc>
          <w:tcPr>
            <w:tcW w:w="5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2"/>
        </w:trPr>
        <w:tc>
          <w:tcPr>
            <w:tcW w:w="4260" w:type="dxa"/>
            <w:vAlign w:val="bottom"/>
            <w:gridSpan w:val="4"/>
          </w:tcPr>
          <w:p>
            <w:pPr>
              <w:spacing w:after="0" w:line="242" w:lineRule="exact"/>
              <w:rPr>
                <w:sz w:val="20"/>
                <w:szCs w:val="20"/>
                <w:color w:val="auto"/>
              </w:rPr>
            </w:pPr>
            <w:r>
              <w:rPr>
                <w:rFonts w:ascii="Arial" w:cs="Arial" w:eastAsia="Arial" w:hAnsi="Arial"/>
                <w:sz w:val="22"/>
                <w:szCs w:val="22"/>
                <w:color w:val="auto"/>
              </w:rPr>
              <w:t>Name:  Choo Mui Leng</w:t>
            </w: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5"/>
        </w:trPr>
        <w:tc>
          <w:tcPr>
            <w:tcW w:w="5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680" w:type="dxa"/>
            <w:vAlign w:val="bottom"/>
            <w:gridSpan w:val="2"/>
          </w:tcPr>
          <w:p>
            <w:pPr>
              <w:ind w:left="100"/>
              <w:spacing w:after="0"/>
              <w:rPr>
                <w:sz w:val="20"/>
                <w:szCs w:val="20"/>
                <w:color w:val="auto"/>
              </w:rPr>
            </w:pPr>
            <w:r>
              <w:rPr>
                <w:rFonts w:ascii="Arial" w:cs="Arial" w:eastAsia="Arial" w:hAnsi="Arial"/>
                <w:sz w:val="22"/>
                <w:szCs w:val="22"/>
                <w:color w:val="auto"/>
                <w:w w:val="97"/>
              </w:rPr>
              <w:t>Vice President, Corporate Credit Risk</w:t>
            </w: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1" w:name="page22"/>
    <w:bookmarkEnd w:id="21"/>
    <w:p>
      <w:pPr>
        <w:ind w:left="3340"/>
        <w:spacing w:after="0"/>
        <w:rPr>
          <w:sz w:val="20"/>
          <w:szCs w:val="20"/>
          <w:color w:val="auto"/>
        </w:rPr>
      </w:pPr>
      <w:r>
        <w:rPr>
          <w:rFonts w:ascii="Arial" w:cs="Arial" w:eastAsia="Arial" w:hAnsi="Arial"/>
          <w:sz w:val="22"/>
          <w:szCs w:val="22"/>
          <w:b w:val="1"/>
          <w:bCs w:val="1"/>
          <w:color w:val="auto"/>
        </w:rPr>
        <w:t>HSBC BANK USA, NATIONAL ASSOCIATION</w:t>
      </w:r>
      <w:r>
        <w:rPr>
          <w:rFonts w:ascii="Arial" w:cs="Arial" w:eastAsia="Arial" w:hAnsi="Arial"/>
          <w:sz w:val="22"/>
          <w:szCs w:val="22"/>
          <w:color w:val="auto"/>
        </w:rPr>
        <w:t>,</w:t>
      </w:r>
    </w:p>
    <w:p>
      <w:pPr>
        <w:spacing w:after="0" w:line="15" w:lineRule="exact"/>
        <w:rPr>
          <w:sz w:val="20"/>
          <w:szCs w:val="20"/>
          <w:color w:val="auto"/>
        </w:rPr>
      </w:pPr>
    </w:p>
    <w:p>
      <w:pPr>
        <w:ind w:left="3340" w:right="759"/>
        <w:spacing w:after="0" w:line="237" w:lineRule="auto"/>
        <w:rPr>
          <w:sz w:val="20"/>
          <w:szCs w:val="20"/>
          <w:color w:val="auto"/>
        </w:rPr>
      </w:pPr>
      <w:r>
        <w:rPr>
          <w:rFonts w:ascii="Arial" w:cs="Arial" w:eastAsia="Arial" w:hAnsi="Arial"/>
          <w:sz w:val="22"/>
          <w:szCs w:val="22"/>
          <w:color w:val="auto"/>
        </w:rPr>
        <w:t>as a Revolving Lender, Domestic Term Loan Lender and L/C-BA Issuer</w:t>
      </w:r>
    </w:p>
    <w:p>
      <w:pPr>
        <w:spacing w:after="0" w:line="200" w:lineRule="exact"/>
        <w:rPr>
          <w:sz w:val="20"/>
          <w:szCs w:val="20"/>
          <w:color w:val="auto"/>
        </w:rPr>
      </w:pPr>
    </w:p>
    <w:p>
      <w:pPr>
        <w:spacing w:after="0" w:line="228" w:lineRule="exact"/>
        <w:rPr>
          <w:sz w:val="20"/>
          <w:szCs w:val="20"/>
          <w:color w:val="auto"/>
        </w:rPr>
      </w:pPr>
    </w:p>
    <w:p>
      <w:pPr>
        <w:ind w:left="33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Peter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-17780</wp:posOffset>
            </wp:positionV>
            <wp:extent cx="826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6770" cy="8890"/>
                    </a:xfrm>
                    <a:prstGeom prst="rect">
                      <a:avLst/>
                    </a:prstGeom>
                    <a:noFill/>
                  </pic:spPr>
                </pic:pic>
              </a:graphicData>
            </a:graphic>
          </wp:anchor>
        </w:drawing>
      </w:r>
    </w:p>
    <w:p>
      <w:pPr>
        <w:ind w:left="3340"/>
        <w:spacing w:after="0" w:line="238" w:lineRule="auto"/>
        <w:rPr>
          <w:sz w:val="20"/>
          <w:szCs w:val="20"/>
          <w:color w:val="auto"/>
        </w:rPr>
      </w:pPr>
      <w:r>
        <w:rPr>
          <w:rFonts w:ascii="Arial" w:cs="Arial" w:eastAsia="Arial" w:hAnsi="Arial"/>
          <w:sz w:val="22"/>
          <w:szCs w:val="22"/>
          <w:color w:val="auto"/>
        </w:rPr>
        <w:t>Name:  Peter Hart</w:t>
      </w: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2" w:name="page23"/>
    <w:bookmarkEnd w:id="22"/>
    <w:p>
      <w:pPr>
        <w:ind w:left="3340"/>
        <w:spacing w:after="0" w:line="257" w:lineRule="auto"/>
        <w:rPr>
          <w:sz w:val="20"/>
          <w:szCs w:val="20"/>
          <w:color w:val="auto"/>
        </w:rPr>
      </w:pPr>
      <w:r>
        <w:rPr>
          <w:rFonts w:ascii="Arial" w:cs="Arial" w:eastAsia="Arial" w:hAnsi="Arial"/>
          <w:sz w:val="22"/>
          <w:szCs w:val="22"/>
          <w:b w:val="1"/>
          <w:bCs w:val="1"/>
          <w:color w:val="auto"/>
        </w:rPr>
        <w:t xml:space="preserve">WELLS FARGO BANK, NATIONAL ASSOCIATION, </w:t>
      </w:r>
      <w:r>
        <w:rPr>
          <w:rFonts w:ascii="Arial" w:cs="Arial" w:eastAsia="Arial" w:hAnsi="Arial"/>
          <w:sz w:val="22"/>
          <w:szCs w:val="22"/>
          <w:color w:val="auto"/>
        </w:rPr>
        <w:t>as a Revolving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 and Domestic Term Loan Lender</w:t>
      </w:r>
    </w:p>
    <w:p>
      <w:pPr>
        <w:spacing w:after="0" w:line="200" w:lineRule="exact"/>
        <w:rPr>
          <w:sz w:val="20"/>
          <w:szCs w:val="20"/>
          <w:color w:val="auto"/>
        </w:rPr>
      </w:pPr>
    </w:p>
    <w:p>
      <w:pPr>
        <w:spacing w:after="0" w:line="210" w:lineRule="exact"/>
        <w:rPr>
          <w:sz w:val="20"/>
          <w:szCs w:val="20"/>
          <w:color w:val="auto"/>
        </w:rPr>
      </w:pPr>
    </w:p>
    <w:p>
      <w:pPr>
        <w:ind w:left="3340"/>
        <w:spacing w:after="0"/>
        <w:tabs>
          <w:tab w:leader="none" w:pos="3900" w:val="left"/>
        </w:tabs>
        <w:rPr>
          <w:sz w:val="20"/>
          <w:szCs w:val="20"/>
          <w:color w:val="auto"/>
        </w:rPr>
      </w:pPr>
      <w:r>
        <w:rPr>
          <w:rFonts w:ascii="Arial" w:cs="Arial" w:eastAsia="Arial" w:hAnsi="Arial"/>
          <w:sz w:val="22"/>
          <w:szCs w:val="22"/>
          <w:color w:val="auto"/>
        </w:rPr>
        <w:t>By:</w:t>
        <w:tab/>
        <w:t>/s/ Gregory 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-17780</wp:posOffset>
            </wp:positionV>
            <wp:extent cx="10375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3340"/>
        <w:spacing w:after="0" w:line="238" w:lineRule="auto"/>
        <w:rPr>
          <w:sz w:val="20"/>
          <w:szCs w:val="20"/>
          <w:color w:val="auto"/>
        </w:rPr>
      </w:pPr>
      <w:r>
        <w:rPr>
          <w:rFonts w:ascii="Arial" w:cs="Arial" w:eastAsia="Arial" w:hAnsi="Arial"/>
          <w:sz w:val="22"/>
          <w:szCs w:val="22"/>
          <w:color w:val="auto"/>
        </w:rPr>
        <w:t>Name:  Gregory Roll</w:t>
      </w: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Sr.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20"/>
          </w:cols>
          <w:pgMar w:left="1440" w:top="111" w:right="639" w:bottom="1440" w:gutter="0" w:footer="0" w:header="0"/>
        </w:sectPr>
      </w:pPr>
    </w:p>
    <w:bookmarkStart w:id="23" w:name="page24"/>
    <w:bookmarkEnd w:id="23"/>
    <w:p>
      <w:pPr>
        <w:ind w:left="3340"/>
        <w:spacing w:after="0"/>
        <w:rPr>
          <w:sz w:val="20"/>
          <w:szCs w:val="20"/>
          <w:color w:val="auto"/>
        </w:rPr>
      </w:pPr>
      <w:r>
        <w:rPr>
          <w:rFonts w:ascii="Arial" w:cs="Arial" w:eastAsia="Arial" w:hAnsi="Arial"/>
          <w:sz w:val="22"/>
          <w:szCs w:val="22"/>
          <w:b w:val="1"/>
          <w:bCs w:val="1"/>
          <w:color w:val="auto"/>
        </w:rPr>
        <w:t xml:space="preserve">BANKUNITED N.A., </w:t>
      </w:r>
      <w:r>
        <w:rPr>
          <w:rFonts w:ascii="Arial" w:cs="Arial" w:eastAsia="Arial" w:hAnsi="Arial"/>
          <w:sz w:val="22"/>
          <w:szCs w:val="22"/>
          <w:color w:val="auto"/>
        </w:rPr>
        <w:t>as a Revolving Lender and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Domestic Term Loan Lender</w:t>
      </w:r>
    </w:p>
    <w:p>
      <w:pPr>
        <w:spacing w:after="0" w:line="200" w:lineRule="exact"/>
        <w:rPr>
          <w:sz w:val="20"/>
          <w:szCs w:val="20"/>
          <w:color w:val="auto"/>
        </w:rPr>
      </w:pPr>
    </w:p>
    <w:p>
      <w:pPr>
        <w:spacing w:after="0" w:line="202"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40" w:type="dxa"/>
            <w:vAlign w:val="bottom"/>
            <w:gridSpan w:val="2"/>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3080" w:type="dxa"/>
            <w:vAlign w:val="bottom"/>
            <w:tcBorders>
              <w:bottom w:val="single" w:sz="8" w:color="auto"/>
            </w:tcBorders>
          </w:tcPr>
          <w:p>
            <w:pPr>
              <w:ind w:left="2460"/>
              <w:spacing w:after="0"/>
              <w:rPr>
                <w:sz w:val="20"/>
                <w:szCs w:val="20"/>
                <w:color w:val="auto"/>
              </w:rPr>
            </w:pPr>
            <w:r>
              <w:rPr>
                <w:rFonts w:ascii="Arial" w:cs="Arial" w:eastAsia="Arial" w:hAnsi="Arial"/>
                <w:sz w:val="22"/>
                <w:szCs w:val="22"/>
                <w:color w:val="auto"/>
              </w:rPr>
              <w:t>/s/</w:t>
            </w: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Charles</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21"/>
                <w:szCs w:val="21"/>
                <w:color w:val="auto"/>
                <w:w w:val="73"/>
              </w:rPr>
              <w:t>J.</w:t>
            </w:r>
          </w:p>
        </w:tc>
        <w:tc>
          <w:tcPr>
            <w:tcW w:w="0" w:type="dxa"/>
            <w:vAlign w:val="bottom"/>
          </w:tcPr>
          <w:p>
            <w:pPr>
              <w:spacing w:after="0"/>
              <w:rPr>
                <w:sz w:val="1"/>
                <w:szCs w:val="1"/>
                <w:color w:val="auto"/>
              </w:rPr>
            </w:pPr>
          </w:p>
        </w:tc>
      </w:tr>
      <w:tr>
        <w:trPr>
          <w:trHeight w:val="223"/>
        </w:trPr>
        <w:tc>
          <w:tcPr>
            <w:tcW w:w="5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94"/>
              </w:rPr>
              <w:t>Klenk</w:t>
            </w:r>
          </w:p>
        </w:tc>
        <w:tc>
          <w:tcPr>
            <w:tcW w:w="100" w:type="dxa"/>
            <w:vAlign w:val="bottom"/>
          </w:tcPr>
          <w:p>
            <w:pPr>
              <w:spacing w:after="0"/>
              <w:rPr>
                <w:sz w:val="19"/>
                <w:szCs w:val="19"/>
                <w:color w:val="auto"/>
              </w:rPr>
            </w:pPr>
          </w:p>
        </w:tc>
        <w:tc>
          <w:tcPr>
            <w:tcW w:w="3560" w:type="dxa"/>
            <w:vAlign w:val="bottom"/>
            <w:gridSpan w:val="2"/>
            <w:vMerge w:val="restart"/>
          </w:tcPr>
          <w:p>
            <w:pPr>
              <w:ind w:left="100"/>
              <w:spacing w:after="0"/>
              <w:rPr>
                <w:sz w:val="20"/>
                <w:szCs w:val="20"/>
                <w:color w:val="auto"/>
              </w:rPr>
            </w:pPr>
            <w:r>
              <w:rPr>
                <w:rFonts w:ascii="Arial" w:cs="Arial" w:eastAsia="Arial" w:hAnsi="Arial"/>
                <w:sz w:val="22"/>
                <w:szCs w:val="22"/>
                <w:color w:val="auto"/>
              </w:rPr>
              <w:t>Charles J. Klenk</w:t>
            </w: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spacing w:after="0" w:line="242" w:lineRule="exact"/>
              <w:rPr>
                <w:sz w:val="20"/>
                <w:szCs w:val="20"/>
                <w:color w:val="auto"/>
              </w:rPr>
            </w:pPr>
            <w:r>
              <w:rPr>
                <w:rFonts w:ascii="Arial" w:cs="Arial" w:eastAsia="Arial" w:hAnsi="Arial"/>
                <w:sz w:val="22"/>
                <w:szCs w:val="22"/>
                <w:color w:val="auto"/>
                <w:w w:val="95"/>
              </w:rPr>
              <w:t>Name:</w:t>
            </w:r>
          </w:p>
        </w:tc>
        <w:tc>
          <w:tcPr>
            <w:tcW w:w="3560" w:type="dxa"/>
            <w:vAlign w:val="bottom"/>
            <w:gridSpan w:val="2"/>
            <w:vMerge w:val="continue"/>
          </w:tcPr>
          <w:p>
            <w:pPr>
              <w:spacing w:after="0"/>
              <w:rPr>
                <w:sz w:val="21"/>
                <w:szCs w:val="21"/>
                <w:color w:val="auto"/>
              </w:rPr>
            </w:pPr>
          </w:p>
        </w:tc>
        <w:tc>
          <w:tcPr>
            <w:tcW w:w="1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3560" w:type="dxa"/>
            <w:vAlign w:val="bottom"/>
            <w:gridSpan w:val="2"/>
          </w:tcPr>
          <w:p>
            <w:pPr>
              <w:ind w:left="40"/>
              <w:spacing w:after="0"/>
              <w:rPr>
                <w:sz w:val="20"/>
                <w:szCs w:val="20"/>
                <w:color w:val="auto"/>
              </w:rPr>
            </w:pPr>
            <w:r>
              <w:rPr>
                <w:rFonts w:ascii="Arial" w:cs="Arial" w:eastAsia="Arial" w:hAnsi="Arial"/>
                <w:sz w:val="22"/>
                <w:szCs w:val="22"/>
                <w:color w:val="auto"/>
              </w:rPr>
              <w:t>Senior Vice President</w:t>
            </w: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4" w:name="page25"/>
    <w:bookmarkEnd w:id="24"/>
    <w:p>
      <w:pPr>
        <w:ind w:left="3340"/>
        <w:spacing w:after="0"/>
        <w:rPr>
          <w:sz w:val="20"/>
          <w:szCs w:val="20"/>
          <w:color w:val="auto"/>
        </w:rPr>
      </w:pPr>
      <w:r>
        <w:rPr>
          <w:rFonts w:ascii="Arial" w:cs="Arial" w:eastAsia="Arial" w:hAnsi="Arial"/>
          <w:sz w:val="22"/>
          <w:szCs w:val="22"/>
          <w:b w:val="1"/>
          <w:bCs w:val="1"/>
          <w:color w:val="auto"/>
        </w:rPr>
        <w:t xml:space="preserve">PNC BANK, NATIONAL ASSOCIATION, </w:t>
      </w:r>
      <w:r>
        <w:rPr>
          <w:rFonts w:ascii="Arial" w:cs="Arial" w:eastAsia="Arial" w:hAnsi="Arial"/>
          <w:sz w:val="22"/>
          <w:szCs w:val="22"/>
          <w:color w:val="auto"/>
        </w:rPr>
        <w:t>as a</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Revolving Lender and Domestic Term Loan Lender</w:t>
      </w:r>
    </w:p>
    <w:p>
      <w:pPr>
        <w:spacing w:after="0" w:line="200" w:lineRule="exact"/>
        <w:rPr>
          <w:sz w:val="20"/>
          <w:szCs w:val="20"/>
          <w:color w:val="auto"/>
        </w:rPr>
      </w:pPr>
    </w:p>
    <w:p>
      <w:pPr>
        <w:spacing w:after="0" w:line="202"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80" w:type="dxa"/>
            <w:vAlign w:val="bottom"/>
            <w:tcBorders>
              <w:bottom w:val="single" w:sz="8" w:color="auto"/>
            </w:tcBorders>
          </w:tcPr>
          <w:p>
            <w:pPr>
              <w:ind w:left="3160"/>
              <w:spacing w:after="0"/>
              <w:rPr>
                <w:sz w:val="20"/>
                <w:szCs w:val="20"/>
                <w:color w:val="auto"/>
              </w:rPr>
            </w:pPr>
            <w:r>
              <w:rPr>
                <w:rFonts w:ascii="Arial" w:cs="Arial" w:eastAsia="Arial" w:hAnsi="Arial"/>
                <w:sz w:val="22"/>
                <w:szCs w:val="22"/>
                <w:color w:val="auto"/>
              </w:rPr>
              <w:t>/s/</w:t>
            </w: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22"/>
                <w:szCs w:val="22"/>
                <w:color w:val="auto"/>
                <w:w w:val="81"/>
              </w:rPr>
              <w:t>Ryan</w:t>
            </w:r>
          </w:p>
        </w:tc>
      </w:tr>
      <w:tr>
        <w:trPr>
          <w:trHeight w:val="223"/>
        </w:trPr>
        <w:tc>
          <w:tcPr>
            <w:tcW w:w="9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8"/>
              </w:rPr>
              <w:t>Thompson</w:t>
            </w:r>
          </w:p>
        </w:tc>
        <w:tc>
          <w:tcPr>
            <w:tcW w:w="430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r>
      <w:tr>
        <w:trPr>
          <w:trHeight w:val="242"/>
        </w:trPr>
        <w:tc>
          <w:tcPr>
            <w:tcW w:w="5240" w:type="dxa"/>
            <w:vAlign w:val="bottom"/>
            <w:gridSpan w:val="4"/>
          </w:tcPr>
          <w:p>
            <w:pPr>
              <w:spacing w:after="0" w:line="242" w:lineRule="exact"/>
              <w:rPr>
                <w:sz w:val="20"/>
                <w:szCs w:val="20"/>
                <w:color w:val="auto"/>
              </w:rPr>
            </w:pPr>
            <w:r>
              <w:rPr>
                <w:rFonts w:ascii="Arial" w:cs="Arial" w:eastAsia="Arial" w:hAnsi="Arial"/>
                <w:sz w:val="22"/>
                <w:szCs w:val="22"/>
                <w:color w:val="auto"/>
              </w:rPr>
              <w:t>Name:  Ryan Thompson</w:t>
            </w:r>
          </w:p>
        </w:tc>
        <w:tc>
          <w:tcPr>
            <w:tcW w:w="980" w:type="dxa"/>
            <w:vAlign w:val="bottom"/>
          </w:tcPr>
          <w:p>
            <w:pPr>
              <w:spacing w:after="0"/>
              <w:rPr>
                <w:sz w:val="21"/>
                <w:szCs w:val="21"/>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Title:</w:t>
            </w:r>
          </w:p>
        </w:tc>
        <w:tc>
          <w:tcPr>
            <w:tcW w:w="4660" w:type="dxa"/>
            <w:vAlign w:val="bottom"/>
            <w:gridSpan w:val="3"/>
          </w:tcPr>
          <w:p>
            <w:pPr>
              <w:ind w:left="100"/>
              <w:spacing w:after="0"/>
              <w:rPr>
                <w:sz w:val="20"/>
                <w:szCs w:val="20"/>
                <w:color w:val="auto"/>
              </w:rPr>
            </w:pPr>
            <w:r>
              <w:rPr>
                <w:rFonts w:ascii="Arial" w:cs="Arial" w:eastAsia="Arial" w:hAnsi="Arial"/>
                <w:sz w:val="22"/>
                <w:szCs w:val="22"/>
                <w:color w:val="auto"/>
              </w:rPr>
              <w:t>Assistant Vice President</w:t>
            </w:r>
          </w:p>
        </w:tc>
        <w:tc>
          <w:tcPr>
            <w:tcW w:w="980" w:type="dxa"/>
            <w:vAlign w:val="bottom"/>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5" w:name="page26"/>
    <w:bookmarkEnd w:id="25"/>
    <w:p>
      <w:pPr>
        <w:ind w:left="3340"/>
        <w:spacing w:after="0"/>
        <w:rPr>
          <w:sz w:val="20"/>
          <w:szCs w:val="20"/>
          <w:color w:val="auto"/>
        </w:rPr>
      </w:pPr>
      <w:r>
        <w:rPr>
          <w:rFonts w:ascii="Arial" w:cs="Arial" w:eastAsia="Arial" w:hAnsi="Arial"/>
          <w:sz w:val="22"/>
          <w:szCs w:val="22"/>
          <w:b w:val="1"/>
          <w:bCs w:val="1"/>
          <w:color w:val="auto"/>
        </w:rPr>
        <w:t xml:space="preserve">REGIONS BANK, </w:t>
      </w:r>
      <w:r>
        <w:rPr>
          <w:rFonts w:ascii="Arial" w:cs="Arial" w:eastAsia="Arial" w:hAnsi="Arial"/>
          <w:sz w:val="22"/>
          <w:szCs w:val="22"/>
          <w:color w:val="auto"/>
        </w:rPr>
        <w:t>as a Revolving Lender and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Domestic Term Loan Lender</w:t>
      </w:r>
    </w:p>
    <w:p>
      <w:pPr>
        <w:spacing w:after="0" w:line="200" w:lineRule="exact"/>
        <w:rPr>
          <w:sz w:val="20"/>
          <w:szCs w:val="20"/>
          <w:color w:val="auto"/>
        </w:rPr>
      </w:pPr>
    </w:p>
    <w:p>
      <w:pPr>
        <w:spacing w:after="0" w:line="202"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40" w:type="dxa"/>
            <w:vAlign w:val="bottom"/>
            <w:gridSpan w:val="2"/>
          </w:tcPr>
          <w:p>
            <w:pPr>
              <w:spacing w:after="0"/>
              <w:rPr>
                <w:sz w:val="20"/>
                <w:szCs w:val="20"/>
                <w:color w:val="auto"/>
              </w:rPr>
            </w:pPr>
            <w:r>
              <w:rPr>
                <w:rFonts w:ascii="Arial" w:cs="Arial" w:eastAsia="Arial" w:hAnsi="Arial"/>
                <w:sz w:val="22"/>
                <w:szCs w:val="22"/>
                <w:color w:val="auto"/>
              </w:rPr>
              <w:t>By:</w:t>
            </w:r>
          </w:p>
        </w:tc>
        <w:tc>
          <w:tcPr>
            <w:tcW w:w="500" w:type="dxa"/>
            <w:vAlign w:val="bottom"/>
          </w:tcPr>
          <w:p>
            <w:pPr>
              <w:spacing w:after="0"/>
              <w:rPr>
                <w:sz w:val="21"/>
                <w:szCs w:val="21"/>
                <w:color w:val="auto"/>
              </w:rPr>
            </w:pPr>
          </w:p>
        </w:tc>
        <w:tc>
          <w:tcPr>
            <w:tcW w:w="3120" w:type="dxa"/>
            <w:vAlign w:val="bottom"/>
            <w:tcBorders>
              <w:bottom w:val="single" w:sz="8" w:color="auto"/>
            </w:tcBorders>
          </w:tcPr>
          <w:p>
            <w:pPr>
              <w:ind w:left="2500"/>
              <w:spacing w:after="0"/>
              <w:rPr>
                <w:sz w:val="20"/>
                <w:szCs w:val="20"/>
                <w:color w:val="auto"/>
              </w:rPr>
            </w:pPr>
            <w:r>
              <w:rPr>
                <w:rFonts w:ascii="Arial" w:cs="Arial" w:eastAsia="Arial" w:hAnsi="Arial"/>
                <w:sz w:val="22"/>
                <w:szCs w:val="22"/>
                <w:color w:val="auto"/>
              </w:rPr>
              <w:t>/s/</w:t>
            </w: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rPr>
              <w:t>Alfred</w:t>
            </w:r>
          </w:p>
        </w:tc>
        <w:tc>
          <w:tcPr>
            <w:tcW w:w="560" w:type="dxa"/>
            <w:vAlign w:val="bottom"/>
            <w:tcBorders>
              <w:bottom w:val="single" w:sz="8" w:color="auto"/>
            </w:tcBorders>
          </w:tcPr>
          <w:p>
            <w:pPr>
              <w:ind w:left="420"/>
              <w:spacing w:after="0"/>
              <w:rPr>
                <w:sz w:val="20"/>
                <w:szCs w:val="20"/>
                <w:color w:val="auto"/>
              </w:rPr>
            </w:pPr>
            <w:r>
              <w:rPr>
                <w:rFonts w:ascii="Arial" w:cs="Arial" w:eastAsia="Arial" w:hAnsi="Arial"/>
                <w:sz w:val="21"/>
                <w:szCs w:val="21"/>
                <w:color w:val="auto"/>
                <w:w w:val="73"/>
              </w:rPr>
              <w:t>J.</w:t>
            </w:r>
          </w:p>
        </w:tc>
        <w:tc>
          <w:tcPr>
            <w:tcW w:w="0" w:type="dxa"/>
            <w:vAlign w:val="bottom"/>
          </w:tcPr>
          <w:p>
            <w:pPr>
              <w:spacing w:after="0"/>
              <w:rPr>
                <w:sz w:val="1"/>
                <w:szCs w:val="1"/>
                <w:color w:val="auto"/>
              </w:rPr>
            </w:pPr>
          </w:p>
        </w:tc>
      </w:tr>
      <w:tr>
        <w:trPr>
          <w:trHeight w:val="223"/>
        </w:trPr>
        <w:tc>
          <w:tcPr>
            <w:tcW w:w="640" w:type="dxa"/>
            <w:vAlign w:val="bottom"/>
            <w:gridSpan w:val="2"/>
          </w:tcPr>
          <w:p>
            <w:pPr>
              <w:spacing w:after="0" w:line="223" w:lineRule="exact"/>
              <w:rPr>
                <w:sz w:val="20"/>
                <w:szCs w:val="20"/>
                <w:color w:val="auto"/>
              </w:rPr>
            </w:pPr>
            <w:r>
              <w:rPr>
                <w:rFonts w:ascii="Arial" w:cs="Arial" w:eastAsia="Arial" w:hAnsi="Arial"/>
                <w:sz w:val="22"/>
                <w:szCs w:val="22"/>
                <w:color w:val="auto"/>
                <w:w w:val="93"/>
              </w:rPr>
              <w:t>Bacchi</w:t>
            </w:r>
          </w:p>
        </w:tc>
        <w:tc>
          <w:tcPr>
            <w:tcW w:w="3620" w:type="dxa"/>
            <w:vAlign w:val="bottom"/>
            <w:gridSpan w:val="2"/>
            <w:vMerge w:val="restart"/>
          </w:tcPr>
          <w:p>
            <w:pPr>
              <w:ind w:left="100"/>
              <w:spacing w:after="0"/>
              <w:rPr>
                <w:sz w:val="20"/>
                <w:szCs w:val="20"/>
                <w:color w:val="auto"/>
              </w:rPr>
            </w:pPr>
            <w:r>
              <w:rPr>
                <w:rFonts w:ascii="Arial" w:cs="Arial" w:eastAsia="Arial" w:hAnsi="Arial"/>
                <w:sz w:val="22"/>
                <w:szCs w:val="22"/>
                <w:color w:val="auto"/>
              </w:rPr>
              <w:t>Alfred J. Bacchi</w:t>
            </w: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89"/>
              </w:rPr>
              <w:t>Name:</w:t>
            </w:r>
          </w:p>
        </w:tc>
        <w:tc>
          <w:tcPr>
            <w:tcW w:w="40" w:type="dxa"/>
            <w:vAlign w:val="bottom"/>
          </w:tcPr>
          <w:p>
            <w:pPr>
              <w:spacing w:after="0"/>
              <w:rPr>
                <w:sz w:val="21"/>
                <w:szCs w:val="21"/>
                <w:color w:val="auto"/>
              </w:rPr>
            </w:pPr>
          </w:p>
        </w:tc>
        <w:tc>
          <w:tcPr>
            <w:tcW w:w="3620" w:type="dxa"/>
            <w:vAlign w:val="bottom"/>
            <w:gridSpan w:val="2"/>
            <w:vMerge w:val="continue"/>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3620" w:type="dxa"/>
            <w:vAlign w:val="bottom"/>
            <w:gridSpan w:val="2"/>
          </w:tcPr>
          <w:p>
            <w:pPr>
              <w:ind w:left="40"/>
              <w:spacing w:after="0"/>
              <w:rPr>
                <w:sz w:val="20"/>
                <w:szCs w:val="20"/>
                <w:color w:val="auto"/>
              </w:rPr>
            </w:pPr>
            <w:r>
              <w:rPr>
                <w:rFonts w:ascii="Arial" w:cs="Arial" w:eastAsia="Arial" w:hAnsi="Arial"/>
                <w:sz w:val="22"/>
                <w:szCs w:val="22"/>
                <w:color w:val="auto"/>
              </w:rPr>
              <w:t>Senior Vice President</w:t>
            </w:r>
          </w:p>
        </w:tc>
        <w:tc>
          <w:tcPr>
            <w:tcW w:w="1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6" w:name="page27"/>
    <w:bookmarkEnd w:id="26"/>
    <w:p>
      <w:pPr>
        <w:ind w:left="3340" w:right="80"/>
        <w:spacing w:after="0" w:line="257" w:lineRule="auto"/>
        <w:rPr>
          <w:sz w:val="20"/>
          <w:szCs w:val="20"/>
          <w:color w:val="auto"/>
        </w:rPr>
      </w:pPr>
      <w:r>
        <w:rPr>
          <w:rFonts w:ascii="Arial" w:cs="Arial" w:eastAsia="Arial" w:hAnsi="Arial"/>
          <w:sz w:val="22"/>
          <w:szCs w:val="22"/>
          <w:b w:val="1"/>
          <w:bCs w:val="1"/>
          <w:color w:val="auto"/>
        </w:rPr>
        <w:t xml:space="preserve">THE BANK OF TOKYO MITSUBISHI UFJ, LTD., </w:t>
      </w:r>
      <w:r>
        <w:rPr>
          <w:rFonts w:ascii="Arial" w:cs="Arial" w:eastAsia="Arial" w:hAnsi="Arial"/>
          <w:sz w:val="22"/>
          <w:szCs w:val="22"/>
          <w:color w:val="auto"/>
        </w:rPr>
        <w:t>as a Revolving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 and Domestic Term Loan Lender</w:t>
      </w:r>
    </w:p>
    <w:p>
      <w:pPr>
        <w:spacing w:after="0" w:line="381"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40" w:type="dxa"/>
            <w:vAlign w:val="bottom"/>
            <w:gridSpan w:val="2"/>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3060" w:type="dxa"/>
            <w:vAlign w:val="bottom"/>
            <w:tcBorders>
              <w:bottom w:val="single" w:sz="8" w:color="auto"/>
            </w:tcBorders>
          </w:tcPr>
          <w:p>
            <w:pPr>
              <w:ind w:left="2460"/>
              <w:spacing w:after="0"/>
              <w:rPr>
                <w:sz w:val="20"/>
                <w:szCs w:val="20"/>
                <w:color w:val="auto"/>
              </w:rPr>
            </w:pPr>
            <w:r>
              <w:rPr>
                <w:rFonts w:ascii="Arial" w:cs="Arial" w:eastAsia="Arial" w:hAnsi="Arial"/>
                <w:sz w:val="22"/>
                <w:szCs w:val="22"/>
                <w:color w:val="auto"/>
              </w:rPr>
              <w:t>/s/</w:t>
            </w: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Richard</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21"/>
                <w:szCs w:val="21"/>
                <w:color w:val="auto"/>
                <w:w w:val="73"/>
              </w:rPr>
              <w:t>J.</w:t>
            </w:r>
          </w:p>
        </w:tc>
      </w:tr>
      <w:tr>
        <w:trPr>
          <w:trHeight w:val="223"/>
        </w:trPr>
        <w:tc>
          <w:tcPr>
            <w:tcW w:w="640" w:type="dxa"/>
            <w:vAlign w:val="bottom"/>
            <w:gridSpan w:val="2"/>
          </w:tcPr>
          <w:p>
            <w:pPr>
              <w:spacing w:after="0" w:line="223" w:lineRule="exact"/>
              <w:rPr>
                <w:sz w:val="20"/>
                <w:szCs w:val="20"/>
                <w:color w:val="auto"/>
              </w:rPr>
            </w:pPr>
            <w:r>
              <w:rPr>
                <w:rFonts w:ascii="Arial" w:cs="Arial" w:eastAsia="Arial" w:hAnsi="Arial"/>
                <w:sz w:val="22"/>
                <w:szCs w:val="22"/>
                <w:color w:val="auto"/>
                <w:w w:val="99"/>
              </w:rPr>
              <w:t>Wernli</w:t>
            </w:r>
          </w:p>
        </w:tc>
        <w:tc>
          <w:tcPr>
            <w:tcW w:w="4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2"/>
        </w:trPr>
        <w:tc>
          <w:tcPr>
            <w:tcW w:w="4180" w:type="dxa"/>
            <w:vAlign w:val="bottom"/>
            <w:gridSpan w:val="4"/>
          </w:tcPr>
          <w:p>
            <w:pPr>
              <w:spacing w:after="0" w:line="242" w:lineRule="exact"/>
              <w:rPr>
                <w:sz w:val="20"/>
                <w:szCs w:val="20"/>
                <w:color w:val="auto"/>
              </w:rPr>
            </w:pPr>
            <w:r>
              <w:rPr>
                <w:rFonts w:ascii="Arial" w:cs="Arial" w:eastAsia="Arial" w:hAnsi="Arial"/>
                <w:sz w:val="22"/>
                <w:szCs w:val="22"/>
                <w:color w:val="auto"/>
              </w:rPr>
              <w:t>Name: Richard J. Wernli</w:t>
            </w: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3540" w:type="dxa"/>
            <w:vAlign w:val="bottom"/>
            <w:gridSpan w:val="2"/>
          </w:tcPr>
          <w:p>
            <w:pPr>
              <w:ind w:left="40"/>
              <w:spacing w:after="0"/>
              <w:rPr>
                <w:sz w:val="20"/>
                <w:szCs w:val="20"/>
                <w:color w:val="auto"/>
              </w:rPr>
            </w:pPr>
            <w:r>
              <w:rPr>
                <w:rFonts w:ascii="Arial" w:cs="Arial" w:eastAsia="Arial" w:hAnsi="Arial"/>
                <w:sz w:val="22"/>
                <w:szCs w:val="22"/>
                <w:color w:val="auto"/>
              </w:rPr>
              <w:t>Managing Director</w:t>
            </w:r>
          </w:p>
        </w:tc>
        <w:tc>
          <w:tcPr>
            <w:tcW w:w="15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7" w:name="page28"/>
    <w:bookmarkEnd w:id="27"/>
    <w:p>
      <w:pPr>
        <w:ind w:left="3340" w:right="140"/>
        <w:spacing w:after="0" w:line="257" w:lineRule="auto"/>
        <w:rPr>
          <w:sz w:val="20"/>
          <w:szCs w:val="20"/>
          <w:color w:val="auto"/>
        </w:rPr>
      </w:pPr>
      <w:r>
        <w:rPr>
          <w:rFonts w:ascii="Arial" w:cs="Arial" w:eastAsia="Arial" w:hAnsi="Arial"/>
          <w:sz w:val="22"/>
          <w:szCs w:val="22"/>
          <w:b w:val="1"/>
          <w:bCs w:val="1"/>
          <w:color w:val="auto"/>
        </w:rPr>
        <w:t xml:space="preserve">THE ROYAL BANK OF SCOTLAND PLC, </w:t>
      </w:r>
      <w:r>
        <w:rPr>
          <w:rFonts w:ascii="Arial" w:cs="Arial" w:eastAsia="Arial" w:hAnsi="Arial"/>
          <w:sz w:val="22"/>
          <w:szCs w:val="22"/>
          <w:color w:val="auto"/>
        </w:rPr>
        <w:t>as a Revolving Lender</w:t>
      </w:r>
      <w:r>
        <w:rPr>
          <w:rFonts w:ascii="Arial" w:cs="Arial" w:eastAsia="Arial" w:hAnsi="Arial"/>
          <w:sz w:val="22"/>
          <w:szCs w:val="22"/>
          <w:b w:val="1"/>
          <w:bCs w:val="1"/>
          <w:color w:val="auto"/>
        </w:rPr>
        <w:t xml:space="preserve"> </w:t>
      </w:r>
      <w:r>
        <w:rPr>
          <w:rFonts w:ascii="Arial" w:cs="Arial" w:eastAsia="Arial" w:hAnsi="Arial"/>
          <w:sz w:val="22"/>
          <w:szCs w:val="22"/>
          <w:color w:val="auto"/>
        </w:rPr>
        <w:t>and Domestic Term Loan Lender</w:t>
      </w:r>
    </w:p>
    <w:p>
      <w:pPr>
        <w:spacing w:after="0" w:line="381"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700" w:type="dxa"/>
            <w:vAlign w:val="bottom"/>
            <w:gridSpan w:val="2"/>
          </w:tcPr>
          <w:p>
            <w:pPr>
              <w:spacing w:after="0"/>
              <w:rPr>
                <w:sz w:val="20"/>
                <w:szCs w:val="20"/>
                <w:color w:val="auto"/>
              </w:rPr>
            </w:pPr>
            <w:r>
              <w:rPr>
                <w:rFonts w:ascii="Arial" w:cs="Arial" w:eastAsia="Arial" w:hAnsi="Arial"/>
                <w:sz w:val="22"/>
                <w:szCs w:val="22"/>
                <w:color w:val="auto"/>
              </w:rPr>
              <w:t>By:</w:t>
            </w:r>
          </w:p>
        </w:tc>
        <w:tc>
          <w:tcPr>
            <w:tcW w:w="640" w:type="dxa"/>
            <w:vAlign w:val="bottom"/>
          </w:tcPr>
          <w:p>
            <w:pPr>
              <w:spacing w:after="0"/>
              <w:rPr>
                <w:sz w:val="21"/>
                <w:szCs w:val="21"/>
                <w:color w:val="auto"/>
              </w:rPr>
            </w:pPr>
          </w:p>
        </w:tc>
        <w:tc>
          <w:tcPr>
            <w:tcW w:w="2220" w:type="dxa"/>
            <w:vAlign w:val="bottom"/>
            <w:tcBorders>
              <w:bottom w:val="single" w:sz="8" w:color="auto"/>
            </w:tcBorders>
          </w:tcPr>
          <w:p>
            <w:pPr>
              <w:ind w:left="1000"/>
              <w:spacing w:after="0"/>
              <w:rPr>
                <w:sz w:val="20"/>
                <w:szCs w:val="20"/>
                <w:color w:val="auto"/>
              </w:rPr>
            </w:pPr>
            <w:r>
              <w:rPr>
                <w:rFonts w:ascii="Arial" w:cs="Arial" w:eastAsia="Arial" w:hAnsi="Arial"/>
                <w:sz w:val="22"/>
                <w:szCs w:val="22"/>
                <w:color w:val="auto"/>
              </w:rPr>
              <w:t>/s/</w:t>
            </w:r>
          </w:p>
        </w:tc>
        <w:tc>
          <w:tcPr>
            <w:tcW w:w="1720" w:type="dxa"/>
            <w:vAlign w:val="bottom"/>
            <w:tcBorders>
              <w:bottom w:val="single" w:sz="8" w:color="auto"/>
            </w:tcBorders>
          </w:tcPr>
          <w:p>
            <w:pPr>
              <w:ind w:left="1020"/>
              <w:spacing w:after="0"/>
              <w:rPr>
                <w:sz w:val="20"/>
                <w:szCs w:val="20"/>
                <w:color w:val="auto"/>
              </w:rPr>
            </w:pPr>
            <w:r>
              <w:rPr>
                <w:rFonts w:ascii="Arial" w:cs="Arial" w:eastAsia="Arial" w:hAnsi="Arial"/>
                <w:sz w:val="22"/>
                <w:szCs w:val="22"/>
                <w:color w:val="auto"/>
              </w:rPr>
              <w:t>L.</w:t>
            </w:r>
          </w:p>
        </w:tc>
        <w:tc>
          <w:tcPr>
            <w:tcW w:w="960" w:type="dxa"/>
            <w:vAlign w:val="bottom"/>
            <w:tcBorders>
              <w:bottom w:val="single" w:sz="8" w:color="auto"/>
            </w:tcBorders>
          </w:tcPr>
          <w:p>
            <w:pPr>
              <w:ind w:left="500"/>
              <w:spacing w:after="0"/>
              <w:rPr>
                <w:sz w:val="20"/>
                <w:szCs w:val="20"/>
                <w:color w:val="auto"/>
              </w:rPr>
            </w:pPr>
            <w:r>
              <w:rPr>
                <w:rFonts w:ascii="Arial" w:cs="Arial" w:eastAsia="Arial" w:hAnsi="Arial"/>
                <w:sz w:val="22"/>
                <w:szCs w:val="22"/>
                <w:color w:val="auto"/>
                <w:w w:val="83"/>
              </w:rPr>
              <w:t>Peter</w:t>
            </w:r>
          </w:p>
        </w:tc>
        <w:tc>
          <w:tcPr>
            <w:tcW w:w="0" w:type="dxa"/>
            <w:vAlign w:val="bottom"/>
          </w:tcPr>
          <w:p>
            <w:pPr>
              <w:spacing w:after="0"/>
              <w:rPr>
                <w:sz w:val="1"/>
                <w:szCs w:val="1"/>
                <w:color w:val="auto"/>
              </w:rPr>
            </w:pPr>
          </w:p>
        </w:tc>
      </w:tr>
      <w:tr>
        <w:trPr>
          <w:trHeight w:val="223"/>
        </w:trPr>
        <w:tc>
          <w:tcPr>
            <w:tcW w:w="700" w:type="dxa"/>
            <w:vAlign w:val="bottom"/>
            <w:gridSpan w:val="2"/>
          </w:tcPr>
          <w:p>
            <w:pPr>
              <w:spacing w:after="0" w:line="223" w:lineRule="exact"/>
              <w:rPr>
                <w:sz w:val="20"/>
                <w:szCs w:val="20"/>
                <w:color w:val="auto"/>
              </w:rPr>
            </w:pPr>
            <w:r>
              <w:rPr>
                <w:rFonts w:ascii="Arial" w:cs="Arial" w:eastAsia="Arial" w:hAnsi="Arial"/>
                <w:sz w:val="22"/>
                <w:szCs w:val="22"/>
                <w:color w:val="auto"/>
                <w:w w:val="89"/>
              </w:rPr>
              <w:t>Yetman</w:t>
            </w:r>
          </w:p>
        </w:tc>
        <w:tc>
          <w:tcPr>
            <w:tcW w:w="2860" w:type="dxa"/>
            <w:vAlign w:val="bottom"/>
            <w:gridSpan w:val="2"/>
            <w:vMerge w:val="restart"/>
          </w:tcPr>
          <w:p>
            <w:pPr>
              <w:ind w:left="40"/>
              <w:spacing w:after="0"/>
              <w:rPr>
                <w:sz w:val="20"/>
                <w:szCs w:val="20"/>
                <w:color w:val="auto"/>
              </w:rPr>
            </w:pPr>
            <w:r>
              <w:rPr>
                <w:rFonts w:ascii="Arial" w:cs="Arial" w:eastAsia="Arial" w:hAnsi="Arial"/>
                <w:sz w:val="22"/>
                <w:szCs w:val="22"/>
                <w:color w:val="auto"/>
              </w:rPr>
              <w:t>L. Peter Yetman</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8"/>
              </w:rPr>
              <w:t>Name:</w:t>
            </w:r>
          </w:p>
        </w:tc>
        <w:tc>
          <w:tcPr>
            <w:tcW w:w="40" w:type="dxa"/>
            <w:vAlign w:val="bottom"/>
          </w:tcPr>
          <w:p>
            <w:pPr>
              <w:spacing w:after="0"/>
              <w:rPr>
                <w:sz w:val="21"/>
                <w:szCs w:val="21"/>
                <w:color w:val="auto"/>
              </w:rPr>
            </w:pPr>
          </w:p>
        </w:tc>
        <w:tc>
          <w:tcPr>
            <w:tcW w:w="2860" w:type="dxa"/>
            <w:vAlign w:val="bottom"/>
            <w:gridSpan w:val="2"/>
            <w:vMerge w:val="continue"/>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00" w:type="dxa"/>
            <w:vAlign w:val="bottom"/>
            <w:gridSpan w:val="2"/>
          </w:tcPr>
          <w:p>
            <w:pPr>
              <w:spacing w:after="0"/>
              <w:rPr>
                <w:sz w:val="20"/>
                <w:szCs w:val="20"/>
                <w:color w:val="auto"/>
              </w:rPr>
            </w:pPr>
            <w:r>
              <w:rPr>
                <w:rFonts w:ascii="Arial" w:cs="Arial" w:eastAsia="Arial" w:hAnsi="Arial"/>
                <w:sz w:val="22"/>
                <w:szCs w:val="22"/>
                <w:color w:val="auto"/>
              </w:rPr>
              <w:t>Title:</w:t>
            </w:r>
          </w:p>
        </w:tc>
        <w:tc>
          <w:tcPr>
            <w:tcW w:w="2860" w:type="dxa"/>
            <w:vAlign w:val="bottom"/>
            <w:gridSpan w:val="2"/>
          </w:tcPr>
          <w:p>
            <w:pPr>
              <w:ind w:left="40"/>
              <w:spacing w:after="0"/>
              <w:rPr>
                <w:sz w:val="20"/>
                <w:szCs w:val="20"/>
                <w:color w:val="auto"/>
              </w:rPr>
            </w:pPr>
            <w:r>
              <w:rPr>
                <w:rFonts w:ascii="Arial" w:cs="Arial" w:eastAsia="Arial" w:hAnsi="Arial"/>
                <w:sz w:val="22"/>
                <w:szCs w:val="22"/>
                <w:color w:val="auto"/>
              </w:rPr>
              <w:t>Director</w:t>
            </w:r>
          </w:p>
        </w:tc>
        <w:tc>
          <w:tcPr>
            <w:tcW w:w="1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1" w:right="879" w:bottom="1440" w:gutter="0" w:footer="0" w:header="0"/>
        </w:sectPr>
      </w:pPr>
    </w:p>
    <w:bookmarkStart w:id="28" w:name="page29"/>
    <w:bookmarkEnd w:id="28"/>
    <w:p>
      <w:pPr>
        <w:ind w:left="3340" w:right="780"/>
        <w:spacing w:after="0" w:line="280" w:lineRule="auto"/>
        <w:rPr>
          <w:sz w:val="20"/>
          <w:szCs w:val="20"/>
          <w:color w:val="auto"/>
        </w:rPr>
      </w:pPr>
      <w:r>
        <w:rPr>
          <w:rFonts w:ascii="Arial" w:cs="Arial" w:eastAsia="Arial" w:hAnsi="Arial"/>
          <w:sz w:val="21"/>
          <w:szCs w:val="21"/>
          <w:b w:val="1"/>
          <w:bCs w:val="1"/>
          <w:color w:val="auto"/>
        </w:rPr>
        <w:t xml:space="preserve">THE ROYAL BANK OF SCOTLAND PLC, SINGAPORE BRANCH, </w:t>
      </w:r>
      <w:r>
        <w:rPr>
          <w:rFonts w:ascii="Arial" w:cs="Arial" w:eastAsia="Arial" w:hAnsi="Arial"/>
          <w:sz w:val="21"/>
          <w:szCs w:val="21"/>
          <w:color w:val="auto"/>
        </w:rPr>
        <w:t>as a Singapore Term Loan Lender</w:t>
      </w:r>
    </w:p>
    <w:p>
      <w:pPr>
        <w:spacing w:after="0" w:line="200" w:lineRule="exact"/>
        <w:rPr>
          <w:sz w:val="20"/>
          <w:szCs w:val="20"/>
          <w:color w:val="auto"/>
        </w:rPr>
      </w:pPr>
    </w:p>
    <w:p>
      <w:pPr>
        <w:spacing w:after="0" w:line="295"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60" w:type="dxa"/>
            <w:vAlign w:val="bottom"/>
            <w:gridSpan w:val="2"/>
          </w:tcPr>
          <w:p>
            <w:pPr>
              <w:spacing w:after="0"/>
              <w:rPr>
                <w:sz w:val="20"/>
                <w:szCs w:val="20"/>
                <w:color w:val="auto"/>
              </w:rPr>
            </w:pPr>
            <w:r>
              <w:rPr>
                <w:rFonts w:ascii="Arial" w:cs="Arial" w:eastAsia="Arial" w:hAnsi="Arial"/>
                <w:sz w:val="22"/>
                <w:szCs w:val="22"/>
                <w:color w:val="auto"/>
              </w:rPr>
              <w:t>By:</w:t>
            </w:r>
          </w:p>
        </w:tc>
        <w:tc>
          <w:tcPr>
            <w:tcW w:w="680" w:type="dxa"/>
            <w:vAlign w:val="bottom"/>
          </w:tcPr>
          <w:p>
            <w:pPr>
              <w:spacing w:after="0"/>
              <w:rPr>
                <w:sz w:val="21"/>
                <w:szCs w:val="21"/>
                <w:color w:val="auto"/>
              </w:rPr>
            </w:pPr>
          </w:p>
        </w:tc>
        <w:tc>
          <w:tcPr>
            <w:tcW w:w="3760" w:type="dxa"/>
            <w:vAlign w:val="bottom"/>
            <w:tcBorders>
              <w:bottom w:val="single" w:sz="8" w:color="auto"/>
            </w:tcBorders>
          </w:tcPr>
          <w:p>
            <w:pPr>
              <w:ind w:left="3040"/>
              <w:spacing w:after="0"/>
              <w:rPr>
                <w:sz w:val="20"/>
                <w:szCs w:val="20"/>
                <w:color w:val="auto"/>
              </w:rPr>
            </w:pPr>
            <w:r>
              <w:rPr>
                <w:rFonts w:ascii="Arial" w:cs="Arial" w:eastAsia="Arial" w:hAnsi="Arial"/>
                <w:sz w:val="22"/>
                <w:szCs w:val="22"/>
                <w:color w:val="auto"/>
              </w:rPr>
              <w:t>/s/</w:t>
            </w: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22"/>
                <w:szCs w:val="22"/>
                <w:color w:val="auto"/>
                <w:w w:val="92"/>
              </w:rPr>
              <w:t>Iftirhar</w:t>
            </w:r>
          </w:p>
        </w:tc>
        <w:tc>
          <w:tcPr>
            <w:tcW w:w="0" w:type="dxa"/>
            <w:vAlign w:val="bottom"/>
          </w:tcPr>
          <w:p>
            <w:pPr>
              <w:spacing w:after="0"/>
              <w:rPr>
                <w:sz w:val="1"/>
                <w:szCs w:val="1"/>
                <w:color w:val="auto"/>
              </w:rPr>
            </w:pPr>
          </w:p>
        </w:tc>
      </w:tr>
      <w:tr>
        <w:trPr>
          <w:trHeight w:val="223"/>
        </w:trPr>
        <w:tc>
          <w:tcPr>
            <w:tcW w:w="58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Junaid</w:t>
            </w:r>
          </w:p>
        </w:tc>
        <w:tc>
          <w:tcPr>
            <w:tcW w:w="80" w:type="dxa"/>
            <w:vAlign w:val="bottom"/>
          </w:tcPr>
          <w:p>
            <w:pPr>
              <w:spacing w:after="0"/>
              <w:rPr>
                <w:sz w:val="19"/>
                <w:szCs w:val="19"/>
                <w:color w:val="auto"/>
              </w:rPr>
            </w:pPr>
          </w:p>
        </w:tc>
        <w:tc>
          <w:tcPr>
            <w:tcW w:w="4440" w:type="dxa"/>
            <w:vAlign w:val="bottom"/>
            <w:gridSpan w:val="2"/>
            <w:vMerge w:val="restart"/>
          </w:tcPr>
          <w:p>
            <w:pPr>
              <w:ind w:left="80"/>
              <w:spacing w:after="0"/>
              <w:rPr>
                <w:sz w:val="20"/>
                <w:szCs w:val="20"/>
                <w:color w:val="auto"/>
              </w:rPr>
            </w:pPr>
            <w:r>
              <w:rPr>
                <w:rFonts w:ascii="Arial" w:cs="Arial" w:eastAsia="Arial" w:hAnsi="Arial"/>
                <w:sz w:val="22"/>
                <w:szCs w:val="22"/>
                <w:color w:val="auto"/>
              </w:rPr>
              <w:t>Iftirhar Junaid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60" w:type="dxa"/>
            <w:vAlign w:val="bottom"/>
            <w:gridSpan w:val="2"/>
          </w:tcPr>
          <w:p>
            <w:pPr>
              <w:spacing w:after="0" w:line="242" w:lineRule="exact"/>
              <w:rPr>
                <w:sz w:val="20"/>
                <w:szCs w:val="20"/>
                <w:color w:val="auto"/>
              </w:rPr>
            </w:pPr>
            <w:r>
              <w:rPr>
                <w:rFonts w:ascii="Arial" w:cs="Arial" w:eastAsia="Arial" w:hAnsi="Arial"/>
                <w:sz w:val="22"/>
                <w:szCs w:val="22"/>
                <w:color w:val="auto"/>
                <w:w w:val="98"/>
              </w:rPr>
              <w:t>Name:</w:t>
            </w:r>
          </w:p>
        </w:tc>
        <w:tc>
          <w:tcPr>
            <w:tcW w:w="444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60" w:type="dxa"/>
            <w:vAlign w:val="bottom"/>
            <w:gridSpan w:val="2"/>
          </w:tcPr>
          <w:p>
            <w:pPr>
              <w:spacing w:after="0"/>
              <w:rPr>
                <w:sz w:val="20"/>
                <w:szCs w:val="20"/>
                <w:color w:val="auto"/>
              </w:rPr>
            </w:pPr>
            <w:r>
              <w:rPr>
                <w:rFonts w:ascii="Arial" w:cs="Arial" w:eastAsia="Arial" w:hAnsi="Arial"/>
                <w:sz w:val="22"/>
                <w:szCs w:val="22"/>
                <w:color w:val="auto"/>
              </w:rPr>
              <w:t>Title:</w:t>
            </w:r>
          </w:p>
        </w:tc>
        <w:tc>
          <w:tcPr>
            <w:tcW w:w="4440" w:type="dxa"/>
            <w:vAlign w:val="bottom"/>
            <w:gridSpan w:val="2"/>
          </w:tcPr>
          <w:p>
            <w:pPr>
              <w:ind w:left="220"/>
              <w:spacing w:after="0"/>
              <w:rPr>
                <w:sz w:val="20"/>
                <w:szCs w:val="20"/>
                <w:color w:val="auto"/>
              </w:rPr>
            </w:pPr>
            <w:r>
              <w:rPr>
                <w:rFonts w:ascii="Arial" w:cs="Arial" w:eastAsia="Arial" w:hAnsi="Arial"/>
                <w:sz w:val="22"/>
                <w:szCs w:val="22"/>
                <w:color w:val="auto"/>
              </w:rPr>
              <w:t>Director</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9" w:name="page30"/>
    <w:bookmarkEnd w:id="29"/>
    <w:p>
      <w:pPr>
        <w:ind w:left="3340"/>
        <w:spacing w:after="0"/>
        <w:rPr>
          <w:sz w:val="20"/>
          <w:szCs w:val="20"/>
          <w:color w:val="auto"/>
        </w:rPr>
      </w:pPr>
      <w:r>
        <w:rPr>
          <w:rFonts w:ascii="Arial" w:cs="Arial" w:eastAsia="Arial" w:hAnsi="Arial"/>
          <w:sz w:val="19"/>
          <w:szCs w:val="19"/>
          <w:b w:val="1"/>
          <w:bCs w:val="1"/>
          <w:color w:val="auto"/>
        </w:rPr>
        <w:t xml:space="preserve">TD BANK, N.A., </w:t>
      </w:r>
      <w:r>
        <w:rPr>
          <w:rFonts w:ascii="Arial" w:cs="Arial" w:eastAsia="Arial" w:hAnsi="Arial"/>
          <w:sz w:val="19"/>
          <w:szCs w:val="19"/>
          <w:color w:val="auto"/>
        </w:rPr>
        <w:t>as a Revolving Lender and</w:t>
      </w:r>
    </w:p>
    <w:p>
      <w:pPr>
        <w:spacing w:after="0" w:line="4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Domestic Term Loan Lender</w:t>
      </w:r>
    </w:p>
    <w:p>
      <w:pPr>
        <w:spacing w:after="0" w:line="200" w:lineRule="exact"/>
        <w:rPr>
          <w:sz w:val="20"/>
          <w:szCs w:val="20"/>
          <w:color w:val="auto"/>
        </w:rPr>
      </w:pPr>
    </w:p>
    <w:p>
      <w:pPr>
        <w:spacing w:after="0" w:line="231" w:lineRule="exact"/>
        <w:rPr>
          <w:sz w:val="20"/>
          <w:szCs w:val="20"/>
          <w:color w:val="auto"/>
        </w:rPr>
      </w:pPr>
    </w:p>
    <w:p>
      <w:pPr>
        <w:ind w:left="3340"/>
        <w:spacing w:after="0"/>
        <w:tabs>
          <w:tab w:leader="none" w:pos="3940" w:val="left"/>
        </w:tabs>
        <w:rPr>
          <w:sz w:val="20"/>
          <w:szCs w:val="20"/>
          <w:color w:val="auto"/>
        </w:rPr>
      </w:pPr>
      <w:r>
        <w:rPr>
          <w:rFonts w:ascii="Arial" w:cs="Arial" w:eastAsia="Arial" w:hAnsi="Arial"/>
          <w:sz w:val="22"/>
          <w:szCs w:val="22"/>
          <w:color w:val="auto"/>
        </w:rPr>
        <w:t>By:</w:t>
        <w:tab/>
        <w:t>/s/ Vijay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-17780</wp:posOffset>
            </wp:positionV>
            <wp:extent cx="1031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ind w:left="3340"/>
        <w:spacing w:after="0" w:line="238" w:lineRule="auto"/>
        <w:rPr>
          <w:sz w:val="20"/>
          <w:szCs w:val="20"/>
          <w:color w:val="auto"/>
        </w:rPr>
      </w:pPr>
      <w:r>
        <w:rPr>
          <w:rFonts w:ascii="Arial" w:cs="Arial" w:eastAsia="Arial" w:hAnsi="Arial"/>
          <w:sz w:val="22"/>
          <w:szCs w:val="22"/>
          <w:color w:val="auto"/>
        </w:rPr>
        <w:t>Name:  Vijay Prasad</w:t>
      </w:r>
    </w:p>
    <w:p>
      <w:pPr>
        <w:ind w:left="3340"/>
        <w:spacing w:after="0"/>
        <w:tabs>
          <w:tab w:leader="none" w:pos="4060" w:val="left"/>
        </w:tabs>
        <w:rPr>
          <w:sz w:val="20"/>
          <w:szCs w:val="20"/>
          <w:color w:val="auto"/>
        </w:rPr>
      </w:pPr>
      <w:r>
        <w:rPr>
          <w:rFonts w:ascii="Arial" w:cs="Arial" w:eastAsia="Arial" w:hAnsi="Arial"/>
          <w:sz w:val="22"/>
          <w:szCs w:val="22"/>
          <w:color w:val="auto"/>
        </w:rPr>
        <w:t>Title:</w:t>
        <w:tab/>
        <w:t>Senior Vice President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ind w:left="3340" w:right="460"/>
        <w:spacing w:after="0" w:line="257" w:lineRule="auto"/>
        <w:rPr>
          <w:sz w:val="20"/>
          <w:szCs w:val="20"/>
          <w:color w:val="auto"/>
        </w:rPr>
      </w:pPr>
      <w:r>
        <w:rPr>
          <w:rFonts w:ascii="Arial" w:cs="Arial" w:eastAsia="Arial" w:hAnsi="Arial"/>
          <w:sz w:val="22"/>
          <w:szCs w:val="22"/>
          <w:b w:val="1"/>
          <w:bCs w:val="1"/>
          <w:color w:val="auto"/>
        </w:rPr>
        <w:t xml:space="preserve">CREDIT SUISSE AG, Cayman Islands Branch, </w:t>
      </w:r>
      <w:r>
        <w:rPr>
          <w:rFonts w:ascii="Arial" w:cs="Arial" w:eastAsia="Arial" w:hAnsi="Arial"/>
          <w:sz w:val="22"/>
          <w:szCs w:val="22"/>
          <w:color w:val="auto"/>
        </w:rPr>
        <w:t>as a Revolving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381"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40" w:type="dxa"/>
            <w:vAlign w:val="bottom"/>
            <w:gridSpan w:val="3"/>
          </w:tcPr>
          <w:p>
            <w:pPr>
              <w:spacing w:after="0"/>
              <w:rPr>
                <w:sz w:val="20"/>
                <w:szCs w:val="20"/>
                <w:color w:val="auto"/>
              </w:rPr>
            </w:pPr>
            <w:r>
              <w:rPr>
                <w:rFonts w:ascii="Arial" w:cs="Arial" w:eastAsia="Arial" w:hAnsi="Arial"/>
                <w:sz w:val="22"/>
                <w:szCs w:val="22"/>
                <w:color w:val="auto"/>
              </w:rPr>
              <w:t>By:</w:t>
            </w:r>
          </w:p>
        </w:tc>
        <w:tc>
          <w:tcPr>
            <w:tcW w:w="6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ind w:left="2020"/>
              <w:spacing w:after="0"/>
              <w:rPr>
                <w:sz w:val="20"/>
                <w:szCs w:val="20"/>
                <w:color w:val="auto"/>
              </w:rPr>
            </w:pPr>
            <w:r>
              <w:rPr>
                <w:rFonts w:ascii="Arial" w:cs="Arial" w:eastAsia="Arial" w:hAnsi="Arial"/>
                <w:sz w:val="22"/>
                <w:szCs w:val="22"/>
                <w:color w:val="auto"/>
              </w:rPr>
              <w:t>/s/</w:t>
            </w: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22"/>
                <w:szCs w:val="22"/>
                <w:color w:val="auto"/>
                <w:w w:val="87"/>
              </w:rPr>
              <w:t>Christopher</w:t>
            </w:r>
          </w:p>
        </w:tc>
        <w:tc>
          <w:tcPr>
            <w:tcW w:w="0" w:type="dxa"/>
            <w:vAlign w:val="bottom"/>
          </w:tcPr>
          <w:p>
            <w:pPr>
              <w:spacing w:after="0"/>
              <w:rPr>
                <w:sz w:val="1"/>
                <w:szCs w:val="1"/>
                <w:color w:val="auto"/>
              </w:rPr>
            </w:pPr>
          </w:p>
        </w:tc>
      </w:tr>
      <w:tr>
        <w:trPr>
          <w:trHeight w:val="223"/>
        </w:trPr>
        <w:tc>
          <w:tcPr>
            <w:tcW w:w="640" w:type="dxa"/>
            <w:vAlign w:val="bottom"/>
            <w:gridSpan w:val="3"/>
          </w:tcPr>
          <w:p>
            <w:pPr>
              <w:spacing w:after="0" w:line="223" w:lineRule="exact"/>
              <w:rPr>
                <w:sz w:val="20"/>
                <w:szCs w:val="20"/>
                <w:color w:val="auto"/>
              </w:rPr>
            </w:pPr>
            <w:r>
              <w:rPr>
                <w:rFonts w:ascii="Arial" w:cs="Arial" w:eastAsia="Arial" w:hAnsi="Arial"/>
                <w:sz w:val="22"/>
                <w:szCs w:val="22"/>
                <w:color w:val="auto"/>
              </w:rPr>
              <w:t>Day</w:t>
            </w:r>
          </w:p>
        </w:tc>
        <w:tc>
          <w:tcPr>
            <w:tcW w:w="4100" w:type="dxa"/>
            <w:vAlign w:val="bottom"/>
            <w:gridSpan w:val="3"/>
            <w:vMerge w:val="restart"/>
          </w:tcPr>
          <w:p>
            <w:pPr>
              <w:ind w:left="100"/>
              <w:spacing w:after="0"/>
              <w:rPr>
                <w:sz w:val="20"/>
                <w:szCs w:val="20"/>
                <w:color w:val="auto"/>
              </w:rPr>
            </w:pPr>
            <w:r>
              <w:rPr>
                <w:rFonts w:ascii="Arial" w:cs="Arial" w:eastAsia="Arial" w:hAnsi="Arial"/>
                <w:sz w:val="22"/>
                <w:szCs w:val="22"/>
                <w:color w:val="auto"/>
              </w:rPr>
              <w:t>Christopher Day</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gridSpan w:val="3"/>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40" w:type="dxa"/>
            <w:vAlign w:val="bottom"/>
            <w:gridSpan w:val="3"/>
          </w:tcPr>
          <w:p>
            <w:pPr>
              <w:spacing w:after="0" w:line="242" w:lineRule="exact"/>
              <w:rPr>
                <w:sz w:val="20"/>
                <w:szCs w:val="20"/>
                <w:color w:val="auto"/>
              </w:rPr>
            </w:pPr>
            <w:r>
              <w:rPr>
                <w:rFonts w:ascii="Arial" w:cs="Arial" w:eastAsia="Arial" w:hAnsi="Arial"/>
                <w:sz w:val="22"/>
                <w:szCs w:val="22"/>
                <w:color w:val="auto"/>
                <w:w w:val="95"/>
              </w:rPr>
              <w:t>Name:</w:t>
            </w:r>
          </w:p>
        </w:tc>
        <w:tc>
          <w:tcPr>
            <w:tcW w:w="4100" w:type="dxa"/>
            <w:vAlign w:val="bottom"/>
            <w:gridSpan w:val="3"/>
            <w:vMerge w:val="continue"/>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40" w:type="dxa"/>
            <w:vAlign w:val="bottom"/>
            <w:gridSpan w:val="3"/>
          </w:tcPr>
          <w:p>
            <w:pPr>
              <w:spacing w:after="0"/>
              <w:rPr>
                <w:sz w:val="20"/>
                <w:szCs w:val="20"/>
                <w:color w:val="auto"/>
              </w:rPr>
            </w:pPr>
            <w:r>
              <w:rPr>
                <w:rFonts w:ascii="Arial" w:cs="Arial" w:eastAsia="Arial" w:hAnsi="Arial"/>
                <w:sz w:val="22"/>
                <w:szCs w:val="22"/>
                <w:color w:val="auto"/>
              </w:rPr>
              <w:t>Title:</w:t>
            </w:r>
          </w:p>
        </w:tc>
        <w:tc>
          <w:tcPr>
            <w:tcW w:w="4100" w:type="dxa"/>
            <w:vAlign w:val="bottom"/>
            <w:gridSpan w:val="3"/>
          </w:tcPr>
          <w:p>
            <w:pPr>
              <w:ind w:left="40"/>
              <w:spacing w:after="0"/>
              <w:rPr>
                <w:sz w:val="20"/>
                <w:szCs w:val="20"/>
                <w:color w:val="auto"/>
              </w:rPr>
            </w:pPr>
            <w:r>
              <w:rPr>
                <w:rFonts w:ascii="Arial" w:cs="Arial" w:eastAsia="Arial" w:hAnsi="Arial"/>
                <w:sz w:val="22"/>
                <w:szCs w:val="22"/>
                <w:color w:val="auto"/>
              </w:rPr>
              <w:t>Authorized Signatory</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4740" w:type="dxa"/>
            <w:vAlign w:val="bottom"/>
            <w:gridSpan w:val="6"/>
          </w:tcPr>
          <w:p>
            <w:pPr>
              <w:spacing w:after="0"/>
              <w:rPr>
                <w:sz w:val="20"/>
                <w:szCs w:val="20"/>
                <w:color w:val="auto"/>
              </w:rPr>
            </w:pPr>
            <w:r>
              <w:rPr>
                <w:rFonts w:ascii="Arial" w:cs="Arial" w:eastAsia="Arial" w:hAnsi="Arial"/>
                <w:sz w:val="22"/>
                <w:szCs w:val="22"/>
                <w:color w:val="auto"/>
              </w:rPr>
              <w:t>By:  /s/ Samuel Miller</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640" w:type="dxa"/>
            <w:vAlign w:val="bottom"/>
            <w:gridSpan w:val="3"/>
          </w:tcPr>
          <w:p>
            <w:pPr>
              <w:spacing w:after="0"/>
              <w:rPr>
                <w:sz w:val="20"/>
                <w:szCs w:val="20"/>
                <w:color w:val="auto"/>
              </w:rPr>
            </w:pPr>
            <w:r>
              <w:rPr>
                <w:rFonts w:ascii="Arial" w:cs="Arial" w:eastAsia="Arial" w:hAnsi="Arial"/>
                <w:sz w:val="22"/>
                <w:szCs w:val="22"/>
                <w:color w:val="auto"/>
                <w:w w:val="95"/>
              </w:rPr>
              <w:t>Name:</w:t>
            </w:r>
          </w:p>
        </w:tc>
        <w:tc>
          <w:tcPr>
            <w:tcW w:w="4100" w:type="dxa"/>
            <w:vAlign w:val="bottom"/>
            <w:gridSpan w:val="3"/>
          </w:tcPr>
          <w:p>
            <w:pPr>
              <w:ind w:left="100"/>
              <w:spacing w:after="0"/>
              <w:rPr>
                <w:sz w:val="20"/>
                <w:szCs w:val="20"/>
                <w:color w:val="auto"/>
              </w:rPr>
            </w:pPr>
            <w:r>
              <w:rPr>
                <w:rFonts w:ascii="Arial" w:cs="Arial" w:eastAsia="Arial" w:hAnsi="Arial"/>
                <w:sz w:val="22"/>
                <w:szCs w:val="22"/>
                <w:color w:val="auto"/>
              </w:rPr>
              <w:t>Samuel Miller</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40" w:type="dxa"/>
            <w:vAlign w:val="bottom"/>
            <w:gridSpan w:val="3"/>
          </w:tcPr>
          <w:p>
            <w:pPr>
              <w:spacing w:after="0"/>
              <w:rPr>
                <w:sz w:val="20"/>
                <w:szCs w:val="20"/>
                <w:color w:val="auto"/>
              </w:rPr>
            </w:pPr>
            <w:r>
              <w:rPr>
                <w:rFonts w:ascii="Arial" w:cs="Arial" w:eastAsia="Arial" w:hAnsi="Arial"/>
                <w:sz w:val="22"/>
                <w:szCs w:val="22"/>
                <w:color w:val="auto"/>
              </w:rPr>
              <w:t>Title:</w:t>
            </w:r>
          </w:p>
        </w:tc>
        <w:tc>
          <w:tcPr>
            <w:tcW w:w="4100" w:type="dxa"/>
            <w:vAlign w:val="bottom"/>
            <w:gridSpan w:val="3"/>
          </w:tcPr>
          <w:p>
            <w:pPr>
              <w:ind w:left="80"/>
              <w:spacing w:after="0"/>
              <w:rPr>
                <w:sz w:val="20"/>
                <w:szCs w:val="20"/>
                <w:color w:val="auto"/>
              </w:rPr>
            </w:pPr>
            <w:r>
              <w:rPr>
                <w:rFonts w:ascii="Arial" w:cs="Arial" w:eastAsia="Arial" w:hAnsi="Arial"/>
                <w:sz w:val="22"/>
                <w:szCs w:val="22"/>
                <w:color w:val="auto"/>
              </w:rPr>
              <w:t>Authorized Signatory</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31" w:name="page32"/>
    <w:bookmarkEnd w:id="31"/>
    <w:p>
      <w:pPr>
        <w:ind w:left="3340"/>
        <w:spacing w:after="0" w:line="257" w:lineRule="auto"/>
        <w:rPr>
          <w:sz w:val="20"/>
          <w:szCs w:val="20"/>
          <w:color w:val="auto"/>
        </w:rPr>
      </w:pPr>
      <w:r>
        <w:rPr>
          <w:rFonts w:ascii="Arial" w:cs="Arial" w:eastAsia="Arial" w:hAnsi="Arial"/>
          <w:sz w:val="22"/>
          <w:szCs w:val="22"/>
          <w:b w:val="1"/>
          <w:bCs w:val="1"/>
          <w:color w:val="auto"/>
        </w:rPr>
        <w:t xml:space="preserve">JPMORGAN CHASE BANK, N.A., </w:t>
      </w:r>
      <w:r>
        <w:rPr>
          <w:rFonts w:ascii="Arial" w:cs="Arial" w:eastAsia="Arial" w:hAnsi="Arial"/>
          <w:sz w:val="22"/>
          <w:szCs w:val="22"/>
          <w:color w:val="auto"/>
        </w:rPr>
        <w:t>as a Revolving Lender and</w:t>
      </w:r>
      <w:r>
        <w:rPr>
          <w:rFonts w:ascii="Arial" w:cs="Arial" w:eastAsia="Arial" w:hAnsi="Arial"/>
          <w:sz w:val="22"/>
          <w:szCs w:val="22"/>
          <w:b w:val="1"/>
          <w:bCs w:val="1"/>
          <w:color w:val="auto"/>
        </w:rPr>
        <w:t xml:space="preserve"> </w:t>
      </w:r>
      <w:r>
        <w:rPr>
          <w:rFonts w:ascii="Arial" w:cs="Arial" w:eastAsia="Arial" w:hAnsi="Arial"/>
          <w:sz w:val="22"/>
          <w:szCs w:val="22"/>
          <w:color w:val="auto"/>
        </w:rPr>
        <w:t>Domestic Term Loan Lender</w:t>
      </w:r>
    </w:p>
    <w:p>
      <w:pPr>
        <w:spacing w:after="0" w:line="200" w:lineRule="exact"/>
        <w:rPr>
          <w:sz w:val="20"/>
          <w:szCs w:val="20"/>
          <w:color w:val="auto"/>
        </w:rPr>
      </w:pPr>
    </w:p>
    <w:p>
      <w:pPr>
        <w:spacing w:after="0" w:line="210" w:lineRule="exact"/>
        <w:rPr>
          <w:sz w:val="20"/>
          <w:szCs w:val="20"/>
          <w:color w:val="auto"/>
        </w:rPr>
      </w:pPr>
    </w:p>
    <w:p>
      <w:pPr>
        <w:jc w:val="center"/>
        <w:ind w:right="320"/>
        <w:spacing w:after="0"/>
        <w:tabs>
          <w:tab w:leader="none" w:pos="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A. Horst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-17780</wp:posOffset>
            </wp:positionV>
            <wp:extent cx="1041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1400" cy="8890"/>
                    </a:xfrm>
                    <a:prstGeom prst="rect">
                      <a:avLst/>
                    </a:prstGeom>
                    <a:noFill/>
                  </pic:spPr>
                </pic:pic>
              </a:graphicData>
            </a:graphic>
          </wp:anchor>
        </w:drawing>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John A. Horst</w:t>
      </w:r>
    </w:p>
    <w:p>
      <w:pPr>
        <w:spacing w:after="0" w:line="8" w:lineRule="exact"/>
        <w:rPr>
          <w:sz w:val="20"/>
          <w:szCs w:val="20"/>
          <w:color w:val="auto"/>
        </w:rPr>
      </w:pPr>
    </w:p>
    <w:p>
      <w:pPr>
        <w:ind w:left="3340"/>
        <w:spacing w:after="0"/>
        <w:tabs>
          <w:tab w:leader="none" w:pos="4060" w:val="left"/>
        </w:tabs>
        <w:rPr>
          <w:sz w:val="20"/>
          <w:szCs w:val="20"/>
          <w:color w:val="auto"/>
        </w:rPr>
      </w:pPr>
      <w:r>
        <w:rPr>
          <w:rFonts w:ascii="Arial" w:cs="Arial" w:eastAsia="Arial" w:hAnsi="Arial"/>
          <w:sz w:val="22"/>
          <w:szCs w:val="22"/>
          <w:color w:val="auto"/>
        </w:rPr>
        <w:t>Title:</w:t>
        <w:tab/>
        <w:t>Credit Executive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20"/>
          </w:cols>
          <w:pgMar w:left="1440" w:top="111" w:right="1439" w:bottom="1440" w:gutter="0" w:footer="0" w:header="0"/>
        </w:sectPr>
      </w:pPr>
    </w:p>
    <w:bookmarkStart w:id="32" w:name="page33"/>
    <w:bookmarkEnd w:id="32"/>
    <w:p>
      <w:pPr>
        <w:ind w:left="3340"/>
        <w:spacing w:after="0"/>
        <w:rPr>
          <w:sz w:val="20"/>
          <w:szCs w:val="20"/>
          <w:color w:val="auto"/>
        </w:rPr>
      </w:pPr>
      <w:r>
        <w:rPr>
          <w:rFonts w:ascii="Arial" w:cs="Arial" w:eastAsia="Arial" w:hAnsi="Arial"/>
          <w:sz w:val="19"/>
          <w:szCs w:val="19"/>
          <w:b w:val="1"/>
          <w:bCs w:val="1"/>
          <w:color w:val="auto"/>
        </w:rPr>
        <w:t xml:space="preserve">CITIBANK, N.A., </w:t>
      </w:r>
      <w:r>
        <w:rPr>
          <w:rFonts w:ascii="Arial" w:cs="Arial" w:eastAsia="Arial" w:hAnsi="Arial"/>
          <w:sz w:val="19"/>
          <w:szCs w:val="19"/>
          <w:color w:val="auto"/>
        </w:rPr>
        <w:t>as a Revolving Lender and</w:t>
      </w:r>
    </w:p>
    <w:p>
      <w:pPr>
        <w:spacing w:after="0" w:line="4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 Domestic Term Loan Lender</w:t>
      </w:r>
    </w:p>
    <w:p>
      <w:pPr>
        <w:spacing w:after="0" w:line="200" w:lineRule="exact"/>
        <w:rPr>
          <w:sz w:val="20"/>
          <w:szCs w:val="20"/>
          <w:color w:val="auto"/>
        </w:rPr>
      </w:pPr>
    </w:p>
    <w:p>
      <w:pPr>
        <w:spacing w:after="0" w:line="231" w:lineRule="exact"/>
        <w:rPr>
          <w:sz w:val="20"/>
          <w:szCs w:val="20"/>
          <w:color w:val="auto"/>
        </w:rPr>
      </w:pPr>
    </w:p>
    <w:p>
      <w:pPr>
        <w:ind w:left="3340"/>
        <w:spacing w:after="0"/>
        <w:tabs>
          <w:tab w:leader="none" w:pos="3900" w:val="left"/>
        </w:tabs>
        <w:rPr>
          <w:sz w:val="20"/>
          <w:szCs w:val="20"/>
          <w:color w:val="auto"/>
        </w:rPr>
      </w:pPr>
      <w:r>
        <w:rPr>
          <w:rFonts w:ascii="Arial" w:cs="Arial" w:eastAsia="Arial" w:hAnsi="Arial"/>
          <w:sz w:val="22"/>
          <w:szCs w:val="22"/>
          <w:color w:val="auto"/>
        </w:rPr>
        <w:t>By:</w:t>
        <w:tab/>
        <w:t>/s/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-17780</wp:posOffset>
            </wp:positionV>
            <wp:extent cx="10299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9970" cy="8890"/>
                    </a:xfrm>
                    <a:prstGeom prst="rect">
                      <a:avLst/>
                    </a:prstGeom>
                    <a:noFill/>
                  </pic:spPr>
                </pic:pic>
              </a:graphicData>
            </a:graphic>
          </wp:anchor>
        </w:drawing>
      </w:r>
    </w:p>
    <w:p>
      <w:pPr>
        <w:ind w:left="3340"/>
        <w:spacing w:after="0" w:line="238" w:lineRule="auto"/>
        <w:rPr>
          <w:sz w:val="20"/>
          <w:szCs w:val="20"/>
          <w:color w:val="auto"/>
        </w:rPr>
      </w:pPr>
      <w:r>
        <w:rPr>
          <w:rFonts w:ascii="Arial" w:cs="Arial" w:eastAsia="Arial" w:hAnsi="Arial"/>
          <w:sz w:val="22"/>
          <w:szCs w:val="22"/>
          <w:color w:val="auto"/>
        </w:rPr>
        <w:t>Name:  Millie Schild</w:t>
      </w:r>
    </w:p>
    <w:p>
      <w:pPr>
        <w:ind w:left="3340"/>
        <w:spacing w:after="0"/>
        <w:tabs>
          <w:tab w:leader="none" w:pos="4060" w:val="left"/>
        </w:tabs>
        <w:rPr>
          <w:sz w:val="20"/>
          <w:szCs w:val="20"/>
          <w:color w:val="auto"/>
        </w:rPr>
      </w:pPr>
      <w:r>
        <w:rPr>
          <w:rFonts w:ascii="Arial" w:cs="Arial" w:eastAsia="Arial" w:hAnsi="Arial"/>
          <w:sz w:val="22"/>
          <w:szCs w:val="22"/>
          <w:color w:val="auto"/>
        </w:rPr>
        <w:t>Title:</w:t>
        <w:tab/>
        <w:t>Director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ind w:left="3340"/>
        <w:spacing w:after="0" w:line="257" w:lineRule="auto"/>
        <w:rPr>
          <w:sz w:val="20"/>
          <w:szCs w:val="20"/>
          <w:color w:val="auto"/>
        </w:rPr>
      </w:pPr>
      <w:r>
        <w:rPr>
          <w:rFonts w:ascii="Arial" w:cs="Arial" w:eastAsia="Arial" w:hAnsi="Arial"/>
          <w:sz w:val="22"/>
          <w:szCs w:val="22"/>
          <w:b w:val="1"/>
          <w:bCs w:val="1"/>
          <w:color w:val="auto"/>
        </w:rPr>
        <w:t xml:space="preserve">CITIBANK, N.A. SINGAPORE BRANCH, </w:t>
      </w:r>
      <w:r>
        <w:rPr>
          <w:rFonts w:ascii="Arial" w:cs="Arial" w:eastAsia="Arial" w:hAnsi="Arial"/>
          <w:sz w:val="22"/>
          <w:szCs w:val="22"/>
          <w:color w:val="auto"/>
        </w:rPr>
        <w:t>as a Singapore Term</w:t>
      </w:r>
      <w:r>
        <w:rPr>
          <w:rFonts w:ascii="Arial" w:cs="Arial" w:eastAsia="Arial" w:hAnsi="Arial"/>
          <w:sz w:val="22"/>
          <w:szCs w:val="22"/>
          <w:b w:val="1"/>
          <w:bCs w:val="1"/>
          <w:color w:val="auto"/>
        </w:rPr>
        <w:t xml:space="preserve"> </w:t>
      </w:r>
      <w:r>
        <w:rPr>
          <w:rFonts w:ascii="Arial" w:cs="Arial" w:eastAsia="Arial" w:hAnsi="Arial"/>
          <w:sz w:val="22"/>
          <w:szCs w:val="22"/>
          <w:color w:val="auto"/>
        </w:rPr>
        <w:t>Loan Lender</w:t>
      </w:r>
    </w:p>
    <w:p>
      <w:pPr>
        <w:spacing w:after="0" w:line="200" w:lineRule="exact"/>
        <w:rPr>
          <w:sz w:val="20"/>
          <w:szCs w:val="20"/>
          <w:color w:val="auto"/>
        </w:rPr>
      </w:pPr>
    </w:p>
    <w:p>
      <w:pPr>
        <w:spacing w:after="0" w:line="345" w:lineRule="exact"/>
        <w:rPr>
          <w:sz w:val="20"/>
          <w:szCs w:val="20"/>
          <w:color w:val="auto"/>
        </w:rPr>
      </w:pPr>
    </w:p>
    <w:p>
      <w:pPr>
        <w:ind w:left="3340"/>
        <w:spacing w:after="0"/>
        <w:tabs>
          <w:tab w:leader="none" w:pos="3900" w:val="left"/>
        </w:tabs>
        <w:rPr>
          <w:sz w:val="20"/>
          <w:szCs w:val="20"/>
          <w:color w:val="auto"/>
        </w:rPr>
      </w:pPr>
      <w:r>
        <w:rPr>
          <w:rFonts w:ascii="Arial" w:cs="Arial" w:eastAsia="Arial" w:hAnsi="Arial"/>
          <w:sz w:val="22"/>
          <w:szCs w:val="22"/>
          <w:color w:val="auto"/>
        </w:rPr>
        <w:t>By:</w:t>
        <w:tab/>
        <w:t>/s/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-17780</wp:posOffset>
            </wp:positionV>
            <wp:extent cx="10299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9970" cy="8890"/>
                    </a:xfrm>
                    <a:prstGeom prst="rect">
                      <a:avLst/>
                    </a:prstGeom>
                    <a:noFill/>
                  </pic:spPr>
                </pic:pic>
              </a:graphicData>
            </a:graphic>
          </wp:anchor>
        </w:drawing>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Millie Schild</w:t>
      </w:r>
    </w:p>
    <w:p>
      <w:pPr>
        <w:spacing w:after="0" w:line="8" w:lineRule="exact"/>
        <w:rPr>
          <w:sz w:val="20"/>
          <w:szCs w:val="20"/>
          <w:color w:val="auto"/>
        </w:rPr>
      </w:pPr>
    </w:p>
    <w:p>
      <w:pPr>
        <w:ind w:left="3340"/>
        <w:spacing w:after="0"/>
        <w:tabs>
          <w:tab w:leader="none" w:pos="4060" w:val="left"/>
        </w:tabs>
        <w:rPr>
          <w:sz w:val="20"/>
          <w:szCs w:val="20"/>
          <w:color w:val="auto"/>
        </w:rPr>
      </w:pPr>
      <w:r>
        <w:rPr>
          <w:rFonts w:ascii="Arial" w:cs="Arial" w:eastAsia="Arial" w:hAnsi="Arial"/>
          <w:sz w:val="22"/>
          <w:szCs w:val="2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180"/>
          </w:cols>
          <w:pgMar w:left="1440" w:top="111" w:right="1279" w:bottom="1440" w:gutter="0" w:footer="0" w:header="0"/>
        </w:sectPr>
      </w:pPr>
    </w:p>
    <w:bookmarkStart w:id="34" w:name="page35"/>
    <w:bookmarkEnd w:id="34"/>
    <w:p>
      <w:pPr>
        <w:ind w:left="3340"/>
        <w:spacing w:after="0" w:line="257" w:lineRule="auto"/>
        <w:rPr>
          <w:sz w:val="20"/>
          <w:szCs w:val="20"/>
          <w:color w:val="auto"/>
        </w:rPr>
      </w:pPr>
      <w:r>
        <w:rPr>
          <w:rFonts w:ascii="Arial" w:cs="Arial" w:eastAsia="Arial" w:hAnsi="Arial"/>
          <w:sz w:val="22"/>
          <w:szCs w:val="22"/>
          <w:b w:val="1"/>
          <w:bCs w:val="1"/>
          <w:color w:val="auto"/>
        </w:rPr>
        <w:t xml:space="preserve">BRANCH BANKING AND TRUST COMPANY, </w:t>
      </w:r>
      <w:r>
        <w:rPr>
          <w:rFonts w:ascii="Arial" w:cs="Arial" w:eastAsia="Arial" w:hAnsi="Arial"/>
          <w:sz w:val="22"/>
          <w:szCs w:val="22"/>
          <w:color w:val="auto"/>
        </w:rPr>
        <w:t>as a Revolving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 and Domestic Term Loan Lender</w:t>
      </w:r>
    </w:p>
    <w:p>
      <w:pPr>
        <w:spacing w:after="0" w:line="200" w:lineRule="exact"/>
        <w:rPr>
          <w:sz w:val="20"/>
          <w:szCs w:val="20"/>
          <w:color w:val="auto"/>
        </w:rPr>
      </w:pPr>
    </w:p>
    <w:p>
      <w:pPr>
        <w:spacing w:after="0" w:line="210" w:lineRule="exact"/>
        <w:rPr>
          <w:sz w:val="20"/>
          <w:szCs w:val="20"/>
          <w:color w:val="auto"/>
        </w:rPr>
      </w:pPr>
    </w:p>
    <w:p>
      <w:pPr>
        <w:ind w:left="3340"/>
        <w:spacing w:after="0"/>
        <w:tabs>
          <w:tab w:leader="none" w:pos="3900" w:val="left"/>
        </w:tabs>
        <w:rPr>
          <w:sz w:val="20"/>
          <w:szCs w:val="20"/>
          <w:color w:val="auto"/>
        </w:rPr>
      </w:pPr>
      <w:r>
        <w:rPr>
          <w:rFonts w:ascii="Arial" w:cs="Arial" w:eastAsia="Arial" w:hAnsi="Arial"/>
          <w:sz w:val="22"/>
          <w:szCs w:val="22"/>
          <w:color w:val="auto"/>
        </w:rPr>
        <w:t>By:</w:t>
        <w:tab/>
        <w:t>/s/ Brent Walser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-17780</wp:posOffset>
            </wp:positionV>
            <wp:extent cx="1035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ind w:left="3340"/>
        <w:spacing w:after="0" w:line="238" w:lineRule="auto"/>
        <w:rPr>
          <w:sz w:val="20"/>
          <w:szCs w:val="20"/>
          <w:color w:val="auto"/>
        </w:rPr>
      </w:pPr>
      <w:r>
        <w:rPr>
          <w:rFonts w:ascii="Arial" w:cs="Arial" w:eastAsia="Arial" w:hAnsi="Arial"/>
          <w:sz w:val="22"/>
          <w:szCs w:val="22"/>
          <w:color w:val="auto"/>
        </w:rPr>
        <w:t>Name:  Brent Walser</w:t>
      </w: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0" w:lineRule="exact"/>
        <w:rPr>
          <w:sz w:val="20"/>
          <w:szCs w:val="20"/>
          <w:color w:val="auto"/>
        </w:rPr>
      </w:pP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200"/>
          </w:cols>
          <w:pgMar w:left="1440" w:top="112" w:right="1259" w:bottom="1440" w:gutter="0" w:footer="0" w:header="0"/>
        </w:sectPr>
      </w:pPr>
    </w:p>
    <w:bookmarkStart w:id="35" w:name="page36"/>
    <w:bookmarkEnd w:id="35"/>
    <w:p>
      <w:pPr>
        <w:ind w:left="3340"/>
        <w:spacing w:after="0"/>
        <w:rPr>
          <w:sz w:val="20"/>
          <w:szCs w:val="20"/>
          <w:color w:val="auto"/>
        </w:rPr>
      </w:pPr>
      <w:r>
        <w:rPr>
          <w:rFonts w:ascii="Arial" w:cs="Arial" w:eastAsia="Arial" w:hAnsi="Arial"/>
          <w:sz w:val="22"/>
          <w:szCs w:val="22"/>
          <w:b w:val="1"/>
          <w:bCs w:val="1"/>
          <w:color w:val="auto"/>
        </w:rPr>
        <w:t xml:space="preserve">STANDARD CHARTERED BANK, </w:t>
      </w:r>
      <w:r>
        <w:rPr>
          <w:rFonts w:ascii="Arial" w:cs="Arial" w:eastAsia="Arial" w:hAnsi="Arial"/>
          <w:sz w:val="22"/>
          <w:szCs w:val="22"/>
          <w:color w:val="auto"/>
        </w:rPr>
        <w:t>as a Revolving Lender</w:t>
      </w:r>
    </w:p>
    <w:p>
      <w:pPr>
        <w:spacing w:after="0" w:line="200" w:lineRule="exact"/>
        <w:rPr>
          <w:sz w:val="20"/>
          <w:szCs w:val="20"/>
          <w:color w:val="auto"/>
        </w:rPr>
      </w:pPr>
    </w:p>
    <w:p>
      <w:pPr>
        <w:spacing w:after="0" w:line="227"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4240" w:type="dxa"/>
            <w:vAlign w:val="bottom"/>
            <w:gridSpan w:val="5"/>
          </w:tcPr>
          <w:p>
            <w:pPr>
              <w:spacing w:after="0"/>
              <w:rPr>
                <w:sz w:val="20"/>
                <w:szCs w:val="20"/>
                <w:color w:val="auto"/>
              </w:rPr>
            </w:pPr>
            <w:r>
              <w:rPr>
                <w:rFonts w:ascii="Arial" w:cs="Arial" w:eastAsia="Arial" w:hAnsi="Arial"/>
                <w:sz w:val="22"/>
                <w:szCs w:val="22"/>
                <w:color w:val="auto"/>
              </w:rPr>
              <w:t>By:  /s/ Steven Aloupis</w:t>
            </w: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5"/>
        </w:trPr>
        <w:tc>
          <w:tcPr>
            <w:tcW w:w="580" w:type="dxa"/>
            <w:vAlign w:val="bottom"/>
            <w:gridSpan w:val="2"/>
          </w:tcPr>
          <w:p>
            <w:pPr>
              <w:spacing w:after="0"/>
              <w:rPr>
                <w:sz w:val="20"/>
                <w:szCs w:val="20"/>
                <w:color w:val="auto"/>
              </w:rPr>
            </w:pPr>
            <w:r>
              <w:rPr>
                <w:rFonts w:ascii="Arial" w:cs="Arial" w:eastAsia="Arial" w:hAnsi="Arial"/>
                <w:sz w:val="22"/>
                <w:szCs w:val="22"/>
                <w:color w:val="auto"/>
                <w:w w:val="86"/>
              </w:rPr>
              <w:t>Name:</w:t>
            </w:r>
          </w:p>
        </w:tc>
        <w:tc>
          <w:tcPr>
            <w:tcW w:w="3660" w:type="dxa"/>
            <w:vAlign w:val="bottom"/>
            <w:gridSpan w:val="3"/>
          </w:tcPr>
          <w:p>
            <w:pPr>
              <w:ind w:left="160"/>
              <w:spacing w:after="0"/>
              <w:rPr>
                <w:sz w:val="20"/>
                <w:szCs w:val="20"/>
                <w:color w:val="auto"/>
              </w:rPr>
            </w:pPr>
            <w:r>
              <w:rPr>
                <w:rFonts w:ascii="Arial" w:cs="Arial" w:eastAsia="Arial" w:hAnsi="Arial"/>
                <w:sz w:val="22"/>
                <w:szCs w:val="22"/>
                <w:color w:val="auto"/>
              </w:rPr>
              <w:t>Steven Aloupis A2388</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58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Managing Director</w:t>
            </w: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5"/>
        </w:trPr>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22"/>
                <w:szCs w:val="22"/>
                <w:color w:val="auto"/>
              </w:rPr>
              <w:t>Capital Markets</w:t>
            </w:r>
          </w:p>
        </w:tc>
        <w:tc>
          <w:tcPr>
            <w:tcW w:w="13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652"/>
        </w:trPr>
        <w:tc>
          <w:tcPr>
            <w:tcW w:w="580" w:type="dxa"/>
            <w:vAlign w:val="bottom"/>
            <w:gridSpan w:val="2"/>
          </w:tcPr>
          <w:p>
            <w:pPr>
              <w:spacing w:after="0"/>
              <w:rPr>
                <w:sz w:val="20"/>
                <w:szCs w:val="20"/>
                <w:color w:val="auto"/>
              </w:rPr>
            </w:pPr>
            <w:r>
              <w:rPr>
                <w:rFonts w:ascii="Arial" w:cs="Arial" w:eastAsia="Arial" w:hAnsi="Arial"/>
                <w:sz w:val="22"/>
                <w:szCs w:val="22"/>
                <w:color w:val="auto"/>
              </w:rPr>
              <w:t>By:</w:t>
            </w:r>
          </w:p>
        </w:tc>
        <w:tc>
          <w:tcPr>
            <w:tcW w:w="5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500"/>
              <w:spacing w:after="0"/>
              <w:rPr>
                <w:sz w:val="20"/>
                <w:szCs w:val="20"/>
                <w:color w:val="auto"/>
              </w:rPr>
            </w:pPr>
            <w:r>
              <w:rPr>
                <w:rFonts w:ascii="Arial" w:cs="Arial" w:eastAsia="Arial" w:hAnsi="Arial"/>
                <w:sz w:val="22"/>
                <w:szCs w:val="22"/>
                <w:color w:val="auto"/>
              </w:rPr>
              <w:t>/s/</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rPr>
              <w:t>Hsing</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w w:val="90"/>
              </w:rPr>
              <w:t>H.</w:t>
            </w:r>
          </w:p>
        </w:tc>
      </w:tr>
      <w:tr>
        <w:trPr>
          <w:trHeight w:val="223"/>
        </w:trPr>
        <w:tc>
          <w:tcPr>
            <w:tcW w:w="58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6"/>
              </w:rPr>
              <w:t>Huang</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2"/>
        </w:trPr>
        <w:tc>
          <w:tcPr>
            <w:tcW w:w="4240" w:type="dxa"/>
            <w:vAlign w:val="bottom"/>
            <w:gridSpan w:val="5"/>
          </w:tcPr>
          <w:p>
            <w:pPr>
              <w:spacing w:after="0" w:line="242" w:lineRule="exact"/>
              <w:rPr>
                <w:sz w:val="20"/>
                <w:szCs w:val="20"/>
                <w:color w:val="auto"/>
              </w:rPr>
            </w:pPr>
            <w:r>
              <w:rPr>
                <w:rFonts w:ascii="Arial" w:cs="Arial" w:eastAsia="Arial" w:hAnsi="Arial"/>
                <w:sz w:val="22"/>
                <w:szCs w:val="22"/>
                <w:color w:val="auto"/>
              </w:rPr>
              <w:t>Name:  Hsing H. Huang</w:t>
            </w: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58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Associate Director</w:t>
            </w: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5"/>
        </w:trPr>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22"/>
                <w:szCs w:val="22"/>
                <w:color w:val="auto"/>
              </w:rPr>
              <w:t>Standard Chartered Bank NY</w:t>
            </w:r>
          </w:p>
        </w:tc>
        <w:tc>
          <w:tcPr>
            <w:tcW w:w="136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1" w:right="879" w:bottom="1440" w:gutter="0" w:footer="0" w:header="0"/>
        </w:sectPr>
      </w:pPr>
    </w:p>
    <w:bookmarkStart w:id="36" w:name="page37"/>
    <w:bookmarkEnd w:id="36"/>
    <w:p>
      <w:pPr>
        <w:ind w:left="3340"/>
        <w:spacing w:after="0"/>
        <w:rPr>
          <w:sz w:val="20"/>
          <w:szCs w:val="20"/>
          <w:color w:val="auto"/>
        </w:rPr>
      </w:pPr>
      <w:r>
        <w:rPr>
          <w:rFonts w:ascii="Arial" w:cs="Arial" w:eastAsia="Arial" w:hAnsi="Arial"/>
          <w:sz w:val="22"/>
          <w:szCs w:val="22"/>
          <w:b w:val="1"/>
          <w:bCs w:val="1"/>
          <w:color w:val="auto"/>
        </w:rPr>
        <w:t xml:space="preserve">COMERICA BANK, </w:t>
      </w:r>
      <w:r>
        <w:rPr>
          <w:rFonts w:ascii="Arial" w:cs="Arial" w:eastAsia="Arial" w:hAnsi="Arial"/>
          <w:sz w:val="22"/>
          <w:szCs w:val="22"/>
          <w:color w:val="auto"/>
        </w:rPr>
        <w:t>as a Revolving Lender|</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and Domestic Term Loan Lender</w:t>
      </w:r>
    </w:p>
    <w:p>
      <w:pPr>
        <w:spacing w:after="0" w:line="200" w:lineRule="exact"/>
        <w:rPr>
          <w:sz w:val="20"/>
          <w:szCs w:val="20"/>
          <w:color w:val="auto"/>
        </w:rPr>
      </w:pPr>
    </w:p>
    <w:p>
      <w:pPr>
        <w:spacing w:after="0" w:line="202"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300" w:type="dxa"/>
            <w:vAlign w:val="bottom"/>
          </w:tcPr>
          <w:p>
            <w:pPr>
              <w:spacing w:after="0"/>
              <w:rPr>
                <w:sz w:val="21"/>
                <w:szCs w:val="21"/>
                <w:color w:val="auto"/>
              </w:rPr>
            </w:pPr>
          </w:p>
        </w:tc>
        <w:tc>
          <w:tcPr>
            <w:tcW w:w="2360" w:type="dxa"/>
            <w:vAlign w:val="bottom"/>
            <w:tcBorders>
              <w:bottom w:val="single" w:sz="8" w:color="auto"/>
            </w:tcBorders>
          </w:tcPr>
          <w:p>
            <w:pPr>
              <w:ind w:left="1840"/>
              <w:spacing w:after="0"/>
              <w:rPr>
                <w:sz w:val="20"/>
                <w:szCs w:val="20"/>
                <w:color w:val="auto"/>
              </w:rPr>
            </w:pPr>
            <w:r>
              <w:rPr>
                <w:rFonts w:ascii="Arial" w:cs="Arial" w:eastAsia="Arial" w:hAnsi="Arial"/>
                <w:sz w:val="22"/>
                <w:szCs w:val="22"/>
                <w:color w:val="auto"/>
              </w:rPr>
              <w:t>/s/</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Gerald</w:t>
            </w: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R.</w:t>
            </w: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w w:val="85"/>
              </w:rPr>
              <w:t>Finney,</w:t>
            </w:r>
          </w:p>
        </w:tc>
        <w:tc>
          <w:tcPr>
            <w:tcW w:w="0" w:type="dxa"/>
            <w:vAlign w:val="bottom"/>
          </w:tcPr>
          <w:p>
            <w:pPr>
              <w:spacing w:after="0"/>
              <w:rPr>
                <w:sz w:val="1"/>
                <w:szCs w:val="1"/>
                <w:color w:val="auto"/>
              </w:rPr>
            </w:pPr>
          </w:p>
        </w:tc>
      </w:tr>
      <w:tr>
        <w:trPr>
          <w:trHeight w:val="223"/>
        </w:trPr>
        <w:tc>
          <w:tcPr>
            <w:tcW w:w="620" w:type="dxa"/>
            <w:vAlign w:val="bottom"/>
            <w:gridSpan w:val="2"/>
          </w:tcPr>
          <w:p>
            <w:pPr>
              <w:spacing w:after="0" w:line="223" w:lineRule="exact"/>
              <w:rPr>
                <w:sz w:val="20"/>
                <w:szCs w:val="20"/>
                <w:color w:val="auto"/>
              </w:rPr>
            </w:pPr>
            <w:r>
              <w:rPr>
                <w:rFonts w:ascii="Arial" w:cs="Arial" w:eastAsia="Arial" w:hAnsi="Arial"/>
                <w:sz w:val="22"/>
                <w:szCs w:val="22"/>
                <w:color w:val="auto"/>
              </w:rPr>
              <w:t>Jr.</w:t>
            </w:r>
          </w:p>
        </w:tc>
        <w:tc>
          <w:tcPr>
            <w:tcW w:w="2660" w:type="dxa"/>
            <w:vAlign w:val="bottom"/>
            <w:gridSpan w:val="2"/>
            <w:vMerge w:val="restart"/>
          </w:tcPr>
          <w:p>
            <w:pPr>
              <w:ind w:left="120"/>
              <w:spacing w:after="0"/>
              <w:rPr>
                <w:sz w:val="20"/>
                <w:szCs w:val="20"/>
                <w:color w:val="auto"/>
              </w:rPr>
            </w:pPr>
            <w:r>
              <w:rPr>
                <w:rFonts w:ascii="Arial" w:cs="Arial" w:eastAsia="Arial" w:hAnsi="Arial"/>
                <w:sz w:val="22"/>
                <w:szCs w:val="22"/>
                <w:color w:val="auto"/>
              </w:rPr>
              <w:t>Gerald R. Finney, Jr.</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60" w:type="dxa"/>
            <w:vAlign w:val="bottom"/>
            <w:gridSpan w:val="2"/>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0" w:type="dxa"/>
            <w:vAlign w:val="bottom"/>
            <w:gridSpan w:val="2"/>
          </w:tcPr>
          <w:p>
            <w:pPr>
              <w:spacing w:after="0" w:line="242" w:lineRule="exact"/>
              <w:rPr>
                <w:sz w:val="20"/>
                <w:szCs w:val="20"/>
                <w:color w:val="auto"/>
              </w:rPr>
            </w:pPr>
            <w:r>
              <w:rPr>
                <w:rFonts w:ascii="Arial" w:cs="Arial" w:eastAsia="Arial" w:hAnsi="Arial"/>
                <w:sz w:val="22"/>
                <w:szCs w:val="22"/>
                <w:color w:val="auto"/>
              </w:rPr>
              <w:t>Name</w:t>
            </w:r>
          </w:p>
        </w:tc>
        <w:tc>
          <w:tcPr>
            <w:tcW w:w="2660" w:type="dxa"/>
            <w:vAlign w:val="bottom"/>
            <w:gridSpan w:val="2"/>
            <w:vMerge w:val="continue"/>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660" w:type="dxa"/>
            <w:vAlign w:val="bottom"/>
            <w:gridSpan w:val="2"/>
          </w:tcPr>
          <w:p>
            <w:pPr>
              <w:ind w:left="120"/>
              <w:spacing w:after="0"/>
              <w:rPr>
                <w:sz w:val="20"/>
                <w:szCs w:val="20"/>
                <w:color w:val="auto"/>
              </w:rPr>
            </w:pPr>
            <w:r>
              <w:rPr>
                <w:rFonts w:ascii="Arial" w:cs="Arial" w:eastAsia="Arial" w:hAnsi="Arial"/>
                <w:sz w:val="22"/>
                <w:szCs w:val="22"/>
                <w:color w:val="auto"/>
              </w:rPr>
              <w:t>Vice President</w:t>
            </w: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37" w:name="page38"/>
    <w:bookmarkEnd w:id="37"/>
    <w:p>
      <w:pPr>
        <w:ind w:left="3340" w:right="940"/>
        <w:spacing w:after="0" w:line="257" w:lineRule="auto"/>
        <w:rPr>
          <w:sz w:val="20"/>
          <w:szCs w:val="20"/>
          <w:color w:val="auto"/>
        </w:rPr>
      </w:pPr>
      <w:r>
        <w:rPr>
          <w:rFonts w:ascii="Arial" w:cs="Arial" w:eastAsia="Arial" w:hAnsi="Arial"/>
          <w:sz w:val="22"/>
          <w:szCs w:val="22"/>
          <w:b w:val="1"/>
          <w:bCs w:val="1"/>
          <w:color w:val="auto"/>
        </w:rPr>
        <w:t xml:space="preserve">SUMITOMO MITSUI BANKING CORPORATION, </w:t>
      </w:r>
      <w:r>
        <w:rPr>
          <w:rFonts w:ascii="Arial" w:cs="Arial" w:eastAsia="Arial" w:hAnsi="Arial"/>
          <w:sz w:val="22"/>
          <w:szCs w:val="22"/>
          <w:color w:val="auto"/>
        </w:rPr>
        <w:t>as a</w:t>
      </w:r>
      <w:r>
        <w:rPr>
          <w:rFonts w:ascii="Arial" w:cs="Arial" w:eastAsia="Arial" w:hAnsi="Arial"/>
          <w:sz w:val="22"/>
          <w:szCs w:val="22"/>
          <w:b w:val="1"/>
          <w:bCs w:val="1"/>
          <w:color w:val="auto"/>
        </w:rPr>
        <w:t xml:space="preserve"> </w:t>
      </w:r>
      <w:r>
        <w:rPr>
          <w:rFonts w:ascii="Arial" w:cs="Arial" w:eastAsia="Arial" w:hAnsi="Arial"/>
          <w:sz w:val="22"/>
          <w:szCs w:val="22"/>
          <w:color w:val="auto"/>
        </w:rPr>
        <w:t>Revolving Lender and Domestic Term Loan Lender</w:t>
      </w:r>
    </w:p>
    <w:p>
      <w:pPr>
        <w:spacing w:after="0" w:line="381"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00" w:type="dxa"/>
            <w:vAlign w:val="bottom"/>
            <w:gridSpan w:val="2"/>
          </w:tcPr>
          <w:p>
            <w:pPr>
              <w:spacing w:after="0"/>
              <w:rPr>
                <w:sz w:val="20"/>
                <w:szCs w:val="20"/>
                <w:color w:val="auto"/>
              </w:rPr>
            </w:pPr>
            <w:r>
              <w:rPr>
                <w:rFonts w:ascii="Arial" w:cs="Arial" w:eastAsia="Arial" w:hAnsi="Arial"/>
                <w:sz w:val="22"/>
                <w:szCs w:val="22"/>
                <w:color w:val="auto"/>
              </w:rPr>
              <w:t>By:</w:t>
            </w:r>
          </w:p>
        </w:tc>
        <w:tc>
          <w:tcPr>
            <w:tcW w:w="540" w:type="dxa"/>
            <w:vAlign w:val="bottom"/>
          </w:tcPr>
          <w:p>
            <w:pPr>
              <w:spacing w:after="0"/>
              <w:rPr>
                <w:sz w:val="21"/>
                <w:szCs w:val="21"/>
                <w:color w:val="auto"/>
              </w:rPr>
            </w:pPr>
          </w:p>
        </w:tc>
        <w:tc>
          <w:tcPr>
            <w:tcW w:w="3080" w:type="dxa"/>
            <w:vAlign w:val="bottom"/>
            <w:tcBorders>
              <w:bottom w:val="single" w:sz="8" w:color="auto"/>
            </w:tcBorders>
          </w:tcPr>
          <w:p>
            <w:pPr>
              <w:ind w:left="2480"/>
              <w:spacing w:after="0"/>
              <w:rPr>
                <w:sz w:val="20"/>
                <w:szCs w:val="20"/>
                <w:color w:val="auto"/>
              </w:rPr>
            </w:pPr>
            <w:r>
              <w:rPr>
                <w:rFonts w:ascii="Arial" w:cs="Arial" w:eastAsia="Arial" w:hAnsi="Arial"/>
                <w:sz w:val="22"/>
                <w:szCs w:val="22"/>
                <w:color w:val="auto"/>
              </w:rPr>
              <w:t>/s/</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rPr>
              <w:t>David</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w w:val="81"/>
              </w:rPr>
              <w:t>W.</w:t>
            </w:r>
          </w:p>
        </w:tc>
      </w:tr>
      <w:tr>
        <w:trPr>
          <w:trHeight w:val="223"/>
        </w:trPr>
        <w:tc>
          <w:tcPr>
            <w:tcW w:w="3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Kee</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2"/>
        </w:trPr>
        <w:tc>
          <w:tcPr>
            <w:tcW w:w="4220" w:type="dxa"/>
            <w:vAlign w:val="bottom"/>
            <w:gridSpan w:val="4"/>
          </w:tcPr>
          <w:p>
            <w:pPr>
              <w:spacing w:after="0" w:line="242" w:lineRule="exact"/>
              <w:rPr>
                <w:sz w:val="20"/>
                <w:szCs w:val="20"/>
                <w:color w:val="auto"/>
              </w:rPr>
            </w:pPr>
            <w:r>
              <w:rPr>
                <w:rFonts w:ascii="Arial" w:cs="Arial" w:eastAsia="Arial" w:hAnsi="Arial"/>
                <w:sz w:val="22"/>
                <w:szCs w:val="22"/>
                <w:color w:val="auto"/>
              </w:rPr>
              <w:t>Name:  David W. Kee</w:t>
            </w: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5"/>
        </w:trPr>
        <w:tc>
          <w:tcPr>
            <w:tcW w:w="600" w:type="dxa"/>
            <w:vAlign w:val="bottom"/>
            <w:gridSpan w:val="2"/>
          </w:tcPr>
          <w:p>
            <w:pPr>
              <w:spacing w:after="0"/>
              <w:rPr>
                <w:sz w:val="20"/>
                <w:szCs w:val="20"/>
                <w:color w:val="auto"/>
              </w:rPr>
            </w:pPr>
            <w:r>
              <w:rPr>
                <w:rFonts w:ascii="Arial" w:cs="Arial" w:eastAsia="Arial" w:hAnsi="Arial"/>
                <w:sz w:val="22"/>
                <w:szCs w:val="22"/>
                <w:color w:val="auto"/>
              </w:rPr>
              <w:t>Title:</w:t>
            </w:r>
          </w:p>
        </w:tc>
        <w:tc>
          <w:tcPr>
            <w:tcW w:w="3620" w:type="dxa"/>
            <w:vAlign w:val="bottom"/>
            <w:gridSpan w:val="2"/>
          </w:tcPr>
          <w:p>
            <w:pPr>
              <w:ind w:left="140"/>
              <w:spacing w:after="0"/>
              <w:rPr>
                <w:sz w:val="20"/>
                <w:szCs w:val="20"/>
                <w:color w:val="auto"/>
              </w:rPr>
            </w:pPr>
            <w:r>
              <w:rPr>
                <w:rFonts w:ascii="Arial" w:cs="Arial" w:eastAsia="Arial" w:hAnsi="Arial"/>
                <w:sz w:val="22"/>
                <w:szCs w:val="22"/>
                <w:color w:val="auto"/>
              </w:rPr>
              <w:t>Managing Director</w:t>
            </w:r>
          </w:p>
        </w:tc>
        <w:tc>
          <w:tcPr>
            <w:tcW w:w="136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2" w:right="879" w:bottom="1440" w:gutter="0" w:footer="0" w:header="0"/>
        </w:sectPr>
      </w:pPr>
    </w:p>
    <w:bookmarkStart w:id="38" w:name="page39"/>
    <w:bookmarkEnd w:id="38"/>
    <w:p>
      <w:pPr>
        <w:jc w:val="right"/>
        <w:ind w:right="1279"/>
        <w:spacing w:after="0"/>
        <w:rPr>
          <w:sz w:val="20"/>
          <w:szCs w:val="20"/>
          <w:color w:val="auto"/>
        </w:rPr>
      </w:pPr>
      <w:r>
        <w:rPr>
          <w:rFonts w:ascii="Arial" w:cs="Arial" w:eastAsia="Arial" w:hAnsi="Arial"/>
          <w:sz w:val="22"/>
          <w:szCs w:val="22"/>
          <w:b w:val="1"/>
          <w:bCs w:val="1"/>
          <w:color w:val="auto"/>
        </w:rPr>
        <w:t xml:space="preserve">BARCLAYS BANK PLC, </w:t>
      </w:r>
      <w:r>
        <w:rPr>
          <w:rFonts w:ascii="Arial" w:cs="Arial" w:eastAsia="Arial" w:hAnsi="Arial"/>
          <w:sz w:val="22"/>
          <w:szCs w:val="22"/>
          <w:color w:val="auto"/>
        </w:rPr>
        <w:t>as a Revolving Lender</w:t>
      </w:r>
    </w:p>
    <w:p>
      <w:pPr>
        <w:spacing w:after="0" w:line="200" w:lineRule="exact"/>
        <w:rPr>
          <w:sz w:val="20"/>
          <w:szCs w:val="20"/>
          <w:color w:val="auto"/>
        </w:rPr>
      </w:pPr>
    </w:p>
    <w:p>
      <w:pPr>
        <w:spacing w:after="0" w:line="256" w:lineRule="exact"/>
        <w:rPr>
          <w:sz w:val="20"/>
          <w:szCs w:val="20"/>
          <w:color w:val="auto"/>
        </w:rPr>
      </w:pPr>
    </w:p>
    <w:p>
      <w:pPr>
        <w:ind w:left="33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Samuel Coward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-17780</wp:posOffset>
            </wp:positionV>
            <wp:extent cx="11474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Samuel Coward</w:t>
      </w:r>
    </w:p>
    <w:p>
      <w:pPr>
        <w:spacing w:after="0" w:line="8"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ind w:left="3340" w:right="540"/>
        <w:spacing w:after="0" w:line="257" w:lineRule="auto"/>
        <w:rPr>
          <w:sz w:val="20"/>
          <w:szCs w:val="20"/>
          <w:color w:val="auto"/>
        </w:rPr>
      </w:pPr>
      <w:r>
        <w:rPr>
          <w:rFonts w:ascii="Arial" w:cs="Arial" w:eastAsia="Arial" w:hAnsi="Arial"/>
          <w:sz w:val="22"/>
          <w:szCs w:val="22"/>
          <w:b w:val="1"/>
          <w:bCs w:val="1"/>
          <w:color w:val="auto"/>
        </w:rPr>
        <w:t xml:space="preserve">ISRAEL DISCOUNT BANK OF NEW YORK, </w:t>
      </w:r>
      <w:r>
        <w:rPr>
          <w:rFonts w:ascii="Arial" w:cs="Arial" w:eastAsia="Arial" w:hAnsi="Arial"/>
          <w:sz w:val="22"/>
          <w:szCs w:val="22"/>
          <w:color w:val="auto"/>
        </w:rPr>
        <w:t>as a Revolving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 and Domestic Term Loan Lender</w:t>
      </w: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Christopher Meade</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Christopher Meade</w:t>
      </w:r>
    </w:p>
    <w:p>
      <w:pPr>
        <w:spacing w:after="0" w:line="8"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2"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00" w:type="dxa"/>
            <w:vAlign w:val="bottom"/>
            <w:gridSpan w:val="2"/>
          </w:tcPr>
          <w:p>
            <w:pPr>
              <w:spacing w:after="0"/>
              <w:rPr>
                <w:sz w:val="20"/>
                <w:szCs w:val="20"/>
                <w:color w:val="auto"/>
              </w:rPr>
            </w:pPr>
            <w:r>
              <w:rPr>
                <w:rFonts w:ascii="Arial" w:cs="Arial" w:eastAsia="Arial" w:hAnsi="Arial"/>
                <w:sz w:val="22"/>
                <w:szCs w:val="22"/>
                <w:color w:val="auto"/>
              </w:rPr>
              <w:t>By:</w:t>
            </w:r>
          </w:p>
        </w:tc>
        <w:tc>
          <w:tcPr>
            <w:tcW w:w="680" w:type="dxa"/>
            <w:vAlign w:val="bottom"/>
          </w:tcPr>
          <w:p>
            <w:pPr>
              <w:spacing w:after="0"/>
              <w:rPr>
                <w:sz w:val="21"/>
                <w:szCs w:val="21"/>
                <w:color w:val="auto"/>
              </w:rPr>
            </w:pPr>
          </w:p>
        </w:tc>
        <w:tc>
          <w:tcPr>
            <w:tcW w:w="3560" w:type="dxa"/>
            <w:vAlign w:val="bottom"/>
          </w:tcPr>
          <w:p>
            <w:pPr>
              <w:ind w:left="2880"/>
              <w:spacing w:after="0"/>
              <w:rPr>
                <w:sz w:val="20"/>
                <w:szCs w:val="20"/>
                <w:color w:val="auto"/>
              </w:rPr>
            </w:pPr>
            <w:r>
              <w:rPr>
                <w:rFonts w:ascii="Arial" w:cs="Arial" w:eastAsia="Arial" w:hAnsi="Arial"/>
                <w:sz w:val="22"/>
                <w:szCs w:val="22"/>
                <w:color w:val="auto"/>
              </w:rPr>
              <w:t>/s/</w:t>
            </w:r>
          </w:p>
        </w:tc>
        <w:tc>
          <w:tcPr>
            <w:tcW w:w="1400" w:type="dxa"/>
            <w:vAlign w:val="bottom"/>
            <w:gridSpan w:val="2"/>
          </w:tcPr>
          <w:p>
            <w:pPr>
              <w:ind w:left="500"/>
              <w:spacing w:after="0"/>
              <w:rPr>
                <w:sz w:val="20"/>
                <w:szCs w:val="20"/>
                <w:color w:val="auto"/>
              </w:rPr>
            </w:pPr>
            <w:r>
              <w:rPr>
                <w:rFonts w:ascii="Arial" w:cs="Arial" w:eastAsia="Arial" w:hAnsi="Arial"/>
                <w:sz w:val="22"/>
                <w:szCs w:val="22"/>
                <w:color w:val="auto"/>
                <w:w w:val="88"/>
              </w:rPr>
              <w:t>Alexander</w:t>
            </w:r>
          </w:p>
        </w:tc>
      </w:tr>
      <w:tr>
        <w:trPr>
          <w:trHeight w:val="223"/>
        </w:trPr>
        <w:tc>
          <w:tcPr>
            <w:tcW w:w="3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99"/>
              </w:rPr>
              <w:t>Birr</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4840" w:type="dxa"/>
            <w:vAlign w:val="bottom"/>
            <w:gridSpan w:val="4"/>
          </w:tcPr>
          <w:p>
            <w:pPr>
              <w:spacing w:after="0" w:line="242" w:lineRule="exact"/>
              <w:rPr>
                <w:sz w:val="20"/>
                <w:szCs w:val="20"/>
                <w:color w:val="auto"/>
              </w:rPr>
            </w:pPr>
            <w:r>
              <w:rPr>
                <w:rFonts w:ascii="Arial" w:cs="Arial" w:eastAsia="Arial" w:hAnsi="Arial"/>
                <w:sz w:val="22"/>
                <w:szCs w:val="22"/>
                <w:color w:val="auto"/>
              </w:rPr>
              <w:t>Name:  Alexander Birr</w:t>
            </w: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600" w:type="dxa"/>
            <w:vAlign w:val="bottom"/>
            <w:gridSpan w:val="2"/>
          </w:tcPr>
          <w:p>
            <w:pPr>
              <w:spacing w:after="0"/>
              <w:rPr>
                <w:sz w:val="20"/>
                <w:szCs w:val="20"/>
                <w:color w:val="auto"/>
              </w:rPr>
            </w:pPr>
            <w:r>
              <w:rPr>
                <w:rFonts w:ascii="Arial" w:cs="Arial" w:eastAsia="Arial" w:hAnsi="Arial"/>
                <w:sz w:val="22"/>
                <w:szCs w:val="22"/>
                <w:color w:val="auto"/>
              </w:rPr>
              <w:t>Title:</w:t>
            </w:r>
          </w:p>
        </w:tc>
        <w:tc>
          <w:tcPr>
            <w:tcW w:w="4240" w:type="dxa"/>
            <w:vAlign w:val="bottom"/>
            <w:gridSpan w:val="2"/>
          </w:tcPr>
          <w:p>
            <w:pPr>
              <w:ind w:left="140"/>
              <w:spacing w:after="0"/>
              <w:rPr>
                <w:sz w:val="20"/>
                <w:szCs w:val="20"/>
                <w:color w:val="auto"/>
              </w:rPr>
            </w:pPr>
            <w:r>
              <w:rPr>
                <w:rFonts w:ascii="Arial" w:cs="Arial" w:eastAsia="Arial" w:hAnsi="Arial"/>
                <w:sz w:val="22"/>
                <w:szCs w:val="22"/>
                <w:color w:val="auto"/>
              </w:rPr>
              <w:t>Senior Vice President</w:t>
            </w: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2" w:right="879" w:bottom="1440" w:gutter="0" w:footer="0" w:header="0"/>
        </w:sectPr>
      </w:pPr>
    </w:p>
    <w:bookmarkStart w:id="40" w:name="page41"/>
    <w:bookmarkEnd w:id="40"/>
    <w:p>
      <w:pPr>
        <w:ind w:left="3340" w:right="320"/>
        <w:spacing w:after="0" w:line="257" w:lineRule="auto"/>
        <w:rPr>
          <w:sz w:val="20"/>
          <w:szCs w:val="20"/>
          <w:color w:val="auto"/>
        </w:rPr>
      </w:pPr>
      <w:r>
        <w:rPr>
          <w:rFonts w:ascii="Arial" w:cs="Arial" w:eastAsia="Arial" w:hAnsi="Arial"/>
          <w:sz w:val="22"/>
          <w:szCs w:val="22"/>
          <w:b w:val="1"/>
          <w:bCs w:val="1"/>
          <w:color w:val="auto"/>
        </w:rPr>
        <w:t xml:space="preserve">CITY NATIONAL BANK OF FLORIDA, </w:t>
      </w:r>
      <w:r>
        <w:rPr>
          <w:rFonts w:ascii="Arial" w:cs="Arial" w:eastAsia="Arial" w:hAnsi="Arial"/>
          <w:sz w:val="22"/>
          <w:szCs w:val="22"/>
          <w:color w:val="auto"/>
        </w:rPr>
        <w:t>as a Revolving Lender</w:t>
      </w:r>
      <w:r>
        <w:rPr>
          <w:rFonts w:ascii="Arial" w:cs="Arial" w:eastAsia="Arial" w:hAnsi="Arial"/>
          <w:sz w:val="22"/>
          <w:szCs w:val="22"/>
          <w:b w:val="1"/>
          <w:bCs w:val="1"/>
          <w:color w:val="auto"/>
        </w:rPr>
        <w:t xml:space="preserve"> </w:t>
      </w:r>
      <w:r>
        <w:rPr>
          <w:rFonts w:ascii="Arial" w:cs="Arial" w:eastAsia="Arial" w:hAnsi="Arial"/>
          <w:sz w:val="22"/>
          <w:szCs w:val="22"/>
          <w:color w:val="auto"/>
        </w:rPr>
        <w:t>and a Domestic Term Loan Lender</w:t>
      </w:r>
    </w:p>
    <w:p>
      <w:pPr>
        <w:spacing w:after="0" w:line="381"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40" w:type="dxa"/>
            <w:vAlign w:val="bottom"/>
            <w:tcBorders>
              <w:bottom w:val="single" w:sz="8" w:color="auto"/>
            </w:tcBorders>
          </w:tcPr>
          <w:p>
            <w:pPr>
              <w:ind w:left="2420"/>
              <w:spacing w:after="0"/>
              <w:rPr>
                <w:sz w:val="20"/>
                <w:szCs w:val="20"/>
                <w:color w:val="auto"/>
              </w:rPr>
            </w:pPr>
            <w:r>
              <w:rPr>
                <w:rFonts w:ascii="Arial" w:cs="Arial" w:eastAsia="Arial" w:hAnsi="Arial"/>
                <w:sz w:val="22"/>
                <w:szCs w:val="22"/>
                <w:color w:val="auto"/>
              </w:rPr>
              <w:t>/s/</w:t>
            </w:r>
          </w:p>
        </w:tc>
        <w:tc>
          <w:tcPr>
            <w:tcW w:w="15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Michael</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0"/>
              </w:rPr>
              <w:t>P.</w:t>
            </w:r>
          </w:p>
        </w:tc>
      </w:tr>
      <w:tr>
        <w:trPr>
          <w:trHeight w:val="223"/>
        </w:trPr>
        <w:tc>
          <w:tcPr>
            <w:tcW w:w="4160" w:type="dxa"/>
            <w:vAlign w:val="bottom"/>
            <w:gridSpan w:val="4"/>
          </w:tcPr>
          <w:p>
            <w:pPr>
              <w:spacing w:after="0" w:line="223" w:lineRule="exact"/>
              <w:rPr>
                <w:sz w:val="20"/>
                <w:szCs w:val="20"/>
                <w:color w:val="auto"/>
              </w:rPr>
            </w:pPr>
            <w:r>
              <w:rPr>
                <w:rFonts w:ascii="Arial" w:cs="Arial" w:eastAsia="Arial" w:hAnsi="Arial"/>
                <w:sz w:val="22"/>
                <w:szCs w:val="22"/>
                <w:color w:val="auto"/>
              </w:rPr>
              <w:t>McCormack</w:t>
            </w: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2"/>
        </w:trPr>
        <w:tc>
          <w:tcPr>
            <w:tcW w:w="4160" w:type="dxa"/>
            <w:vAlign w:val="bottom"/>
            <w:gridSpan w:val="4"/>
          </w:tcPr>
          <w:p>
            <w:pPr>
              <w:spacing w:after="0" w:line="242" w:lineRule="exact"/>
              <w:rPr>
                <w:sz w:val="20"/>
                <w:szCs w:val="20"/>
                <w:color w:val="auto"/>
              </w:rPr>
            </w:pPr>
            <w:r>
              <w:rPr>
                <w:rFonts w:ascii="Arial" w:cs="Arial" w:eastAsia="Arial" w:hAnsi="Arial"/>
                <w:sz w:val="22"/>
                <w:szCs w:val="22"/>
                <w:color w:val="auto"/>
              </w:rPr>
              <w:t>Name: Michael P. McCormack</w:t>
            </w:r>
          </w:p>
        </w:tc>
        <w:tc>
          <w:tcPr>
            <w:tcW w:w="15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Title:</w:t>
            </w:r>
          </w:p>
        </w:tc>
        <w:tc>
          <w:tcPr>
            <w:tcW w:w="3580" w:type="dxa"/>
            <w:vAlign w:val="bottom"/>
            <w:gridSpan w:val="3"/>
          </w:tcPr>
          <w:p>
            <w:pPr>
              <w:ind w:left="100"/>
              <w:spacing w:after="0"/>
              <w:rPr>
                <w:sz w:val="20"/>
                <w:szCs w:val="20"/>
                <w:color w:val="auto"/>
              </w:rPr>
            </w:pPr>
            <w:r>
              <w:rPr>
                <w:rFonts w:ascii="Arial" w:cs="Arial" w:eastAsia="Arial" w:hAnsi="Arial"/>
                <w:sz w:val="22"/>
                <w:szCs w:val="22"/>
                <w:color w:val="auto"/>
              </w:rPr>
              <w:t>SVP</w:t>
            </w:r>
          </w:p>
        </w:tc>
        <w:tc>
          <w:tcPr>
            <w:tcW w:w="15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40" w:right="660"/>
        <w:spacing w:after="0" w:line="280" w:lineRule="auto"/>
        <w:rPr>
          <w:sz w:val="20"/>
          <w:szCs w:val="20"/>
          <w:color w:val="auto"/>
        </w:rPr>
      </w:pPr>
      <w:r>
        <w:rPr>
          <w:rFonts w:ascii="Arial" w:cs="Arial" w:eastAsia="Arial" w:hAnsi="Arial"/>
          <w:sz w:val="21"/>
          <w:szCs w:val="21"/>
          <w:b w:val="1"/>
          <w:bCs w:val="1"/>
          <w:color w:val="auto"/>
        </w:rPr>
        <w:t xml:space="preserve">HONGKONG &amp; SHANGHAI BANKING CORPORATION LIMITED, SINGAPORE, </w:t>
      </w:r>
      <w:r>
        <w:rPr>
          <w:rFonts w:ascii="Arial" w:cs="Arial" w:eastAsia="Arial" w:hAnsi="Arial"/>
          <w:sz w:val="21"/>
          <w:szCs w:val="21"/>
          <w:color w:val="auto"/>
        </w:rPr>
        <w:t>as a Singapore Term Loan Lender</w:t>
      </w:r>
    </w:p>
    <w:p>
      <w:pPr>
        <w:spacing w:after="0" w:line="200" w:lineRule="exact"/>
        <w:rPr>
          <w:sz w:val="20"/>
          <w:szCs w:val="20"/>
          <w:color w:val="auto"/>
        </w:rPr>
      </w:pPr>
    </w:p>
    <w:p>
      <w:pPr>
        <w:spacing w:after="0" w:line="294"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40" w:type="dxa"/>
            <w:vAlign w:val="bottom"/>
            <w:gridSpan w:val="2"/>
          </w:tcPr>
          <w:p>
            <w:pPr>
              <w:spacing w:after="0"/>
              <w:rPr>
                <w:sz w:val="20"/>
                <w:szCs w:val="20"/>
                <w:color w:val="auto"/>
              </w:rPr>
            </w:pPr>
            <w:r>
              <w:rPr>
                <w:rFonts w:ascii="Arial" w:cs="Arial" w:eastAsia="Arial" w:hAnsi="Arial"/>
                <w:sz w:val="22"/>
                <w:szCs w:val="22"/>
                <w:color w:val="auto"/>
              </w:rPr>
              <w:t>By:</w:t>
            </w:r>
          </w:p>
        </w:tc>
        <w:tc>
          <w:tcPr>
            <w:tcW w:w="380" w:type="dxa"/>
            <w:vAlign w:val="bottom"/>
          </w:tcPr>
          <w:p>
            <w:pPr>
              <w:spacing w:after="0"/>
              <w:rPr>
                <w:sz w:val="21"/>
                <w:szCs w:val="21"/>
                <w:color w:val="auto"/>
              </w:rPr>
            </w:pPr>
          </w:p>
        </w:tc>
        <w:tc>
          <w:tcPr>
            <w:tcW w:w="2480" w:type="dxa"/>
            <w:vAlign w:val="bottom"/>
            <w:tcBorders>
              <w:bottom w:val="single" w:sz="8" w:color="auto"/>
            </w:tcBorders>
          </w:tcPr>
          <w:p>
            <w:pPr>
              <w:ind w:left="1860"/>
              <w:spacing w:after="0"/>
              <w:rPr>
                <w:sz w:val="20"/>
                <w:szCs w:val="20"/>
                <w:color w:val="auto"/>
              </w:rPr>
            </w:pPr>
            <w:r>
              <w:rPr>
                <w:rFonts w:ascii="Arial" w:cs="Arial" w:eastAsia="Arial" w:hAnsi="Arial"/>
                <w:sz w:val="22"/>
                <w:szCs w:val="22"/>
                <w:color w:val="auto"/>
              </w:rPr>
              <w:t>/s/</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Kelvin</w:t>
            </w: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Tan</w:t>
            </w:r>
          </w:p>
        </w:tc>
        <w:tc>
          <w:tcPr>
            <w:tcW w:w="78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w w:val="79"/>
              </w:rPr>
              <w:t>Swee</w:t>
            </w:r>
          </w:p>
        </w:tc>
      </w:tr>
      <w:tr>
        <w:trPr>
          <w:trHeight w:val="223"/>
        </w:trPr>
        <w:tc>
          <w:tcPr>
            <w:tcW w:w="540" w:type="dxa"/>
            <w:vAlign w:val="bottom"/>
            <w:gridSpan w:val="2"/>
          </w:tcPr>
          <w:p>
            <w:pPr>
              <w:spacing w:after="0" w:line="223" w:lineRule="exact"/>
              <w:rPr>
                <w:sz w:val="20"/>
                <w:szCs w:val="20"/>
                <w:color w:val="auto"/>
              </w:rPr>
            </w:pPr>
            <w:r>
              <w:rPr>
                <w:rFonts w:ascii="Arial" w:cs="Arial" w:eastAsia="Arial" w:hAnsi="Arial"/>
                <w:sz w:val="22"/>
                <w:szCs w:val="22"/>
                <w:color w:val="auto"/>
              </w:rPr>
              <w:t>Beng</w:t>
            </w: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2"/>
        </w:trPr>
        <w:tc>
          <w:tcPr>
            <w:tcW w:w="3400" w:type="dxa"/>
            <w:vAlign w:val="bottom"/>
            <w:gridSpan w:val="4"/>
          </w:tcPr>
          <w:p>
            <w:pPr>
              <w:spacing w:after="0" w:line="242" w:lineRule="exact"/>
              <w:rPr>
                <w:sz w:val="20"/>
                <w:szCs w:val="20"/>
                <w:color w:val="auto"/>
              </w:rPr>
            </w:pPr>
            <w:r>
              <w:rPr>
                <w:rFonts w:ascii="Arial" w:cs="Arial" w:eastAsia="Arial" w:hAnsi="Arial"/>
                <w:sz w:val="22"/>
                <w:szCs w:val="22"/>
                <w:color w:val="auto"/>
              </w:rPr>
              <w:t>Name: Kelvin Tan Swee Beng</w:t>
            </w: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54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286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Managing Director and</w:t>
            </w: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gridSpan w:val="2"/>
          </w:tcPr>
          <w:p>
            <w:pPr>
              <w:ind w:left="60"/>
              <w:spacing w:after="0"/>
              <w:rPr>
                <w:sz w:val="20"/>
                <w:szCs w:val="20"/>
                <w:color w:val="auto"/>
              </w:rPr>
            </w:pPr>
            <w:r>
              <w:rPr>
                <w:rFonts w:ascii="Arial" w:cs="Arial" w:eastAsia="Arial" w:hAnsi="Arial"/>
                <w:sz w:val="22"/>
                <w:szCs w:val="22"/>
                <w:color w:val="auto"/>
                <w:w w:val="97"/>
              </w:rPr>
              <w:t>Head of Commercial Banking</w:t>
            </w:r>
          </w:p>
        </w:tc>
        <w:tc>
          <w:tcPr>
            <w:tcW w:w="1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2" w:right="899" w:bottom="1440" w:gutter="0" w:footer="0" w:header="0"/>
        </w:sectPr>
      </w:pPr>
    </w:p>
    <w:bookmarkStart w:id="41" w:name="page42"/>
    <w:bookmarkEnd w:id="41"/>
    <w:p>
      <w:pPr>
        <w:ind w:left="3340" w:right="1119"/>
        <w:spacing w:after="0" w:line="257" w:lineRule="auto"/>
        <w:rPr>
          <w:sz w:val="20"/>
          <w:szCs w:val="20"/>
          <w:color w:val="auto"/>
        </w:rPr>
      </w:pPr>
      <w:r>
        <w:rPr>
          <w:rFonts w:ascii="Arial" w:cs="Arial" w:eastAsia="Arial" w:hAnsi="Arial"/>
          <w:sz w:val="22"/>
          <w:szCs w:val="22"/>
          <w:b w:val="1"/>
          <w:bCs w:val="1"/>
          <w:color w:val="auto"/>
        </w:rPr>
        <w:t xml:space="preserve">MIZUHO BANK, N.A., </w:t>
      </w:r>
      <w:r>
        <w:rPr>
          <w:rFonts w:ascii="Arial" w:cs="Arial" w:eastAsia="Arial" w:hAnsi="Arial"/>
          <w:sz w:val="22"/>
          <w:szCs w:val="22"/>
          <w:color w:val="auto"/>
        </w:rPr>
        <w:t>as a Revolving Lender and</w:t>
      </w:r>
      <w:r>
        <w:rPr>
          <w:rFonts w:ascii="Arial" w:cs="Arial" w:eastAsia="Arial" w:hAnsi="Arial"/>
          <w:sz w:val="22"/>
          <w:szCs w:val="22"/>
          <w:b w:val="1"/>
          <w:bCs w:val="1"/>
          <w:color w:val="auto"/>
        </w:rPr>
        <w:t xml:space="preserve"> </w:t>
      </w:r>
      <w:r>
        <w:rPr>
          <w:rFonts w:ascii="Arial" w:cs="Arial" w:eastAsia="Arial" w:hAnsi="Arial"/>
          <w:sz w:val="22"/>
          <w:szCs w:val="22"/>
          <w:color w:val="auto"/>
        </w:rPr>
        <w:t>a Domestic Term Loan Lender</w:t>
      </w:r>
    </w:p>
    <w:p>
      <w:pPr>
        <w:spacing w:after="0" w:line="200" w:lineRule="exact"/>
        <w:rPr>
          <w:sz w:val="20"/>
          <w:szCs w:val="20"/>
          <w:color w:val="auto"/>
        </w:rPr>
      </w:pPr>
    </w:p>
    <w:p>
      <w:pPr>
        <w:spacing w:after="0" w:line="210" w:lineRule="exact"/>
        <w:rPr>
          <w:sz w:val="20"/>
          <w:szCs w:val="20"/>
          <w:color w:val="auto"/>
        </w:rPr>
      </w:pPr>
    </w:p>
    <w:p>
      <w:pPr>
        <w:ind w:left="33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-17780</wp:posOffset>
            </wp:positionV>
            <wp:extent cx="7734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ind w:left="3340"/>
        <w:spacing w:after="0" w:line="238" w:lineRule="auto"/>
        <w:rPr>
          <w:sz w:val="20"/>
          <w:szCs w:val="20"/>
          <w:color w:val="auto"/>
        </w:rPr>
      </w:pPr>
      <w:r>
        <w:rPr>
          <w:rFonts w:ascii="Arial" w:cs="Arial" w:eastAsia="Arial" w:hAnsi="Arial"/>
          <w:sz w:val="22"/>
          <w:szCs w:val="22"/>
          <w:color w:val="auto"/>
        </w:rPr>
        <w:t>Name: Leon Mo</w:t>
      </w: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ind w:left="3340" w:right="100"/>
        <w:spacing w:after="0" w:line="257" w:lineRule="auto"/>
        <w:rPr>
          <w:sz w:val="20"/>
          <w:szCs w:val="20"/>
          <w:color w:val="auto"/>
        </w:rPr>
      </w:pPr>
      <w:r>
        <w:rPr>
          <w:rFonts w:ascii="Arial" w:cs="Arial" w:eastAsia="Arial" w:hAnsi="Arial"/>
          <w:sz w:val="22"/>
          <w:szCs w:val="22"/>
          <w:b w:val="1"/>
          <w:bCs w:val="1"/>
          <w:color w:val="auto"/>
        </w:rPr>
        <w:t xml:space="preserve">FLORIDA COMMUNITY BANK, N.A., </w:t>
      </w:r>
      <w:r>
        <w:rPr>
          <w:rFonts w:ascii="Arial" w:cs="Arial" w:eastAsia="Arial" w:hAnsi="Arial"/>
          <w:sz w:val="22"/>
          <w:szCs w:val="22"/>
          <w:color w:val="auto"/>
        </w:rPr>
        <w:t>as a Revolving Lender and</w:t>
      </w:r>
      <w:r>
        <w:rPr>
          <w:rFonts w:ascii="Arial" w:cs="Arial" w:eastAsia="Arial" w:hAnsi="Arial"/>
          <w:sz w:val="22"/>
          <w:szCs w:val="22"/>
          <w:b w:val="1"/>
          <w:bCs w:val="1"/>
          <w:color w:val="auto"/>
        </w:rPr>
        <w:t xml:space="preserve"> </w:t>
      </w:r>
      <w:r>
        <w:rPr>
          <w:rFonts w:ascii="Arial" w:cs="Arial" w:eastAsia="Arial" w:hAnsi="Arial"/>
          <w:sz w:val="22"/>
          <w:szCs w:val="22"/>
          <w:color w:val="auto"/>
        </w:rPr>
        <w:t>a Domestic Term Loan Lender</w:t>
      </w:r>
    </w:p>
    <w:p>
      <w:pPr>
        <w:spacing w:after="0" w:line="381"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40" w:type="dxa"/>
            <w:vAlign w:val="bottom"/>
            <w:tcBorders>
              <w:bottom w:val="single" w:sz="8" w:color="auto"/>
            </w:tcBorders>
          </w:tcPr>
          <w:p>
            <w:pPr>
              <w:ind w:left="2520"/>
              <w:spacing w:after="0"/>
              <w:rPr>
                <w:sz w:val="20"/>
                <w:szCs w:val="20"/>
                <w:color w:val="auto"/>
              </w:rPr>
            </w:pPr>
            <w:r>
              <w:rPr>
                <w:rFonts w:ascii="Arial" w:cs="Arial" w:eastAsia="Arial" w:hAnsi="Arial"/>
                <w:sz w:val="22"/>
                <w:szCs w:val="22"/>
                <w:color w:val="auto"/>
              </w:rPr>
              <w:t>/s/</w:t>
            </w: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rPr>
              <w:t>Irene</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w w:val="86"/>
              </w:rPr>
              <w:t>A.</w:t>
            </w:r>
          </w:p>
        </w:tc>
      </w:tr>
      <w:tr>
        <w:trPr>
          <w:trHeight w:val="223"/>
        </w:trPr>
        <w:tc>
          <w:tcPr>
            <w:tcW w:w="78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1"/>
              </w:rPr>
              <w:t>Marshall</w:t>
            </w:r>
          </w:p>
        </w:tc>
        <w:tc>
          <w:tcPr>
            <w:tcW w:w="3520" w:type="dxa"/>
            <w:vAlign w:val="bottom"/>
            <w:gridSpan w:val="2"/>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42"/>
        </w:trPr>
        <w:tc>
          <w:tcPr>
            <w:tcW w:w="4300" w:type="dxa"/>
            <w:vAlign w:val="bottom"/>
            <w:gridSpan w:val="4"/>
          </w:tcPr>
          <w:p>
            <w:pPr>
              <w:spacing w:after="0" w:line="242" w:lineRule="exact"/>
              <w:rPr>
                <w:sz w:val="20"/>
                <w:szCs w:val="20"/>
                <w:color w:val="auto"/>
              </w:rPr>
            </w:pPr>
            <w:r>
              <w:rPr>
                <w:rFonts w:ascii="Arial" w:cs="Arial" w:eastAsia="Arial" w:hAnsi="Arial"/>
                <w:sz w:val="22"/>
                <w:szCs w:val="22"/>
                <w:color w:val="auto"/>
              </w:rPr>
              <w:t>Name: Irene A. Marshall</w:t>
            </w: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Title:</w:t>
            </w:r>
          </w:p>
        </w:tc>
        <w:tc>
          <w:tcPr>
            <w:tcW w:w="3720" w:type="dxa"/>
            <w:vAlign w:val="bottom"/>
            <w:gridSpan w:val="3"/>
          </w:tcPr>
          <w:p>
            <w:pPr>
              <w:ind w:left="120"/>
              <w:spacing w:after="0"/>
              <w:rPr>
                <w:sz w:val="20"/>
                <w:szCs w:val="20"/>
                <w:color w:val="auto"/>
              </w:rPr>
            </w:pPr>
            <w:r>
              <w:rPr>
                <w:rFonts w:ascii="Arial" w:cs="Arial" w:eastAsia="Arial" w:hAnsi="Arial"/>
                <w:sz w:val="22"/>
                <w:szCs w:val="22"/>
                <w:color w:val="auto"/>
              </w:rPr>
              <w:t>Sr. V.P.</w:t>
            </w:r>
          </w:p>
        </w:tc>
        <w:tc>
          <w:tcPr>
            <w:tcW w:w="130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1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61595</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1440" w:top="112" w:right="89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EXHIBIT 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AMENDMENT NO. 1 OF CREDIT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Conformed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972185</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568960</wp:posOffset>
            </wp:positionH>
            <wp:positionV relativeFrom="page">
              <wp:posOffset>243205</wp:posOffset>
            </wp:positionV>
            <wp:extent cx="64230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277495</wp:posOffset>
            </wp:positionV>
            <wp:extent cx="64230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23025" cy="17145"/>
                    </a:xfrm>
                    <a:prstGeom prst="rect">
                      <a:avLst/>
                    </a:prstGeom>
                    <a:noFill/>
                  </pic:spPr>
                </pic:pic>
              </a:graphicData>
            </a:graphic>
          </wp:anchor>
        </w:drawing>
        <w:t>Published CUSIP Numbers: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98147GAD4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Revolver: 98147GAE2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Domestic Term Loan – US: 98147GAF9</w:t>
      </w:r>
    </w:p>
    <w:p>
      <w:pPr>
        <w:spacing w:after="0" w:line="9" w:lineRule="exact"/>
        <w:rPr>
          <w:sz w:val="20"/>
          <w:szCs w:val="20"/>
          <w:color w:val="auto"/>
        </w:rPr>
      </w:pPr>
    </w:p>
    <w:p>
      <w:pPr>
        <w:ind w:left="6604"/>
        <w:spacing w:after="0"/>
        <w:rPr>
          <w:sz w:val="20"/>
          <w:szCs w:val="20"/>
          <w:color w:val="auto"/>
        </w:rPr>
      </w:pPr>
      <w:r>
        <w:rPr>
          <w:rFonts w:ascii="Arial" w:cs="Arial" w:eastAsia="Arial" w:hAnsi="Arial"/>
          <w:sz w:val="16"/>
          <w:szCs w:val="16"/>
          <w:color w:val="auto"/>
        </w:rPr>
        <w:t>2015 Domestic Term Loan – US: [__________]</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Singapore Term Loan: 98147GAG7</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FOURTH AMENDED AND RESTATED</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CREDIT AGREEMENT</w:t>
      </w:r>
      <w:r>
        <w:rPr>
          <w:rFonts w:ascii="Arial" w:cs="Arial" w:eastAsia="Arial" w:hAnsi="Arial"/>
          <w:sz w:val="10"/>
          <w:szCs w:val="10"/>
          <w:b w:val="1"/>
          <w:bCs w:val="1"/>
          <w:color w:val="auto"/>
        </w:rPr>
        <w:t>1</w:t>
      </w: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Dated as of October 10, 2013</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among</w:t>
      </w: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WORLD FUEL SERVICES CORPORATION,</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as Borrowing Agent and a Borrower,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WORLD FUEL SERVICES EUROPE, LTD.</w:t>
      </w:r>
      <w:r>
        <w:rPr>
          <w:rFonts w:ascii="Arial" w:cs="Arial" w:eastAsia="Arial" w:hAnsi="Arial"/>
          <w:sz w:val="20"/>
          <w:szCs w:val="20"/>
          <w:color w:val="auto"/>
        </w:rPr>
        <w:t>,</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and</w:t>
      </w:r>
    </w:p>
    <w:p>
      <w:pPr>
        <w:jc w:val="center"/>
        <w:ind w:right="-3"/>
        <w:spacing w:after="0"/>
        <w:rPr>
          <w:sz w:val="20"/>
          <w:szCs w:val="20"/>
          <w:color w:val="auto"/>
        </w:rPr>
      </w:pPr>
      <w:r>
        <w:rPr>
          <w:rFonts w:ascii="Arial" w:cs="Arial" w:eastAsia="Arial" w:hAnsi="Arial"/>
          <w:sz w:val="20"/>
          <w:szCs w:val="20"/>
          <w:b w:val="1"/>
          <w:bCs w:val="1"/>
          <w:color w:val="auto"/>
        </w:rPr>
        <w:t>WORLD FUEL SERVICES (SINGAPORE) PTE LTD,</w:t>
      </w:r>
    </w:p>
    <w:p>
      <w:pPr>
        <w:jc w:val="center"/>
        <w:ind w:right="-3"/>
        <w:spacing w:after="0"/>
        <w:rPr>
          <w:sz w:val="20"/>
          <w:szCs w:val="20"/>
          <w:color w:val="auto"/>
        </w:rPr>
      </w:pPr>
      <w:r>
        <w:rPr>
          <w:rFonts w:ascii="Arial" w:cs="Arial" w:eastAsia="Arial" w:hAnsi="Arial"/>
          <w:sz w:val="20"/>
          <w:szCs w:val="20"/>
          <w:color w:val="auto"/>
        </w:rPr>
        <w:t>each as a Borrower,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as Administrative Agent, Swing Line Lender and L/C-BA Issuer,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BANK OF AMERICA, N.A., SINGAPORE BRANCH,</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as Singapore Agent,</w:t>
      </w:r>
    </w:p>
    <w:p>
      <w:pPr>
        <w:spacing w:after="0" w:line="207" w:lineRule="exact"/>
        <w:rPr>
          <w:sz w:val="20"/>
          <w:szCs w:val="20"/>
          <w:color w:val="auto"/>
        </w:rPr>
      </w:pPr>
    </w:p>
    <w:p>
      <w:pPr>
        <w:jc w:val="center"/>
        <w:ind w:right="56"/>
        <w:spacing w:after="0"/>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as Co-Syndication Agent,</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as Co-Syndication Agent and L/C-BA Issuer,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TD BANK, N.A.</w:t>
      </w:r>
      <w:r>
        <w:rPr>
          <w:rFonts w:ascii="Arial" w:cs="Arial" w:eastAsia="Arial" w:hAnsi="Arial"/>
          <w:sz w:val="20"/>
          <w:szCs w:val="20"/>
          <w:color w:val="auto"/>
        </w:rPr>
        <w:t>, and</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jc w:val="center"/>
        <w:ind w:right="-3"/>
        <w:spacing w:after="0"/>
        <w:rPr>
          <w:sz w:val="20"/>
          <w:szCs w:val="20"/>
          <w:color w:val="auto"/>
        </w:rPr>
      </w:pPr>
      <w:r>
        <w:rPr>
          <w:rFonts w:ascii="Arial" w:cs="Arial" w:eastAsia="Arial" w:hAnsi="Arial"/>
          <w:sz w:val="20"/>
          <w:szCs w:val="20"/>
          <w:color w:val="auto"/>
        </w:rPr>
        <w:t>as Co-Documentation Agents</w:t>
      </w: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and</w:t>
      </w:r>
    </w:p>
    <w:p>
      <w:pPr>
        <w:spacing w:after="0" w:line="16"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The Other Lenders Party Hereto</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BANK OF AMERICA MERRILL LYNCH,</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WELLS FARGO SECURITIES, LLC</w:t>
      </w:r>
      <w:r>
        <w:rPr>
          <w:rFonts w:ascii="Arial" w:cs="Arial" w:eastAsia="Arial" w:hAnsi="Arial"/>
          <w:sz w:val="20"/>
          <w:szCs w:val="20"/>
          <w:color w:val="auto"/>
        </w:rPr>
        <w:t>,</w:t>
      </w:r>
    </w:p>
    <w:p>
      <w:pPr>
        <w:jc w:val="center"/>
        <w:ind w:right="-3"/>
        <w:spacing w:after="0"/>
        <w:rPr>
          <w:sz w:val="20"/>
          <w:szCs w:val="20"/>
          <w:color w:val="auto"/>
        </w:rPr>
      </w:pPr>
      <w:r>
        <w:rPr>
          <w:rFonts w:ascii="Arial" w:cs="Arial" w:eastAsia="Arial" w:hAnsi="Arial"/>
          <w:sz w:val="20"/>
          <w:szCs w:val="20"/>
          <w:color w:val="auto"/>
        </w:rPr>
        <w:t>and</w:t>
      </w:r>
    </w:p>
    <w:p>
      <w:pPr>
        <w:jc w:val="center"/>
        <w:ind w:right="-3"/>
        <w:spacing w:after="0"/>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w:t>
      </w:r>
    </w:p>
    <w:p>
      <w:pPr>
        <w:jc w:val="center"/>
        <w:ind w:right="-3"/>
        <w:spacing w:after="0"/>
        <w:rPr>
          <w:sz w:val="20"/>
          <w:szCs w:val="20"/>
          <w:color w:val="auto"/>
        </w:rPr>
      </w:pPr>
      <w:r>
        <w:rPr>
          <w:rFonts w:ascii="Arial" w:cs="Arial" w:eastAsia="Arial" w:hAnsi="Arial"/>
          <w:sz w:val="20"/>
          <w:szCs w:val="20"/>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132905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9055" cy="51435"/>
                    </a:xfrm>
                    <a:prstGeom prst="rect">
                      <a:avLst/>
                    </a:prstGeom>
                    <a:noFill/>
                  </pic:spPr>
                </pic:pic>
              </a:graphicData>
            </a:graphic>
          </wp:anchor>
        </w:drawing>
      </w:r>
    </w:p>
    <w:p>
      <w:pPr>
        <w:spacing w:after="0" w:line="216" w:lineRule="exact"/>
        <w:rPr>
          <w:sz w:val="20"/>
          <w:szCs w:val="20"/>
          <w:color w:val="auto"/>
        </w:rPr>
      </w:pPr>
    </w:p>
    <w:p>
      <w:pPr>
        <w:ind w:left="4" w:right="20" w:hanging="4"/>
        <w:spacing w:after="0" w:line="251" w:lineRule="auto"/>
        <w:tabs>
          <w:tab w:leader="none" w:pos="742" w:val="left"/>
        </w:tabs>
        <w:numPr>
          <w:ilvl w:val="0"/>
          <w:numId w:val="13"/>
        </w:numPr>
        <w:rPr>
          <w:rFonts w:ascii="Arial" w:cs="Arial" w:eastAsia="Arial" w:hAnsi="Arial"/>
          <w:sz w:val="18"/>
          <w:szCs w:val="18"/>
          <w:color w:val="auto"/>
        </w:rPr>
      </w:pPr>
      <w:r>
        <w:rPr>
          <w:rFonts w:ascii="Arial" w:cs="Arial" w:eastAsia="Arial" w:hAnsi="Arial"/>
          <w:sz w:val="22"/>
          <w:szCs w:val="22"/>
          <w:color w:val="auto"/>
        </w:rPr>
        <w:t>NTD: This is a conformed copy of the Fourth Amended and Restated Credit Agreement that includes Amendment No. 1 dated as of January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64230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wp:posOffset>
            </wp:positionV>
            <wp:extent cx="64230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694055</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449" w:right="8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81"/>
        </w:trPr>
        <w:tc>
          <w:tcPr>
            <w:tcW w:w="1380" w:type="dxa"/>
            <w:vAlign w:val="bottom"/>
          </w:tcPr>
          <w:p>
            <w:pPr>
              <w:spacing w:after="0"/>
              <w:rPr>
                <w:sz w:val="24"/>
                <w:szCs w:val="24"/>
                <w:color w:val="auto"/>
              </w:rPr>
            </w:pPr>
          </w:p>
        </w:tc>
        <w:tc>
          <w:tcPr>
            <w:tcW w:w="7640" w:type="dxa"/>
            <w:vAlign w:val="bottom"/>
          </w:tcPr>
          <w:p>
            <w:pPr>
              <w:ind w:left="2520"/>
              <w:spacing w:after="0"/>
              <w:rPr>
                <w:sz w:val="20"/>
                <w:szCs w:val="20"/>
                <w:color w:val="auto"/>
              </w:rPr>
            </w:pPr>
            <w:r>
              <w:rPr>
                <w:rFonts w:ascii="Arial" w:cs="Arial" w:eastAsia="Arial" w:hAnsi="Arial"/>
                <w:sz w:val="22"/>
                <w:szCs w:val="22"/>
                <w:b w:val="1"/>
                <w:bCs w:val="1"/>
                <w:color w:val="auto"/>
              </w:rPr>
              <w:t>TABLE OF CONTENTS</w:t>
            </w:r>
          </w:p>
        </w:tc>
        <w:tc>
          <w:tcPr>
            <w:tcW w:w="1120" w:type="dxa"/>
            <w:vAlign w:val="bottom"/>
          </w:tcPr>
          <w:p>
            <w:pPr>
              <w:spacing w:after="0"/>
              <w:rPr>
                <w:sz w:val="24"/>
                <w:szCs w:val="24"/>
                <w:color w:val="auto"/>
              </w:rPr>
            </w:pPr>
          </w:p>
        </w:tc>
      </w:tr>
      <w:tr>
        <w:trPr>
          <w:trHeight w:val="468"/>
        </w:trPr>
        <w:tc>
          <w:tcPr>
            <w:tcW w:w="13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ARTICLE I.</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DEFINITIONS AND ACCOUNTING TERMS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1.01</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Amendment and Restatement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1.02</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Defined Terms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1.03</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Other Interpretive Provisions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1.04</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Accounting Terms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1.05</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Rounding</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1.06</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Times of Day</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1.07</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Letter of Credit Amounts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1.08</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Adjustments for Material Acquisitions and Dispositions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ARTICLE II.</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THE COMMITMENTS AND CREDIT EXTENSIONS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2.01</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Loans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2.02</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Borrowings, Conversions and Continuations of Loans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2.03</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Letters of Credit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2.04</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Swing Line Loans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2.05</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Prepayments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2.06</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Termination or Reduction of Commitments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2.07</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Repayment of Loans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2.08</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Interest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2.09</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Fees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2.10</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w w:val="97"/>
              </w:rPr>
              <w:t>Computation of Interest and Fees; Retroactive Adjustments of Applicable Rate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2.11</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Evidence of Debt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2.12</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Payments Generally; Administrative Agent’s Clawback</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2.13</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Sharing of Payments by Lenders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2.14</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Increase in Commitments.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2.15</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Cash Collateral</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2.16</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Defaulting Lenders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2.17</w:t>
            </w:r>
          </w:p>
        </w:tc>
        <w:tc>
          <w:tcPr>
            <w:tcW w:w="7640" w:type="dxa"/>
            <w:vAlign w:val="bottom"/>
          </w:tcPr>
          <w:p>
            <w:pPr>
              <w:ind w:left="220"/>
              <w:spacing w:after="0" w:line="243" w:lineRule="exact"/>
              <w:rPr>
                <w:sz w:val="20"/>
                <w:szCs w:val="20"/>
                <w:color w:val="auto"/>
              </w:rPr>
            </w:pPr>
            <w:r>
              <w:rPr>
                <w:rFonts w:ascii="Arial" w:cs="Arial" w:eastAsia="Arial" w:hAnsi="Arial"/>
                <w:sz w:val="22"/>
                <w:szCs w:val="22"/>
                <w:color w:val="auto"/>
              </w:rPr>
              <w:t>Joint and Several Obligations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75"/>
        </w:trPr>
        <w:tc>
          <w:tcPr>
            <w:tcW w:w="1380" w:type="dxa"/>
            <w:vAlign w:val="bottom"/>
          </w:tcPr>
          <w:p>
            <w:pPr>
              <w:spacing w:after="0"/>
              <w:rPr>
                <w:sz w:val="20"/>
                <w:szCs w:val="20"/>
                <w:color w:val="auto"/>
              </w:rPr>
            </w:pPr>
            <w:r>
              <w:rPr>
                <w:rFonts w:ascii="Arial" w:cs="Arial" w:eastAsia="Arial" w:hAnsi="Arial"/>
                <w:sz w:val="22"/>
                <w:szCs w:val="22"/>
                <w:color w:val="auto"/>
              </w:rPr>
              <w:t>2.18</w:t>
            </w:r>
          </w:p>
        </w:tc>
        <w:tc>
          <w:tcPr>
            <w:tcW w:w="7640" w:type="dxa"/>
            <w:vAlign w:val="bottom"/>
          </w:tcPr>
          <w:p>
            <w:pPr>
              <w:ind w:left="220"/>
              <w:spacing w:after="0"/>
              <w:rPr>
                <w:sz w:val="20"/>
                <w:szCs w:val="20"/>
                <w:color w:val="auto"/>
              </w:rPr>
            </w:pPr>
            <w:r>
              <w:rPr>
                <w:rFonts w:ascii="Arial" w:cs="Arial" w:eastAsia="Arial" w:hAnsi="Arial"/>
                <w:sz w:val="22"/>
                <w:szCs w:val="22"/>
                <w:color w:val="auto"/>
              </w:rPr>
              <w:t>Borrowing Agent</w:t>
            </w:r>
          </w:p>
        </w:tc>
        <w:tc>
          <w:tcPr>
            <w:tcW w:w="11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702"/>
        </w:trPr>
        <w:tc>
          <w:tcPr>
            <w:tcW w:w="1380" w:type="dxa"/>
            <w:vAlign w:val="bottom"/>
          </w:tcPr>
          <w:p>
            <w:pPr>
              <w:spacing w:after="0"/>
              <w:rPr>
                <w:sz w:val="24"/>
                <w:szCs w:val="24"/>
                <w:color w:val="auto"/>
              </w:rPr>
            </w:pPr>
          </w:p>
        </w:tc>
        <w:tc>
          <w:tcPr>
            <w:tcW w:w="7640" w:type="dxa"/>
            <w:vAlign w:val="bottom"/>
          </w:tcPr>
          <w:p>
            <w:pPr>
              <w:ind w:left="3620"/>
              <w:spacing w:after="0"/>
              <w:rPr>
                <w:sz w:val="20"/>
                <w:szCs w:val="20"/>
                <w:color w:val="auto"/>
              </w:rPr>
            </w:pPr>
            <w:r>
              <w:rPr>
                <w:rFonts w:ascii="Arial" w:cs="Arial" w:eastAsia="Arial" w:hAnsi="Arial"/>
                <w:sz w:val="22"/>
                <w:szCs w:val="22"/>
                <w:color w:val="auto"/>
              </w:rPr>
              <w:t>1</w:t>
            </w:r>
          </w:p>
        </w:tc>
        <w:tc>
          <w:tcPr>
            <w:tcW w:w="1120" w:type="dxa"/>
            <w:vAlign w:val="bottom"/>
          </w:tcPr>
          <w:p>
            <w:pPr>
              <w:spacing w:after="0"/>
              <w:rPr>
                <w:sz w:val="24"/>
                <w:szCs w:val="24"/>
                <w:color w:val="auto"/>
              </w:rPr>
            </w:pPr>
          </w:p>
        </w:tc>
      </w:tr>
      <w:tr>
        <w:trPr>
          <w:trHeight w:val="98"/>
        </w:trPr>
        <w:tc>
          <w:tcPr>
            <w:tcW w:w="1380" w:type="dxa"/>
            <w:vAlign w:val="bottom"/>
            <w:tcBorders>
              <w:bottom w:val="single" w:sz="8" w:color="9A9A9A"/>
            </w:tcBorders>
          </w:tcPr>
          <w:p>
            <w:pPr>
              <w:spacing w:after="0"/>
              <w:rPr>
                <w:sz w:val="8"/>
                <w:szCs w:val="8"/>
                <w:color w:val="auto"/>
              </w:rPr>
            </w:pPr>
          </w:p>
        </w:tc>
        <w:tc>
          <w:tcPr>
            <w:tcW w:w="76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r>
        <w:trPr>
          <w:trHeight w:val="20"/>
        </w:trPr>
        <w:tc>
          <w:tcPr>
            <w:tcW w:w="1380" w:type="dxa"/>
            <w:vAlign w:val="bottom"/>
            <w:tcBorders>
              <w:bottom w:val="single" w:sz="8" w:color="EEEEEE"/>
            </w:tcBorders>
          </w:tcPr>
          <w:p>
            <w:pPr>
              <w:spacing w:after="0" w:line="20" w:lineRule="exact"/>
              <w:rPr>
                <w:sz w:val="1"/>
                <w:szCs w:val="1"/>
                <w:color w:val="auto"/>
              </w:rPr>
            </w:pPr>
          </w:p>
        </w:tc>
        <w:tc>
          <w:tcPr>
            <w:tcW w:w="76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-5050790</wp:posOffset>
            </wp:positionV>
            <wp:extent cx="34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ARTICLE III.</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TAXES, YIELD PROTECTION AND ILLEGALITY</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3.01</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Taxes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3.02</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Illegality</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3.03</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Inability to Determine Rates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3.04</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Increased Costs; Reserves on Eurodollar Rate Loans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3.05</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Compensation for Losses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3.06</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Mitigation Obligations; Replacement of Lenders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3.07</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Survival</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ARTICLE IV.</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CONDITIONS PRECEDENT TO CREDIT EXTENSIONS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4.01</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Conditions of Amendment and Restatement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4.02</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Conditions to all Credit Extensions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ARTICLE V.</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REPRESENTATIONS AND WARRANTIES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5.01</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Existence, Qualification and Power</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5.02</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Authorization; No Contravention</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5.03</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Governmental Authorization; Other Consents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5.04</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Binding Effect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5.05</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Financial Statements; No Material Adverse Effect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5.06</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Litigation</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5.07</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No Default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5.08</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Ownership of Property; Liens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5.09</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Environmental Compliance</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5.10</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Insurance</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5.11</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Taxes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5.12</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ERISA Compliance</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5.13</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Subsidiaries; Equity Interests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5.14</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Margin Regulations; Investment Company Act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5.15</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Disclosure</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5.16</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Compliance with Laws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5.17</w:t>
            </w:r>
          </w:p>
        </w:tc>
        <w:tc>
          <w:tcPr>
            <w:tcW w:w="6780" w:type="dxa"/>
            <w:vAlign w:val="bottom"/>
          </w:tcPr>
          <w:p>
            <w:pPr>
              <w:ind w:left="180"/>
              <w:spacing w:after="0" w:line="243" w:lineRule="exact"/>
              <w:rPr>
                <w:sz w:val="20"/>
                <w:szCs w:val="20"/>
                <w:color w:val="auto"/>
              </w:rPr>
            </w:pPr>
            <w:r>
              <w:rPr>
                <w:rFonts w:ascii="Arial" w:cs="Arial" w:eastAsia="Arial" w:hAnsi="Arial"/>
                <w:sz w:val="22"/>
                <w:szCs w:val="22"/>
                <w:color w:val="auto"/>
              </w:rPr>
              <w:t>Intellectual Property; Licenses, Etc</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75"/>
        </w:trPr>
        <w:tc>
          <w:tcPr>
            <w:tcW w:w="1420" w:type="dxa"/>
            <w:vAlign w:val="bottom"/>
          </w:tcPr>
          <w:p>
            <w:pPr>
              <w:spacing w:after="0"/>
              <w:rPr>
                <w:sz w:val="20"/>
                <w:szCs w:val="20"/>
                <w:color w:val="auto"/>
              </w:rPr>
            </w:pPr>
            <w:r>
              <w:rPr>
                <w:rFonts w:ascii="Arial" w:cs="Arial" w:eastAsia="Arial" w:hAnsi="Arial"/>
                <w:sz w:val="22"/>
                <w:szCs w:val="22"/>
                <w:color w:val="auto"/>
              </w:rPr>
              <w:t>5.18</w:t>
            </w:r>
          </w:p>
        </w:tc>
        <w:tc>
          <w:tcPr>
            <w:tcW w:w="6780" w:type="dxa"/>
            <w:vAlign w:val="bottom"/>
          </w:tcPr>
          <w:p>
            <w:pPr>
              <w:ind w:left="180"/>
              <w:spacing w:after="0"/>
              <w:rPr>
                <w:sz w:val="20"/>
                <w:szCs w:val="20"/>
                <w:color w:val="auto"/>
              </w:rPr>
            </w:pPr>
            <w:r>
              <w:rPr>
                <w:rFonts w:ascii="Arial" w:cs="Arial" w:eastAsia="Arial" w:hAnsi="Arial"/>
                <w:sz w:val="22"/>
                <w:szCs w:val="22"/>
                <w:color w:val="auto"/>
              </w:rPr>
              <w:t>Solvency</w:t>
            </w:r>
          </w:p>
        </w:tc>
        <w:tc>
          <w:tcPr>
            <w:tcW w:w="194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702"/>
        </w:trPr>
        <w:tc>
          <w:tcPr>
            <w:tcW w:w="1420" w:type="dxa"/>
            <w:vAlign w:val="bottom"/>
          </w:tcPr>
          <w:p>
            <w:pPr>
              <w:spacing w:after="0"/>
              <w:rPr>
                <w:sz w:val="24"/>
                <w:szCs w:val="24"/>
                <w:color w:val="auto"/>
              </w:rPr>
            </w:pPr>
          </w:p>
        </w:tc>
        <w:tc>
          <w:tcPr>
            <w:tcW w:w="6780" w:type="dxa"/>
            <w:vAlign w:val="bottom"/>
          </w:tcPr>
          <w:p>
            <w:pPr>
              <w:ind w:left="3580"/>
              <w:spacing w:after="0"/>
              <w:rPr>
                <w:sz w:val="20"/>
                <w:szCs w:val="20"/>
                <w:color w:val="auto"/>
              </w:rPr>
            </w:pPr>
            <w:r>
              <w:rPr>
                <w:rFonts w:ascii="Arial" w:cs="Arial" w:eastAsia="Arial" w:hAnsi="Arial"/>
                <w:sz w:val="22"/>
                <w:szCs w:val="22"/>
                <w:color w:val="auto"/>
              </w:rPr>
              <w:t>2</w:t>
            </w:r>
          </w:p>
        </w:tc>
        <w:tc>
          <w:tcPr>
            <w:tcW w:w="1940" w:type="dxa"/>
            <w:vAlign w:val="bottom"/>
          </w:tcPr>
          <w:p>
            <w:pPr>
              <w:spacing w:after="0"/>
              <w:rPr>
                <w:sz w:val="24"/>
                <w:szCs w:val="24"/>
                <w:color w:val="auto"/>
              </w:rPr>
            </w:pPr>
          </w:p>
        </w:tc>
      </w:tr>
      <w:tr>
        <w:trPr>
          <w:trHeight w:val="98"/>
        </w:trPr>
        <w:tc>
          <w:tcPr>
            <w:tcW w:w="1420" w:type="dxa"/>
            <w:vAlign w:val="bottom"/>
            <w:tcBorders>
              <w:bottom w:val="single" w:sz="8" w:color="9A9A9A"/>
            </w:tcBorders>
          </w:tcPr>
          <w:p>
            <w:pPr>
              <w:spacing w:after="0"/>
              <w:rPr>
                <w:sz w:val="8"/>
                <w:szCs w:val="8"/>
                <w:color w:val="auto"/>
              </w:rPr>
            </w:pPr>
          </w:p>
        </w:tc>
        <w:tc>
          <w:tcPr>
            <w:tcW w:w="67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r>
      <w:tr>
        <w:trPr>
          <w:trHeight w:val="20"/>
        </w:trPr>
        <w:tc>
          <w:tcPr>
            <w:tcW w:w="1420" w:type="dxa"/>
            <w:vAlign w:val="bottom"/>
            <w:tcBorders>
              <w:bottom w:val="single" w:sz="8" w:color="EEEEEE"/>
            </w:tcBorders>
          </w:tcPr>
          <w:p>
            <w:pPr>
              <w:spacing w:after="0" w:line="20" w:lineRule="exact"/>
              <w:rPr>
                <w:sz w:val="1"/>
                <w:szCs w:val="1"/>
                <w:color w:val="auto"/>
              </w:rPr>
            </w:pPr>
          </w:p>
        </w:tc>
        <w:tc>
          <w:tcPr>
            <w:tcW w:w="678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5160" w:type="dxa"/>
            <w:vAlign w:val="bottom"/>
          </w:tcPr>
          <w:p>
            <w:pPr>
              <w:jc w:val="right"/>
              <w:ind w:right="12"/>
              <w:spacing w:after="0"/>
              <w:rPr>
                <w:sz w:val="20"/>
                <w:szCs w:val="20"/>
                <w:color w:val="auto"/>
              </w:rPr>
            </w:pPr>
            <w:r>
              <w:rPr>
                <w:rFonts w:ascii="Arial" w:cs="Arial" w:eastAsia="Arial" w:hAnsi="Arial"/>
                <w:sz w:val="22"/>
                <w:szCs w:val="22"/>
                <w:color w:val="auto"/>
              </w:rPr>
              <w:t>Page</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5.19</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No Burdensome Agreements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5.20</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OFAC</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5.21</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Anti-Corruption Laws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ARTICLE VI.</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AFFIRMATIVE COVENANTS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6.01</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Financial Statements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6.02</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Certificates; Other Information</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6.03</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Notices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6.04</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Payment of Obligations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6.05</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Preservation of Existence, Etc</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6.06</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Maintenance of Properties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6.07</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Maintenance of Insurance</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6.08</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Compliance with Laws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6.09</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Books and Records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6.10</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Inspection Rights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6.11</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Use of Proceeds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6.12</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Additional Guarantors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6.13</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w w:val="91"/>
              </w:rPr>
              <w:t>Compliance with Environmental Laws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6.14</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Further Assurances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6.15</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Material Contracts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6.16</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BSA Provision</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6.17</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Anti-Corruption Laws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ARTICLE VII.</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NEGATIVE COVENANTS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7.01</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Liens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7.02</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Investments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7.03</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Indebtedness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7.04</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Fundamental Changes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111</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7.05</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Dispositions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112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7.06</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Restricted Payments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112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7.07</w:t>
            </w:r>
          </w:p>
        </w:tc>
        <w:tc>
          <w:tcPr>
            <w:tcW w:w="3520" w:type="dxa"/>
            <w:vAlign w:val="bottom"/>
          </w:tcPr>
          <w:p>
            <w:pPr>
              <w:ind w:left="140"/>
              <w:spacing w:after="0" w:line="243" w:lineRule="exact"/>
              <w:rPr>
                <w:sz w:val="20"/>
                <w:szCs w:val="20"/>
                <w:color w:val="auto"/>
              </w:rPr>
            </w:pPr>
            <w:r>
              <w:rPr>
                <w:rFonts w:ascii="Arial" w:cs="Arial" w:eastAsia="Arial" w:hAnsi="Arial"/>
                <w:sz w:val="22"/>
                <w:szCs w:val="22"/>
                <w:color w:val="auto"/>
              </w:rPr>
              <w:t>Change in Nature of Business</w:t>
            </w:r>
          </w:p>
        </w:tc>
        <w:tc>
          <w:tcPr>
            <w:tcW w:w="516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75"/>
        </w:trPr>
        <w:tc>
          <w:tcPr>
            <w:tcW w:w="1460" w:type="dxa"/>
            <w:vAlign w:val="bottom"/>
          </w:tcPr>
          <w:p>
            <w:pPr>
              <w:spacing w:after="0"/>
              <w:rPr>
                <w:sz w:val="20"/>
                <w:szCs w:val="20"/>
                <w:color w:val="auto"/>
              </w:rPr>
            </w:pPr>
            <w:r>
              <w:rPr>
                <w:rFonts w:ascii="Arial" w:cs="Arial" w:eastAsia="Arial" w:hAnsi="Arial"/>
                <w:sz w:val="22"/>
                <w:szCs w:val="22"/>
                <w:color w:val="auto"/>
              </w:rPr>
              <w:t>7.08</w:t>
            </w:r>
          </w:p>
        </w:tc>
        <w:tc>
          <w:tcPr>
            <w:tcW w:w="3520" w:type="dxa"/>
            <w:vAlign w:val="bottom"/>
          </w:tcPr>
          <w:p>
            <w:pPr>
              <w:ind w:left="140"/>
              <w:spacing w:after="0"/>
              <w:rPr>
                <w:sz w:val="20"/>
                <w:szCs w:val="20"/>
                <w:color w:val="auto"/>
              </w:rPr>
            </w:pPr>
            <w:r>
              <w:rPr>
                <w:rFonts w:ascii="Arial" w:cs="Arial" w:eastAsia="Arial" w:hAnsi="Arial"/>
                <w:sz w:val="22"/>
                <w:szCs w:val="22"/>
                <w:color w:val="auto"/>
              </w:rPr>
              <w:t>Transactions with Affiliates</w:t>
            </w:r>
          </w:p>
        </w:tc>
        <w:tc>
          <w:tcPr>
            <w:tcW w:w="516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702"/>
        </w:trPr>
        <w:tc>
          <w:tcPr>
            <w:tcW w:w="1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160" w:type="dxa"/>
            <w:vAlign w:val="bottom"/>
          </w:tcPr>
          <w:p>
            <w:pPr>
              <w:jc w:val="right"/>
              <w:ind w:right="4932"/>
              <w:spacing w:after="0"/>
              <w:rPr>
                <w:sz w:val="20"/>
                <w:szCs w:val="20"/>
                <w:color w:val="auto"/>
              </w:rPr>
            </w:pPr>
            <w:r>
              <w:rPr>
                <w:rFonts w:ascii="Arial" w:cs="Arial" w:eastAsia="Arial" w:hAnsi="Arial"/>
                <w:sz w:val="22"/>
                <w:szCs w:val="22"/>
                <w:color w:val="auto"/>
                <w:w w:val="81"/>
              </w:rPr>
              <w:t>3</w:t>
            </w:r>
          </w:p>
        </w:tc>
      </w:tr>
      <w:tr>
        <w:trPr>
          <w:trHeight w:val="98"/>
        </w:trPr>
        <w:tc>
          <w:tcPr>
            <w:tcW w:w="146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r>
      <w:tr>
        <w:trPr>
          <w:trHeight w:val="20"/>
        </w:trPr>
        <w:tc>
          <w:tcPr>
            <w:tcW w:w="1460" w:type="dxa"/>
            <w:vAlign w:val="bottom"/>
            <w:tcBorders>
              <w:bottom w:val="single" w:sz="8" w:color="EEEEEE"/>
            </w:tcBorders>
          </w:tcPr>
          <w:p>
            <w:pPr>
              <w:spacing w:after="0" w:line="20" w:lineRule="exact"/>
              <w:rPr>
                <w:sz w:val="1"/>
                <w:szCs w:val="1"/>
                <w:color w:val="auto"/>
              </w:rPr>
            </w:pPr>
          </w:p>
        </w:tc>
        <w:tc>
          <w:tcPr>
            <w:tcW w:w="3520" w:type="dxa"/>
            <w:vAlign w:val="bottom"/>
            <w:tcBorders>
              <w:bottom w:val="single" w:sz="8" w:color="EEEEEE"/>
            </w:tcBorders>
          </w:tcPr>
          <w:p>
            <w:pPr>
              <w:spacing w:after="0" w:line="20" w:lineRule="exact"/>
              <w:rPr>
                <w:sz w:val="1"/>
                <w:szCs w:val="1"/>
                <w:color w:val="auto"/>
              </w:rPr>
            </w:pPr>
          </w:p>
        </w:tc>
        <w:tc>
          <w:tcPr>
            <w:tcW w:w="5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Page</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7.09</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Burdensome Agreements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7.10</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Use of Proceeds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7.11</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Financial Covenants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7.12</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Amendments of Organization Documents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7.13</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Inactive Subsidiaries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7.14</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Amendments of Approved Convertible Debt Documents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7.15</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Sanctions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7.16</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Anti-Corruption Laws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ARTICLE VIII.</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EVENTS OF DEFAULT AND REMEDIES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8.01</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Events of Default</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8.02</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Remedies Upon Event of Default</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8.03</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Application of Funds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ARTICLE IX.</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ADMINISTRATIVE AGENT</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9.01</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Appointment and Authority</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9.02</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Rights as a Lender</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9.03</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Exculpatory Provisions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9.04</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Reliance by Administrative Agent</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122</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9.05</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Delegation of Duties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122</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9.06</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Resignation of Administrative Agent</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9.07</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Non-Reliance on Administrative Agent and Other Lenders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9.08</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No Other Duties, Etc</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9.09</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Administrative Agent May File Proofs of Claim</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9.10</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Collateral and Guaranty Matters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9.11</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w w:val="98"/>
              </w:rPr>
              <w:t>Secured Cash Management Agreements and Secured Hedge Agreements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ARTICLE X.</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MISCELLANEOUS</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126</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10.01</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Amendments, Etc</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126</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10.02</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Notices; Effectiveness; Electronic Communication</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10.03</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No Waiver; Cumulative Remedies; Enforcement</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130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10.04</w:t>
            </w:r>
          </w:p>
        </w:tc>
        <w:tc>
          <w:tcPr>
            <w:tcW w:w="7260" w:type="dxa"/>
            <w:vAlign w:val="bottom"/>
          </w:tcPr>
          <w:p>
            <w:pPr>
              <w:ind w:left="120"/>
              <w:spacing w:after="0" w:line="243" w:lineRule="exact"/>
              <w:rPr>
                <w:sz w:val="20"/>
                <w:szCs w:val="20"/>
                <w:color w:val="auto"/>
              </w:rPr>
            </w:pPr>
            <w:r>
              <w:rPr>
                <w:rFonts w:ascii="Arial" w:cs="Arial" w:eastAsia="Arial" w:hAnsi="Arial"/>
                <w:sz w:val="22"/>
                <w:szCs w:val="22"/>
                <w:color w:val="auto"/>
              </w:rPr>
              <w:t>Expenses; Indemnity; Damage Waiver</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75"/>
        </w:trPr>
        <w:tc>
          <w:tcPr>
            <w:tcW w:w="1480" w:type="dxa"/>
            <w:vAlign w:val="bottom"/>
          </w:tcPr>
          <w:p>
            <w:pPr>
              <w:spacing w:after="0"/>
              <w:rPr>
                <w:sz w:val="20"/>
                <w:szCs w:val="20"/>
                <w:color w:val="auto"/>
              </w:rPr>
            </w:pPr>
            <w:r>
              <w:rPr>
                <w:rFonts w:ascii="Arial" w:cs="Arial" w:eastAsia="Arial" w:hAnsi="Arial"/>
                <w:sz w:val="22"/>
                <w:szCs w:val="22"/>
                <w:color w:val="auto"/>
              </w:rPr>
              <w:t>10.05</w:t>
            </w:r>
          </w:p>
        </w:tc>
        <w:tc>
          <w:tcPr>
            <w:tcW w:w="7260" w:type="dxa"/>
            <w:vAlign w:val="bottom"/>
          </w:tcPr>
          <w:p>
            <w:pPr>
              <w:ind w:left="120"/>
              <w:spacing w:after="0"/>
              <w:rPr>
                <w:sz w:val="20"/>
                <w:szCs w:val="20"/>
                <w:color w:val="auto"/>
              </w:rPr>
            </w:pPr>
            <w:r>
              <w:rPr>
                <w:rFonts w:ascii="Arial" w:cs="Arial" w:eastAsia="Arial" w:hAnsi="Arial"/>
                <w:sz w:val="22"/>
                <w:szCs w:val="22"/>
                <w:color w:val="auto"/>
              </w:rPr>
              <w:t>Payments Set Aside</w:t>
            </w:r>
          </w:p>
        </w:tc>
        <w:tc>
          <w:tcPr>
            <w:tcW w:w="140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702"/>
        </w:trPr>
        <w:tc>
          <w:tcPr>
            <w:tcW w:w="1480" w:type="dxa"/>
            <w:vAlign w:val="bottom"/>
          </w:tcPr>
          <w:p>
            <w:pPr>
              <w:spacing w:after="0"/>
              <w:rPr>
                <w:sz w:val="24"/>
                <w:szCs w:val="24"/>
                <w:color w:val="auto"/>
              </w:rPr>
            </w:pPr>
          </w:p>
        </w:tc>
        <w:tc>
          <w:tcPr>
            <w:tcW w:w="7260" w:type="dxa"/>
            <w:vAlign w:val="bottom"/>
          </w:tcPr>
          <w:p>
            <w:pPr>
              <w:ind w:left="3520"/>
              <w:spacing w:after="0"/>
              <w:rPr>
                <w:sz w:val="20"/>
                <w:szCs w:val="20"/>
                <w:color w:val="auto"/>
              </w:rPr>
            </w:pPr>
            <w:r>
              <w:rPr>
                <w:rFonts w:ascii="Arial" w:cs="Arial" w:eastAsia="Arial" w:hAnsi="Arial"/>
                <w:sz w:val="22"/>
                <w:szCs w:val="22"/>
                <w:color w:val="auto"/>
              </w:rPr>
              <w:t>4</w:t>
            </w:r>
          </w:p>
        </w:tc>
        <w:tc>
          <w:tcPr>
            <w:tcW w:w="1400" w:type="dxa"/>
            <w:vAlign w:val="bottom"/>
          </w:tcPr>
          <w:p>
            <w:pPr>
              <w:spacing w:after="0"/>
              <w:rPr>
                <w:sz w:val="24"/>
                <w:szCs w:val="24"/>
                <w:color w:val="auto"/>
              </w:rPr>
            </w:pPr>
          </w:p>
        </w:tc>
      </w:tr>
      <w:tr>
        <w:trPr>
          <w:trHeight w:val="98"/>
        </w:trPr>
        <w:tc>
          <w:tcPr>
            <w:tcW w:w="1480" w:type="dxa"/>
            <w:vAlign w:val="bottom"/>
            <w:tcBorders>
              <w:bottom w:val="single" w:sz="8" w:color="9A9A9A"/>
            </w:tcBorders>
          </w:tcPr>
          <w:p>
            <w:pPr>
              <w:spacing w:after="0"/>
              <w:rPr>
                <w:sz w:val="8"/>
                <w:szCs w:val="8"/>
                <w:color w:val="auto"/>
              </w:rPr>
            </w:pPr>
          </w:p>
        </w:tc>
        <w:tc>
          <w:tcPr>
            <w:tcW w:w="7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r>
      <w:tr>
        <w:trPr>
          <w:trHeight w:val="20"/>
        </w:trPr>
        <w:tc>
          <w:tcPr>
            <w:tcW w:w="1480" w:type="dxa"/>
            <w:vAlign w:val="bottom"/>
            <w:tcBorders>
              <w:bottom w:val="single" w:sz="8" w:color="EEEEEE"/>
            </w:tcBorders>
          </w:tcPr>
          <w:p>
            <w:pPr>
              <w:spacing w:after="0" w:line="20" w:lineRule="exact"/>
              <w:rPr>
                <w:sz w:val="1"/>
                <w:szCs w:val="1"/>
                <w:color w:val="auto"/>
              </w:rPr>
            </w:pPr>
          </w:p>
        </w:tc>
        <w:tc>
          <w:tcPr>
            <w:tcW w:w="72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220" w:type="dxa"/>
            <w:vAlign w:val="bottom"/>
          </w:tcPr>
          <w:p>
            <w:pPr>
              <w:jc w:val="right"/>
              <w:ind w:right="232"/>
              <w:spacing w:after="0"/>
              <w:rPr>
                <w:sz w:val="20"/>
                <w:szCs w:val="20"/>
                <w:color w:val="auto"/>
              </w:rPr>
            </w:pPr>
            <w:r>
              <w:rPr>
                <w:rFonts w:ascii="Arial" w:cs="Arial" w:eastAsia="Arial" w:hAnsi="Arial"/>
                <w:sz w:val="22"/>
                <w:szCs w:val="22"/>
                <w:color w:val="auto"/>
              </w:rPr>
              <w:t>Page</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10.06</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Successors and Assigns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10.07</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Treatment of Certain Information; Confidentiality</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139</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10.08</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Right of Setoff</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10.09</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Interest Rate Limitation</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10.10</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Counterparts; Integration; Effectiveness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10.11</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Survival of Representations and Warranties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10.12</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Severability</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10.13</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Replacement of Lenders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10.14</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Governing Law; Jurisdiction; Etc</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10.15</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No Advisory or Fiduciary Responsibility</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10.16</w:t>
            </w:r>
          </w:p>
        </w:tc>
        <w:tc>
          <w:tcPr>
            <w:tcW w:w="7420" w:type="dxa"/>
            <w:vAlign w:val="bottom"/>
          </w:tcPr>
          <w:p>
            <w:pPr>
              <w:ind w:left="100"/>
              <w:spacing w:after="0" w:line="243" w:lineRule="exact"/>
              <w:rPr>
                <w:sz w:val="20"/>
                <w:szCs w:val="20"/>
                <w:color w:val="auto"/>
              </w:rPr>
            </w:pPr>
            <w:r>
              <w:rPr>
                <w:rFonts w:ascii="Arial" w:cs="Arial" w:eastAsia="Arial" w:hAnsi="Arial"/>
                <w:sz w:val="22"/>
                <w:szCs w:val="22"/>
                <w:color w:val="auto"/>
              </w:rPr>
              <w:t>Electronic Execution of Assignments and Certain Other Documents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10.17</w:t>
            </w:r>
          </w:p>
        </w:tc>
        <w:tc>
          <w:tcPr>
            <w:tcW w:w="7420" w:type="dxa"/>
            <w:vAlign w:val="bottom"/>
          </w:tcPr>
          <w:p>
            <w:pPr>
              <w:ind w:left="100"/>
              <w:spacing w:after="0"/>
              <w:rPr>
                <w:sz w:val="20"/>
                <w:szCs w:val="20"/>
                <w:color w:val="auto"/>
              </w:rPr>
            </w:pPr>
            <w:r>
              <w:rPr>
                <w:rFonts w:ascii="Arial" w:cs="Arial" w:eastAsia="Arial" w:hAnsi="Arial"/>
                <w:sz w:val="22"/>
                <w:szCs w:val="22"/>
                <w:color w:val="auto"/>
              </w:rPr>
              <w:t>USA PATRIOT Act</w:t>
            </w:r>
          </w:p>
        </w:tc>
        <w:tc>
          <w:tcPr>
            <w:tcW w:w="122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671"/>
        </w:trPr>
        <w:tc>
          <w:tcPr>
            <w:tcW w:w="1500" w:type="dxa"/>
            <w:vAlign w:val="bottom"/>
          </w:tcPr>
          <w:p>
            <w:pPr>
              <w:spacing w:after="0"/>
              <w:rPr>
                <w:sz w:val="20"/>
                <w:szCs w:val="20"/>
                <w:color w:val="auto"/>
              </w:rPr>
            </w:pPr>
            <w:r>
              <w:rPr>
                <w:rFonts w:ascii="Arial" w:cs="Arial" w:eastAsia="Arial" w:hAnsi="Arial"/>
                <w:sz w:val="22"/>
                <w:szCs w:val="22"/>
                <w:b w:val="1"/>
                <w:bCs w:val="1"/>
                <w:color w:val="auto"/>
              </w:rPr>
              <w:t>SCHEDULES</w:t>
            </w:r>
          </w:p>
        </w:tc>
        <w:tc>
          <w:tcPr>
            <w:tcW w:w="7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1.02</w:t>
            </w:r>
          </w:p>
        </w:tc>
        <w:tc>
          <w:tcPr>
            <w:tcW w:w="7420" w:type="dxa"/>
            <w:vAlign w:val="bottom"/>
          </w:tcPr>
          <w:p>
            <w:pPr>
              <w:ind w:left="340"/>
              <w:spacing w:after="0" w:line="243" w:lineRule="exact"/>
              <w:rPr>
                <w:sz w:val="20"/>
                <w:szCs w:val="20"/>
                <w:color w:val="auto"/>
              </w:rPr>
            </w:pPr>
            <w:r>
              <w:rPr>
                <w:rFonts w:ascii="Arial" w:cs="Arial" w:eastAsia="Arial" w:hAnsi="Arial"/>
                <w:sz w:val="22"/>
                <w:szCs w:val="22"/>
                <w:color w:val="auto"/>
              </w:rPr>
              <w:t>Existing Letters of Credit</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2.01</w:t>
            </w:r>
          </w:p>
        </w:tc>
        <w:tc>
          <w:tcPr>
            <w:tcW w:w="7420" w:type="dxa"/>
            <w:vAlign w:val="bottom"/>
          </w:tcPr>
          <w:p>
            <w:pPr>
              <w:ind w:left="340"/>
              <w:spacing w:after="0" w:line="243" w:lineRule="exact"/>
              <w:rPr>
                <w:sz w:val="20"/>
                <w:szCs w:val="20"/>
                <w:color w:val="auto"/>
              </w:rPr>
            </w:pPr>
            <w:r>
              <w:rPr>
                <w:rFonts w:ascii="Arial" w:cs="Arial" w:eastAsia="Arial" w:hAnsi="Arial"/>
                <w:sz w:val="22"/>
                <w:szCs w:val="22"/>
                <w:color w:val="auto"/>
                <w:w w:val="94"/>
              </w:rPr>
              <w:t>Commitments; Applicable Revolving Percentages and Pro Rata Term Shares</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5.12(c)</w:t>
            </w:r>
          </w:p>
        </w:tc>
        <w:tc>
          <w:tcPr>
            <w:tcW w:w="7420" w:type="dxa"/>
            <w:vAlign w:val="bottom"/>
          </w:tcPr>
          <w:p>
            <w:pPr>
              <w:ind w:left="340"/>
              <w:spacing w:after="0" w:line="243" w:lineRule="exact"/>
              <w:rPr>
                <w:sz w:val="20"/>
                <w:szCs w:val="20"/>
                <w:color w:val="auto"/>
              </w:rPr>
            </w:pPr>
            <w:r>
              <w:rPr>
                <w:rFonts w:ascii="Arial" w:cs="Arial" w:eastAsia="Arial" w:hAnsi="Arial"/>
                <w:sz w:val="22"/>
                <w:szCs w:val="22"/>
                <w:color w:val="auto"/>
              </w:rPr>
              <w:t>Pension Plans</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5.13</w:t>
            </w:r>
          </w:p>
        </w:tc>
        <w:tc>
          <w:tcPr>
            <w:tcW w:w="7420" w:type="dxa"/>
            <w:vAlign w:val="bottom"/>
          </w:tcPr>
          <w:p>
            <w:pPr>
              <w:ind w:left="340"/>
              <w:spacing w:after="0" w:line="243" w:lineRule="exact"/>
              <w:rPr>
                <w:sz w:val="20"/>
                <w:szCs w:val="20"/>
                <w:color w:val="auto"/>
              </w:rPr>
            </w:pPr>
            <w:r>
              <w:rPr>
                <w:rFonts w:ascii="Arial" w:cs="Arial" w:eastAsia="Arial" w:hAnsi="Arial"/>
                <w:sz w:val="22"/>
                <w:szCs w:val="22"/>
                <w:color w:val="auto"/>
              </w:rPr>
              <w:t>Subsidiaries and Other Equity Investments; Loan Parties</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7.01</w:t>
            </w:r>
          </w:p>
        </w:tc>
        <w:tc>
          <w:tcPr>
            <w:tcW w:w="7420" w:type="dxa"/>
            <w:vAlign w:val="bottom"/>
          </w:tcPr>
          <w:p>
            <w:pPr>
              <w:ind w:left="340"/>
              <w:spacing w:after="0" w:line="243" w:lineRule="exact"/>
              <w:rPr>
                <w:sz w:val="20"/>
                <w:szCs w:val="20"/>
                <w:color w:val="auto"/>
              </w:rPr>
            </w:pPr>
            <w:r>
              <w:rPr>
                <w:rFonts w:ascii="Arial" w:cs="Arial" w:eastAsia="Arial" w:hAnsi="Arial"/>
                <w:sz w:val="22"/>
                <w:szCs w:val="22"/>
                <w:color w:val="auto"/>
              </w:rPr>
              <w:t>Existing Liens</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7.03</w:t>
            </w:r>
          </w:p>
        </w:tc>
        <w:tc>
          <w:tcPr>
            <w:tcW w:w="7420" w:type="dxa"/>
            <w:vAlign w:val="bottom"/>
          </w:tcPr>
          <w:p>
            <w:pPr>
              <w:ind w:left="340"/>
              <w:spacing w:after="0" w:line="243" w:lineRule="exact"/>
              <w:rPr>
                <w:sz w:val="20"/>
                <w:szCs w:val="20"/>
                <w:color w:val="auto"/>
              </w:rPr>
            </w:pPr>
            <w:r>
              <w:rPr>
                <w:rFonts w:ascii="Arial" w:cs="Arial" w:eastAsia="Arial" w:hAnsi="Arial"/>
                <w:sz w:val="22"/>
                <w:szCs w:val="22"/>
                <w:color w:val="auto"/>
              </w:rPr>
              <w:t>Existing Indebtedness</w:t>
            </w:r>
          </w:p>
        </w:tc>
        <w:tc>
          <w:tcPr>
            <w:tcW w:w="1220" w:type="dxa"/>
            <w:vAlign w:val="bottom"/>
          </w:tcPr>
          <w:p>
            <w:pPr>
              <w:spacing w:after="0"/>
              <w:rPr>
                <w:sz w:val="21"/>
                <w:szCs w:val="21"/>
                <w:color w:val="auto"/>
              </w:rPr>
            </w:pPr>
          </w:p>
        </w:tc>
      </w:tr>
      <w:tr>
        <w:trPr>
          <w:trHeight w:val="275"/>
        </w:trPr>
        <w:tc>
          <w:tcPr>
            <w:tcW w:w="1500" w:type="dxa"/>
            <w:vAlign w:val="bottom"/>
          </w:tcPr>
          <w:p>
            <w:pPr>
              <w:ind w:left="120"/>
              <w:spacing w:after="0"/>
              <w:rPr>
                <w:sz w:val="20"/>
                <w:szCs w:val="20"/>
                <w:color w:val="auto"/>
              </w:rPr>
            </w:pPr>
            <w:r>
              <w:rPr>
                <w:rFonts w:ascii="Arial" w:cs="Arial" w:eastAsia="Arial" w:hAnsi="Arial"/>
                <w:sz w:val="22"/>
                <w:szCs w:val="22"/>
                <w:color w:val="auto"/>
              </w:rPr>
              <w:t>10.02</w:t>
            </w:r>
          </w:p>
        </w:tc>
        <w:tc>
          <w:tcPr>
            <w:tcW w:w="7420" w:type="dxa"/>
            <w:vAlign w:val="bottom"/>
          </w:tcPr>
          <w:p>
            <w:pPr>
              <w:ind w:left="340"/>
              <w:spacing w:after="0"/>
              <w:rPr>
                <w:sz w:val="20"/>
                <w:szCs w:val="20"/>
                <w:color w:val="auto"/>
              </w:rPr>
            </w:pPr>
            <w:r>
              <w:rPr>
                <w:rFonts w:ascii="Arial" w:cs="Arial" w:eastAsia="Arial" w:hAnsi="Arial"/>
                <w:sz w:val="22"/>
                <w:szCs w:val="22"/>
                <w:color w:val="auto"/>
              </w:rPr>
              <w:t>Administrative Agent’s Office, Certain Addresses for Notices</w:t>
            </w:r>
          </w:p>
        </w:tc>
        <w:tc>
          <w:tcPr>
            <w:tcW w:w="1220" w:type="dxa"/>
            <w:vAlign w:val="bottom"/>
          </w:tcPr>
          <w:p>
            <w:pPr>
              <w:spacing w:after="0"/>
              <w:rPr>
                <w:sz w:val="23"/>
                <w:szCs w:val="23"/>
                <w:color w:val="auto"/>
              </w:rPr>
            </w:pPr>
          </w:p>
        </w:tc>
      </w:tr>
      <w:tr>
        <w:trPr>
          <w:trHeight w:val="455"/>
        </w:trPr>
        <w:tc>
          <w:tcPr>
            <w:tcW w:w="150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7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1500" w:type="dxa"/>
            <w:vAlign w:val="bottom"/>
          </w:tcPr>
          <w:p>
            <w:pPr>
              <w:ind w:left="640"/>
              <w:spacing w:after="0" w:line="243" w:lineRule="exact"/>
              <w:rPr>
                <w:sz w:val="20"/>
                <w:szCs w:val="20"/>
                <w:color w:val="auto"/>
              </w:rPr>
            </w:pPr>
            <w:r>
              <w:rPr>
                <w:rFonts w:ascii="Arial" w:cs="Arial" w:eastAsia="Arial" w:hAnsi="Arial"/>
                <w:sz w:val="22"/>
                <w:szCs w:val="22"/>
                <w:b w:val="1"/>
                <w:bCs w:val="1"/>
                <w:i w:val="1"/>
                <w:iCs w:val="1"/>
                <w:color w:val="auto"/>
              </w:rPr>
              <w:t>Form of</w:t>
            </w:r>
          </w:p>
        </w:tc>
        <w:tc>
          <w:tcPr>
            <w:tcW w:w="7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A-1</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Committed Loan Notice for Revolving Loans and Domestic Term Loans</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A-2</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Committed Loan Notice for Singapore Term Loans</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B</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Swing Line Loan Notice</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C</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Bankers’ Acceptance Request</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D-1</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Revolving Note</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D-2</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Domestic Term Loan Note</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D-3</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Singapore Term Loan Note</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E</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Compliance Certificate</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F</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Assignment and Assumption</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G</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Administrative Questionnaire</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H</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Guaranty</w:t>
            </w:r>
          </w:p>
        </w:tc>
        <w:tc>
          <w:tcPr>
            <w:tcW w:w="1220" w:type="dxa"/>
            <w:vAlign w:val="bottom"/>
          </w:tcPr>
          <w:p>
            <w:pPr>
              <w:spacing w:after="0"/>
              <w:rPr>
                <w:sz w:val="21"/>
                <w:szCs w:val="21"/>
                <w:color w:val="auto"/>
              </w:rPr>
            </w:pPr>
          </w:p>
        </w:tc>
      </w:tr>
      <w:tr>
        <w:trPr>
          <w:trHeight w:val="243"/>
        </w:trPr>
        <w:tc>
          <w:tcPr>
            <w:tcW w:w="1500" w:type="dxa"/>
            <w:vAlign w:val="bottom"/>
          </w:tcPr>
          <w:p>
            <w:pPr>
              <w:ind w:left="120"/>
              <w:spacing w:after="0" w:line="243" w:lineRule="exact"/>
              <w:rPr>
                <w:sz w:val="20"/>
                <w:szCs w:val="20"/>
                <w:color w:val="auto"/>
              </w:rPr>
            </w:pPr>
            <w:r>
              <w:rPr>
                <w:rFonts w:ascii="Arial" w:cs="Arial" w:eastAsia="Arial" w:hAnsi="Arial"/>
                <w:sz w:val="22"/>
                <w:szCs w:val="22"/>
                <w:color w:val="auto"/>
              </w:rPr>
              <w:t>I</w:t>
            </w:r>
          </w:p>
        </w:tc>
        <w:tc>
          <w:tcPr>
            <w:tcW w:w="7420" w:type="dxa"/>
            <w:vAlign w:val="bottom"/>
          </w:tcPr>
          <w:p>
            <w:pPr>
              <w:ind w:left="320"/>
              <w:spacing w:after="0" w:line="243" w:lineRule="exact"/>
              <w:rPr>
                <w:sz w:val="20"/>
                <w:szCs w:val="20"/>
                <w:color w:val="auto"/>
              </w:rPr>
            </w:pPr>
            <w:r>
              <w:rPr>
                <w:rFonts w:ascii="Arial" w:cs="Arial" w:eastAsia="Arial" w:hAnsi="Arial"/>
                <w:sz w:val="22"/>
                <w:szCs w:val="22"/>
                <w:color w:val="auto"/>
              </w:rPr>
              <w:t>Pledge Agreement</w:t>
            </w:r>
          </w:p>
        </w:tc>
        <w:tc>
          <w:tcPr>
            <w:tcW w:w="1220" w:type="dxa"/>
            <w:vAlign w:val="bottom"/>
          </w:tcPr>
          <w:p>
            <w:pPr>
              <w:spacing w:after="0"/>
              <w:rPr>
                <w:sz w:val="21"/>
                <w:szCs w:val="21"/>
                <w:color w:val="auto"/>
              </w:rPr>
            </w:pPr>
          </w:p>
        </w:tc>
      </w:tr>
      <w:tr>
        <w:trPr>
          <w:trHeight w:val="275"/>
        </w:trPr>
        <w:tc>
          <w:tcPr>
            <w:tcW w:w="1500" w:type="dxa"/>
            <w:vAlign w:val="bottom"/>
          </w:tcPr>
          <w:p>
            <w:pPr>
              <w:ind w:left="120"/>
              <w:spacing w:after="0"/>
              <w:rPr>
                <w:sz w:val="20"/>
                <w:szCs w:val="20"/>
                <w:color w:val="auto"/>
              </w:rPr>
            </w:pPr>
            <w:r>
              <w:rPr>
                <w:rFonts w:ascii="Arial" w:cs="Arial" w:eastAsia="Arial" w:hAnsi="Arial"/>
                <w:sz w:val="22"/>
                <w:szCs w:val="22"/>
                <w:color w:val="auto"/>
              </w:rPr>
              <w:t>J</w:t>
            </w:r>
          </w:p>
        </w:tc>
        <w:tc>
          <w:tcPr>
            <w:tcW w:w="7420" w:type="dxa"/>
            <w:vAlign w:val="bottom"/>
          </w:tcPr>
          <w:p>
            <w:pPr>
              <w:ind w:left="320"/>
              <w:spacing w:after="0"/>
              <w:rPr>
                <w:sz w:val="20"/>
                <w:szCs w:val="20"/>
                <w:color w:val="auto"/>
              </w:rPr>
            </w:pPr>
            <w:r>
              <w:rPr>
                <w:rFonts w:ascii="Arial" w:cs="Arial" w:eastAsia="Arial" w:hAnsi="Arial"/>
                <w:sz w:val="22"/>
                <w:szCs w:val="22"/>
                <w:color w:val="auto"/>
              </w:rPr>
              <w:t>Opinion Matters</w:t>
            </w:r>
          </w:p>
        </w:tc>
        <w:tc>
          <w:tcPr>
            <w:tcW w:w="1220" w:type="dxa"/>
            <w:vAlign w:val="bottom"/>
          </w:tcPr>
          <w:p>
            <w:pPr>
              <w:spacing w:after="0"/>
              <w:rPr>
                <w:sz w:val="23"/>
                <w:szCs w:val="23"/>
                <w:color w:val="auto"/>
              </w:rPr>
            </w:pPr>
          </w:p>
        </w:tc>
      </w:tr>
      <w:tr>
        <w:trPr>
          <w:trHeight w:val="702"/>
        </w:trPr>
        <w:tc>
          <w:tcPr>
            <w:tcW w:w="1500" w:type="dxa"/>
            <w:vAlign w:val="bottom"/>
          </w:tcPr>
          <w:p>
            <w:pPr>
              <w:spacing w:after="0"/>
              <w:rPr>
                <w:sz w:val="24"/>
                <w:szCs w:val="24"/>
                <w:color w:val="auto"/>
              </w:rPr>
            </w:pPr>
          </w:p>
        </w:tc>
        <w:tc>
          <w:tcPr>
            <w:tcW w:w="7420" w:type="dxa"/>
            <w:vAlign w:val="bottom"/>
          </w:tcPr>
          <w:p>
            <w:pPr>
              <w:ind w:left="3500"/>
              <w:spacing w:after="0"/>
              <w:rPr>
                <w:sz w:val="20"/>
                <w:szCs w:val="20"/>
                <w:color w:val="auto"/>
              </w:rPr>
            </w:pPr>
            <w:r>
              <w:rPr>
                <w:rFonts w:ascii="Arial" w:cs="Arial" w:eastAsia="Arial" w:hAnsi="Arial"/>
                <w:sz w:val="22"/>
                <w:szCs w:val="22"/>
                <w:color w:val="auto"/>
              </w:rPr>
              <w:t>5</w:t>
            </w:r>
          </w:p>
        </w:tc>
        <w:tc>
          <w:tcPr>
            <w:tcW w:w="1220" w:type="dxa"/>
            <w:vAlign w:val="bottom"/>
          </w:tcPr>
          <w:p>
            <w:pPr>
              <w:spacing w:after="0"/>
              <w:rPr>
                <w:sz w:val="24"/>
                <w:szCs w:val="24"/>
                <w:color w:val="auto"/>
              </w:rPr>
            </w:pPr>
          </w:p>
        </w:tc>
      </w:tr>
      <w:tr>
        <w:trPr>
          <w:trHeight w:val="98"/>
        </w:trPr>
        <w:tc>
          <w:tcPr>
            <w:tcW w:w="1500" w:type="dxa"/>
            <w:vAlign w:val="bottom"/>
            <w:tcBorders>
              <w:bottom w:val="single" w:sz="8" w:color="9A9A9A"/>
            </w:tcBorders>
          </w:tcPr>
          <w:p>
            <w:pPr>
              <w:spacing w:after="0"/>
              <w:rPr>
                <w:sz w:val="8"/>
                <w:szCs w:val="8"/>
                <w:color w:val="auto"/>
              </w:rPr>
            </w:pPr>
          </w:p>
        </w:tc>
        <w:tc>
          <w:tcPr>
            <w:tcW w:w="74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r>
        <w:trPr>
          <w:trHeight w:val="20"/>
        </w:trPr>
        <w:tc>
          <w:tcPr>
            <w:tcW w:w="1500" w:type="dxa"/>
            <w:vAlign w:val="bottom"/>
            <w:tcBorders>
              <w:bottom w:val="single" w:sz="8" w:color="EEEEEE"/>
            </w:tcBorders>
          </w:tcPr>
          <w:p>
            <w:pPr>
              <w:spacing w:after="0" w:line="20" w:lineRule="exact"/>
              <w:rPr>
                <w:sz w:val="1"/>
                <w:szCs w:val="1"/>
                <w:color w:val="auto"/>
              </w:rPr>
            </w:pPr>
          </w:p>
        </w:tc>
        <w:tc>
          <w:tcPr>
            <w:tcW w:w="74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fOURTH AMENDED AND RESTATED CREDIT AGREEMENT</w:t>
      </w:r>
    </w:p>
    <w:p>
      <w:pPr>
        <w:spacing w:after="0" w:line="20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FOURTH AMENDED AND RESTATED CREDIT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entered into as of October 10, 2013, among </w:t>
      </w:r>
      <w:r>
        <w:rPr>
          <w:rFonts w:ascii="Arial" w:cs="Arial" w:eastAsia="Arial" w:hAnsi="Arial"/>
          <w:sz w:val="22"/>
          <w:szCs w:val="22"/>
          <w:b w:val="1"/>
          <w:bCs w:val="1"/>
          <w:color w:val="auto"/>
        </w:rPr>
        <w:t>WORLD FUEL SERVICES CORPORATION</w:t>
      </w:r>
      <w:r>
        <w:rPr>
          <w:rFonts w:ascii="Arial" w:cs="Arial" w:eastAsia="Arial" w:hAnsi="Arial"/>
          <w:sz w:val="22"/>
          <w:szCs w:val="22"/>
          <w:color w:val="auto"/>
        </w:rPr>
        <w:t>, a Florida corporation (“</w:t>
      </w:r>
      <w:r>
        <w:rPr>
          <w:rFonts w:ascii="Arial" w:cs="Arial" w:eastAsia="Arial" w:hAnsi="Arial"/>
          <w:sz w:val="22"/>
          <w:szCs w:val="22"/>
          <w:u w:val="single" w:color="auto"/>
          <w:color w:val="auto"/>
        </w:rPr>
        <w:t>WFS</w:t>
      </w:r>
      <w:r>
        <w:rPr>
          <w:rFonts w:ascii="Arial" w:cs="Arial" w:eastAsia="Arial" w:hAnsi="Arial"/>
          <w:sz w:val="22"/>
          <w:szCs w:val="22"/>
          <w:color w:val="auto"/>
        </w:rPr>
        <w:t xml:space="preserve">”), </w:t>
      </w:r>
      <w:r>
        <w:rPr>
          <w:rFonts w:ascii="Arial" w:cs="Arial" w:eastAsia="Arial" w:hAnsi="Arial"/>
          <w:sz w:val="22"/>
          <w:szCs w:val="22"/>
          <w:b w:val="1"/>
          <w:bCs w:val="1"/>
          <w:color w:val="auto"/>
        </w:rPr>
        <w:t>WORLD FUEL SERVICES EUROPE, LTD.</w:t>
      </w:r>
      <w:r>
        <w:rPr>
          <w:rFonts w:ascii="Arial" w:cs="Arial" w:eastAsia="Arial" w:hAnsi="Arial"/>
          <w:sz w:val="22"/>
          <w:szCs w:val="22"/>
          <w:color w:val="auto"/>
        </w:rPr>
        <w:t>, a corporation organized and existing under the laws of the United Kingdom (“</w:t>
      </w:r>
      <w:r>
        <w:rPr>
          <w:rFonts w:ascii="Arial" w:cs="Arial" w:eastAsia="Arial" w:hAnsi="Arial"/>
          <w:sz w:val="22"/>
          <w:szCs w:val="22"/>
          <w:u w:val="single" w:color="auto"/>
          <w:color w:val="auto"/>
        </w:rPr>
        <w:t>WFS Europe</w:t>
      </w:r>
      <w:r>
        <w:rPr>
          <w:rFonts w:ascii="Arial" w:cs="Arial" w:eastAsia="Arial" w:hAnsi="Arial"/>
          <w:sz w:val="22"/>
          <w:szCs w:val="22"/>
          <w:color w:val="auto"/>
        </w:rPr>
        <w:t xml:space="preserve">”), and </w:t>
      </w:r>
      <w:r>
        <w:rPr>
          <w:rFonts w:ascii="Arial" w:cs="Arial" w:eastAsia="Arial" w:hAnsi="Arial"/>
          <w:sz w:val="22"/>
          <w:szCs w:val="22"/>
          <w:b w:val="1"/>
          <w:bCs w:val="1"/>
          <w:color w:val="auto"/>
        </w:rPr>
        <w:t>WORLD FUEL SERVICES (SINGAPORE) PTE LTD</w:t>
      </w:r>
      <w:r>
        <w:rPr>
          <w:rFonts w:ascii="Arial" w:cs="Arial" w:eastAsia="Arial" w:hAnsi="Arial"/>
          <w:sz w:val="22"/>
          <w:szCs w:val="22"/>
          <w:color w:val="auto"/>
        </w:rPr>
        <w:t>, a corporation organized and existing under the laws of the Republic of Singapore (“</w:t>
      </w:r>
      <w:r>
        <w:rPr>
          <w:rFonts w:ascii="Arial" w:cs="Arial" w:eastAsia="Arial" w:hAnsi="Arial"/>
          <w:sz w:val="22"/>
          <w:szCs w:val="22"/>
          <w:u w:val="single" w:color="auto"/>
          <w:color w:val="auto"/>
        </w:rPr>
        <w:t>WFS Singapore</w:t>
      </w:r>
      <w:r>
        <w:rPr>
          <w:rFonts w:ascii="Arial" w:cs="Arial" w:eastAsia="Arial" w:hAnsi="Arial"/>
          <w:sz w:val="22"/>
          <w:szCs w:val="22"/>
          <w:color w:val="auto"/>
        </w:rPr>
        <w:t>”, and together with WFS and WFS Europe, each a “</w:t>
      </w:r>
      <w:r>
        <w:rPr>
          <w:rFonts w:ascii="Arial" w:cs="Arial" w:eastAsia="Arial" w:hAnsi="Arial"/>
          <w:sz w:val="22"/>
          <w:szCs w:val="22"/>
          <w:u w:val="single" w:color="auto"/>
          <w:color w:val="auto"/>
        </w:rPr>
        <w:t>Borrower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Borrowers</w:t>
      </w:r>
      <w:r>
        <w:rPr>
          <w:rFonts w:ascii="Arial" w:cs="Arial" w:eastAsia="Arial" w:hAnsi="Arial"/>
          <w:sz w:val="22"/>
          <w:szCs w:val="22"/>
          <w:color w:val="auto"/>
        </w:rPr>
        <w:t>”), each lender from time to time party 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individually, a “</w:t>
      </w:r>
      <w:r>
        <w:rPr>
          <w:rFonts w:ascii="Arial" w:cs="Arial" w:eastAsia="Arial" w:hAnsi="Arial"/>
          <w:sz w:val="22"/>
          <w:szCs w:val="22"/>
          <w:u w:val="single" w:color="auto"/>
          <w:color w:val="auto"/>
        </w:rPr>
        <w:t>Lender</w:t>
      </w:r>
      <w:r>
        <w:rPr>
          <w:rFonts w:ascii="Arial" w:cs="Arial" w:eastAsia="Arial" w:hAnsi="Arial"/>
          <w:sz w:val="22"/>
          <w:szCs w:val="22"/>
          <w:color w:val="auto"/>
        </w:rPr>
        <w:t xml:space="preserve">”), </w:t>
      </w:r>
      <w:r>
        <w:rPr>
          <w:rFonts w:ascii="Arial" w:cs="Arial" w:eastAsia="Arial" w:hAnsi="Arial"/>
          <w:sz w:val="22"/>
          <w:szCs w:val="22"/>
          <w:b w:val="1"/>
          <w:bCs w:val="1"/>
          <w:color w:val="auto"/>
        </w:rPr>
        <w:t>BANK OF AMERICA, N.A.,</w:t>
      </w:r>
      <w:r>
        <w:rPr>
          <w:rFonts w:ascii="Arial" w:cs="Arial" w:eastAsia="Arial" w:hAnsi="Arial"/>
          <w:sz w:val="22"/>
          <w:szCs w:val="22"/>
          <w:color w:val="auto"/>
        </w:rPr>
        <w:t xml:space="preserve"> as Administrative Agent, Swing Line Lender and L/C-BA Issuer, and </w:t>
      </w:r>
      <w:r>
        <w:rPr>
          <w:rFonts w:ascii="Arial" w:cs="Arial" w:eastAsia="Arial" w:hAnsi="Arial"/>
          <w:sz w:val="22"/>
          <w:szCs w:val="22"/>
          <w:b w:val="1"/>
          <w:bCs w:val="1"/>
          <w:color w:val="auto"/>
        </w:rPr>
        <w:t>BANK OF AMERICA, N.A., SINGAPORE BRANCH</w:t>
      </w:r>
      <w:r>
        <w:rPr>
          <w:rFonts w:ascii="Arial" w:cs="Arial" w:eastAsia="Arial" w:hAnsi="Arial"/>
          <w:sz w:val="22"/>
          <w:szCs w:val="22"/>
          <w:color w:val="auto"/>
        </w:rPr>
        <w:t>, as Singapore Agent.</w:t>
      </w:r>
    </w:p>
    <w:p>
      <w:pPr>
        <w:spacing w:after="0" w:line="190" w:lineRule="exact"/>
        <w:rPr>
          <w:sz w:val="20"/>
          <w:szCs w:val="20"/>
          <w:color w:val="auto"/>
        </w:rPr>
      </w:pPr>
    </w:p>
    <w:p>
      <w:pPr>
        <w:jc w:val="both"/>
        <w:ind w:firstLine="645"/>
        <w:spacing w:after="0" w:line="275" w:lineRule="auto"/>
        <w:tabs>
          <w:tab w:leader="none" w:pos="1507"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Borrowers, Bank of America, N.A, as administrative agent, and the lenders party thereto (the “</w:t>
      </w:r>
      <w:r>
        <w:rPr>
          <w:rFonts w:ascii="Arial" w:cs="Arial" w:eastAsia="Arial" w:hAnsi="Arial"/>
          <w:sz w:val="19"/>
          <w:szCs w:val="19"/>
          <w:u w:val="single" w:color="auto"/>
          <w:color w:val="auto"/>
        </w:rPr>
        <w:t>Existing Lenders</w:t>
      </w:r>
      <w:r>
        <w:rPr>
          <w:rFonts w:ascii="Arial" w:cs="Arial" w:eastAsia="Arial" w:hAnsi="Arial"/>
          <w:sz w:val="19"/>
          <w:szCs w:val="19"/>
          <w:color w:val="auto"/>
        </w:rPr>
        <w:t>”) entered into that certain Third Amended and Restated Credit Agreement dated as of September 8, 2010 (as amended by that certain Amendment No. 1 to Credit Agreement dated July 28, 2011 and that certain Amendment No. 2 to Credit Agreement and Joinder Agreement dated as of April 10, 2012, the “</w:t>
      </w:r>
      <w:r>
        <w:rPr>
          <w:rFonts w:ascii="Arial" w:cs="Arial" w:eastAsia="Arial" w:hAnsi="Arial"/>
          <w:sz w:val="19"/>
          <w:szCs w:val="19"/>
          <w:u w:val="single" w:color="auto"/>
          <w:color w:val="auto"/>
        </w:rPr>
        <w:t>Existing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which certain of the Existing Lenders have made available to the Borrowers a $800,000,000 revolving credit facility with a swing line sublimit and a letter of credit sublimit, certain of the Existing Lenders have funded Domestic Term Loans in the original principal amount of $200,000,000 and the Singapore Term Loan Lenders have funded Singapore Term Loans in the original principal amount of $50,000,000.</w:t>
      </w:r>
    </w:p>
    <w:p>
      <w:pPr>
        <w:spacing w:after="0" w:line="158" w:lineRule="exact"/>
        <w:rPr>
          <w:rFonts w:ascii="Arial" w:cs="Arial" w:eastAsia="Arial" w:hAnsi="Arial"/>
          <w:sz w:val="19"/>
          <w:szCs w:val="19"/>
          <w:color w:val="auto"/>
        </w:rPr>
      </w:pPr>
    </w:p>
    <w:p>
      <w:pPr>
        <w:jc w:val="both"/>
        <w:ind w:right="20" w:firstLine="645"/>
        <w:spacing w:after="0" w:line="287" w:lineRule="auto"/>
        <w:tabs>
          <w:tab w:leader="none" w:pos="1495"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The Borrowers have requested that the Existing Credit Agreement be further amended and restated to, among other things, extend and increase the aggregate maximum principal amount of the revolving credit facility, without exercising </w:t>
      </w:r>
      <w:r>
        <w:rPr>
          <w:rFonts w:ascii="Arial" w:cs="Arial" w:eastAsia="Arial" w:hAnsi="Arial"/>
          <w:sz w:val="19"/>
          <w:szCs w:val="19"/>
          <w:u w:val="single" w:color="auto"/>
          <w:color w:val="auto"/>
        </w:rPr>
        <w:t>Section 2.14</w:t>
      </w:r>
      <w:r>
        <w:rPr>
          <w:rFonts w:ascii="Arial" w:cs="Arial" w:eastAsia="Arial" w:hAnsi="Arial"/>
          <w:sz w:val="19"/>
          <w:szCs w:val="19"/>
          <w:color w:val="auto"/>
        </w:rPr>
        <w:t>, and make certain other changes as set forth herein (the “</w:t>
      </w:r>
      <w:r>
        <w:rPr>
          <w:rFonts w:ascii="Arial" w:cs="Arial" w:eastAsia="Arial" w:hAnsi="Arial"/>
          <w:sz w:val="19"/>
          <w:szCs w:val="19"/>
          <w:u w:val="single" w:color="auto"/>
          <w:color w:val="auto"/>
        </w:rPr>
        <w:t>Restatement</w:t>
      </w:r>
      <w:r>
        <w:rPr>
          <w:rFonts w:ascii="Arial" w:cs="Arial" w:eastAsia="Arial" w:hAnsi="Arial"/>
          <w:sz w:val="19"/>
          <w:szCs w:val="19"/>
          <w:color w:val="auto"/>
        </w:rPr>
        <w:t>”), and the Administrative Agent and the Lenders are willing to make such amendments as evidenced by the Restatement.</w:t>
      </w:r>
    </w:p>
    <w:p>
      <w:pPr>
        <w:spacing w:after="0" w:line="143" w:lineRule="exact"/>
        <w:rPr>
          <w:rFonts w:ascii="Arial" w:cs="Arial" w:eastAsia="Arial" w:hAnsi="Arial"/>
          <w:sz w:val="19"/>
          <w:szCs w:val="19"/>
          <w:color w:val="auto"/>
        </w:rPr>
      </w:pPr>
    </w:p>
    <w:p>
      <w:pPr>
        <w:ind w:right="20" w:firstLine="645"/>
        <w:spacing w:after="0" w:line="251" w:lineRule="auto"/>
        <w:tabs>
          <w:tab w:leader="none" w:pos="1495" w:val="left"/>
        </w:tabs>
        <w:numPr>
          <w:ilvl w:val="0"/>
          <w:numId w:val="14"/>
        </w:numPr>
        <w:rPr>
          <w:rFonts w:ascii="Arial" w:cs="Arial" w:eastAsia="Arial" w:hAnsi="Arial"/>
          <w:sz w:val="22"/>
          <w:szCs w:val="22"/>
          <w:color w:val="auto"/>
        </w:rPr>
      </w:pPr>
      <w:r>
        <w:rPr>
          <w:rFonts w:ascii="Arial" w:cs="Arial" w:eastAsia="Arial" w:hAnsi="Arial"/>
          <w:sz w:val="22"/>
          <w:szCs w:val="22"/>
          <w:color w:val="auto"/>
        </w:rPr>
        <w:t>Certain of the Existing Lenders have assigned all of their interests under the Existing Agreement to the Administrative Agent substantially simultaneously with the effectiveness hereof.</w:t>
      </w:r>
    </w:p>
    <w:p>
      <w:pPr>
        <w:spacing w:after="0" w:line="173" w:lineRule="exact"/>
        <w:rPr>
          <w:rFonts w:ascii="Arial" w:cs="Arial" w:eastAsia="Arial" w:hAnsi="Arial"/>
          <w:sz w:val="22"/>
          <w:szCs w:val="22"/>
          <w:color w:val="auto"/>
        </w:rPr>
      </w:pPr>
    </w:p>
    <w:p>
      <w:pPr>
        <w:jc w:val="both"/>
        <w:ind w:right="20" w:firstLine="645"/>
        <w:spacing w:after="0" w:line="297" w:lineRule="auto"/>
        <w:tabs>
          <w:tab w:leader="none" w:pos="1507"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As further provided herein and upon the terms and conditions contained herein, the Revolving Lenders (as of the Closing Date) and the Administrative Agent have agreed to allocate and reallocate the Revolving Commitment and Applicable Revolving Percentages of each of the Revolving Lenders as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jc w:val="both"/>
        <w:ind w:right="20" w:firstLine="645"/>
        <w:spacing w:after="0" w:line="238" w:lineRule="auto"/>
        <w:tabs>
          <w:tab w:leader="none" w:pos="1483"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As further provided herein and upon the terms and conditions contained herein, the Domestic Term Loan Lenders (as of the Closing Date) and the Administrative Agent have agreed to reallocate the outstanding Domestic Term Loans and Applicable Percentages of each of the Domestic Term Loan Lenders as set forth on </w:t>
      </w:r>
      <w:r>
        <w:rPr>
          <w:rFonts w:ascii="Arial" w:cs="Arial" w:eastAsia="Arial" w:hAnsi="Arial"/>
          <w:sz w:val="22"/>
          <w:szCs w:val="22"/>
          <w:u w:val="single" w:color="auto"/>
          <w:color w:val="auto"/>
        </w:rPr>
        <w:t>Schedule 2.01</w:t>
      </w:r>
      <w:r>
        <w:rPr>
          <w:rFonts w:ascii="Arial" w:cs="Arial" w:eastAsia="Arial" w:hAnsi="Arial"/>
          <w:sz w:val="22"/>
          <w:szCs w:val="22"/>
          <w:color w:val="auto"/>
        </w:rPr>
        <w:t>.</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consideration of the mutual covenants and agreements herein contained, the parties hereto covenant and agree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ARTICLE I. DEFINITIONS AND ACCOUNTING TERMS</w:t>
      </w:r>
    </w:p>
    <w:p>
      <w:pPr>
        <w:spacing w:after="0" w:line="207" w:lineRule="exact"/>
        <w:rPr>
          <w:sz w:val="20"/>
          <w:szCs w:val="20"/>
          <w:color w:val="auto"/>
        </w:rPr>
      </w:pPr>
    </w:p>
    <w:p>
      <w:pPr>
        <w:ind w:left="20" w:right="20" w:firstLine="648"/>
        <w:spacing w:after="0" w:line="256" w:lineRule="auto"/>
        <w:rPr>
          <w:sz w:val="20"/>
          <w:szCs w:val="20"/>
          <w:color w:val="auto"/>
        </w:rPr>
      </w:pPr>
      <w:r>
        <w:rPr>
          <w:rFonts w:ascii="Arial" w:cs="Arial" w:eastAsia="Arial" w:hAnsi="Arial"/>
          <w:sz w:val="22"/>
          <w:szCs w:val="22"/>
          <w:b w:val="1"/>
          <w:bCs w:val="1"/>
          <w:color w:val="auto"/>
        </w:rPr>
        <w:t>1.01 Amendment and Restatement</w:t>
      </w:r>
      <w:r>
        <w:rPr>
          <w:rFonts w:ascii="Arial" w:cs="Arial" w:eastAsia="Arial" w:hAnsi="Arial"/>
          <w:sz w:val="22"/>
          <w:szCs w:val="22"/>
          <w:color w:val="auto"/>
        </w:rPr>
        <w:t>. In order to facilitate the Restatement and otherwise to effectuate</w:t>
      </w:r>
      <w:r>
        <w:rPr>
          <w:rFonts w:ascii="Arial" w:cs="Arial" w:eastAsia="Arial" w:hAnsi="Arial"/>
          <w:sz w:val="22"/>
          <w:szCs w:val="22"/>
          <w:b w:val="1"/>
          <w:bCs w:val="1"/>
          <w:color w:val="auto"/>
        </w:rPr>
        <w:t xml:space="preserve"> </w:t>
      </w:r>
      <w:r>
        <w:rPr>
          <w:rFonts w:ascii="Arial" w:cs="Arial" w:eastAsia="Arial" w:hAnsi="Arial"/>
          <w:sz w:val="22"/>
          <w:szCs w:val="22"/>
          <w:color w:val="auto"/>
        </w:rPr>
        <w:t>the desires of the Borrowers, the Administrative Agent and the Lenders:</w:t>
      </w:r>
    </w:p>
    <w:p>
      <w:pPr>
        <w:spacing w:after="0" w:line="169" w:lineRule="exact"/>
        <w:rPr>
          <w:sz w:val="20"/>
          <w:szCs w:val="20"/>
          <w:color w:val="auto"/>
        </w:rPr>
      </w:pPr>
    </w:p>
    <w:p>
      <w:pPr>
        <w:jc w:val="both"/>
        <w:ind w:firstLine="645"/>
        <w:spacing w:after="0" w:line="269" w:lineRule="auto"/>
        <w:tabs>
          <w:tab w:leader="none" w:pos="1293"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Simultaneously with the date hereof, the parties hereto hereby agree that (i) the Revolving Commitments shall be as set forth in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the portion of Revolving Loans (as defined in the Existing Credit Agreement) outstanding under the Existing Credit Agreement shall be reallocated in accordance with such Revolving Commitments and the requisite assignments shall be deemed to be made in such amounts by and between the Revolving Lenders and from each Revolving Lender to each other Revolving Lender, with the same force and effect as if such assignments were evidenced by applicable Assignment and Assumptions (as defined in the Existing Credit Agreement) under the Existing Credit Agreement, and (ii) the Domestic Term Loan Commitments shall be zero and the portion of Domestic Term Loans (as defined in the Existing Credit Agreement) outstanding under the Existing Credit Agreement shall be reallocated in accordance with each Domestic Term Loan Lender’s Applicable Percentage set forth in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the requisite assignments shall be deemed to be made in such amounts by and between the Domestic Term Loan Lenders and from each Domestic Term Loan Lender to each other Domestic Term Loan Lender, with the same force and effect as if such assignments were evidenced by applicable Assignment and Assumptions (as defined in the Existing Credit Agreement) under the Existing Credit Agreement. Notwithstanding anything to the contrary in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of the Existing Credit Agreement or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Closing Date, the Revolving Lenders and the Domestic Term Loan Lenders, respectively, shall make full cash settlement with each other either directly or through the Administrative Agent, as the Administrative Agent may direct or approve, with respect to all assignments, reallocations and other changes in Commitments (as such term is defined in the Existing Credit Agreement) such that after giving effect to such settlements each Revolving Lender’s Applicable Revolving Percentage and each Domestic Term Loan Lender’s Pro Rata Share of the Domestic Term Loans shall be as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right="20" w:firstLine="645"/>
        <w:spacing w:after="0" w:line="279" w:lineRule="auto"/>
        <w:tabs>
          <w:tab w:leader="none" w:pos="1305"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Borrowers, the Administrative Agent, and the Lenders hereby agree that upon the effectiveness of this Agreement, the terms and provisions of the Existing Credit Agreement which in any manner govern or evidence the Obligations, the rights and interests of the Administrative Agent and the Lenders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51"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Notwithstanding this amendment and restatement of the Existing Credit Agreement, including anything in this </w:t>
      </w:r>
      <w:r>
        <w:rPr>
          <w:rFonts w:ascii="Arial" w:cs="Arial" w:eastAsia="Arial" w:hAnsi="Arial"/>
          <w:sz w:val="22"/>
          <w:szCs w:val="22"/>
          <w:u w:val="single" w:color="auto"/>
          <w:color w:val="auto"/>
        </w:rPr>
        <w:t>Section 1.01</w:t>
      </w:r>
      <w:r>
        <w:rPr>
          <w:rFonts w:ascii="Arial" w:cs="Arial" w:eastAsia="Arial" w:hAnsi="Arial"/>
          <w:sz w:val="22"/>
          <w:szCs w:val="22"/>
          <w:color w:val="auto"/>
        </w:rPr>
        <w:t>, and in any related “Loan Documents” (as such term is defined in the Existing Credit Agreement and referred to herein, individually or collectively, as the “</w:t>
      </w:r>
      <w:r>
        <w:rPr>
          <w:rFonts w:ascii="Arial" w:cs="Arial" w:eastAsia="Arial" w:hAnsi="Arial"/>
          <w:sz w:val="22"/>
          <w:szCs w:val="22"/>
          <w:u w:val="single" w:color="auto"/>
          <w:color w:val="auto"/>
        </w:rPr>
        <w:t>Existing Loan Documents</w:t>
      </w:r>
      <w:r>
        <w:rPr>
          <w:rFonts w:ascii="Arial" w:cs="Arial" w:eastAsia="Arial" w:hAnsi="Arial"/>
          <w:sz w:val="22"/>
          <w:szCs w:val="22"/>
          <w:color w:val="auto"/>
        </w:rPr>
        <w:t>”) (i) all of the indebtedness, liabilities and obligations owing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52" w:name="page53"/>
    <w:bookmarkEnd w:id="52"/>
    <w:p>
      <w:pPr>
        <w:jc w:val="both"/>
        <w:spacing w:after="0" w:line="272" w:lineRule="auto"/>
        <w:rPr>
          <w:sz w:val="20"/>
          <w:szCs w:val="20"/>
          <w:color w:val="auto"/>
        </w:rPr>
      </w:pPr>
      <w:r>
        <w:rPr>
          <w:rFonts w:ascii="Arial" w:cs="Arial" w:eastAsia="Arial" w:hAnsi="Arial"/>
          <w:sz w:val="19"/>
          <w:szCs w:val="19"/>
          <w:color w:val="auto"/>
        </w:rPr>
        <w:t xml:space="preserve">any Person under the Existing Credit Agreement and other Existing Loan Documents outstanding as of the Closing Date shall continue as Obligations hereunder, and (ii) neither the execution and delivery of this Agreement and any other Loan Document (as defined herein) nor the consummation of any other transaction contemplated hereunder is intended to constitute a novation of the Existing Credit Agreement or of any of the other Existing Loan Documents or any obligations thereunder outstanding as of the Closing Date. Notwithstanding the foregoing, each Lender holding a Note issued under the Existing Credit Agreement (the “Existing Notes”) hereby agrees that it is accepting a Note or Notes hereunder in substitution of its Existing Note(s) and such Existing Note(s) shall be destroyed and the terms thereof shall be null and void. On the Closing Date, the Interest Periods for all Eurodollar Rate Loans outstanding under the Existing Credit Agreement shall be terminated, the Borrowers shall pay all accrued interest with respect to such Loans, and the Borrowers shall furnish to the Administrative Agent Loan Notices selecting the interest rates for existing Loans. The Existing Lenders agree that the transactions contemplated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w:t>
      </w:r>
      <w:r>
        <w:rPr>
          <w:rFonts w:ascii="Arial" w:cs="Arial" w:eastAsia="Arial" w:hAnsi="Arial"/>
          <w:sz w:val="19"/>
          <w:szCs w:val="19"/>
          <w:color w:val="auto"/>
        </w:rPr>
        <w:t xml:space="preserve"> shall not give rise to any obligation of any Borrower to make any payment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of the Existing Credit Agreement.</w:t>
      </w:r>
    </w:p>
    <w:p>
      <w:pPr>
        <w:spacing w:after="0" w:line="39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Defined Terms</w:t>
      </w:r>
      <w:r>
        <w:rPr>
          <w:rFonts w:ascii="Arial" w:cs="Arial" w:eastAsia="Arial" w:hAnsi="Arial"/>
          <w:sz w:val="19"/>
          <w:szCs w:val="19"/>
          <w:color w:val="auto"/>
        </w:rPr>
        <w:t>. As used in this Agreement, the following terms shall have the meanings set forth</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jc w:val="both"/>
        <w:ind w:right="20" w:firstLine="70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2015 Domestic Term Loan</w:t>
      </w:r>
      <w:r>
        <w:rPr>
          <w:rFonts w:ascii="Arial" w:cs="Arial" w:eastAsia="Arial" w:hAnsi="Arial"/>
          <w:sz w:val="22"/>
          <w:szCs w:val="22"/>
          <w:color w:val="auto"/>
        </w:rPr>
        <w:t>” means an advance made by any 2015 Domestic Term Loan Lender under the 2015 Domestic Term Loan Facility.</w:t>
      </w:r>
    </w:p>
    <w:p>
      <w:pPr>
        <w:spacing w:after="0" w:line="173"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2015 Domestic Term Loan Borrowing</w:t>
      </w:r>
      <w:r>
        <w:rPr>
          <w:rFonts w:ascii="Arial" w:cs="Arial" w:eastAsia="Arial" w:hAnsi="Arial"/>
          <w:sz w:val="22"/>
          <w:szCs w:val="22"/>
          <w:color w:val="auto"/>
        </w:rPr>
        <w:t xml:space="preserve">” means, collectively, the borrowing funded on the Amendment No. 1 Effective Date by the 2015 Domestic Term Loan Lenders pursuant to </w:t>
      </w:r>
      <w:r>
        <w:rPr>
          <w:rFonts w:ascii="Arial" w:cs="Arial" w:eastAsia="Arial" w:hAnsi="Arial"/>
          <w:sz w:val="22"/>
          <w:szCs w:val="22"/>
          <w:u w:val="single" w:color="auto"/>
          <w:color w:val="auto"/>
        </w:rPr>
        <w:t>Section 2.01(a)(iii)</w:t>
      </w:r>
      <w:r>
        <w:rPr>
          <w:rFonts w:ascii="Arial" w:cs="Arial" w:eastAsia="Arial" w:hAnsi="Arial"/>
          <w:sz w:val="22"/>
          <w:szCs w:val="22"/>
          <w:color w:val="auto"/>
        </w:rPr>
        <w:t xml:space="preserve"> consisting of simultaneous 2015 Domestic Term Loans of the same Type and, in the case of Eurodollar Rate Loans, having the same Interest Period.</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2015 Domestic Term Loan Commitment</w:t>
      </w:r>
      <w:r>
        <w:rPr>
          <w:rFonts w:ascii="Arial" w:cs="Arial" w:eastAsia="Arial" w:hAnsi="Arial"/>
          <w:sz w:val="22"/>
          <w:szCs w:val="22"/>
          <w:color w:val="auto"/>
        </w:rPr>
        <w:t xml:space="preserve">” means, as to each 2015 Domestic Term Loan Lender (as of the Amendment No. 1 Effective Date), its obligation to make a 2015 Domestic Term Loan to WFS pursuant to </w:t>
      </w:r>
      <w:r>
        <w:rPr>
          <w:rFonts w:ascii="Arial" w:cs="Arial" w:eastAsia="Arial" w:hAnsi="Arial"/>
          <w:sz w:val="22"/>
          <w:szCs w:val="22"/>
          <w:u w:val="single" w:color="auto"/>
          <w:color w:val="auto"/>
        </w:rPr>
        <w:t>Section 2.01(a)(iii)</w:t>
      </w:r>
      <w:r>
        <w:rPr>
          <w:rFonts w:ascii="Arial" w:cs="Arial" w:eastAsia="Arial" w:hAnsi="Arial"/>
          <w:sz w:val="22"/>
          <w:szCs w:val="22"/>
          <w:color w:val="auto"/>
        </w:rPr>
        <w:t xml:space="preserve"> in the principal amount set forth opposite such 2015 Domestic Term Loan Lender’s name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under the caption “2015 Domestic Term Loan Commitment.”</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2015 Domestic Term Loan Facility</w:t>
      </w:r>
      <w:r>
        <w:rPr>
          <w:rFonts w:ascii="Arial" w:cs="Arial" w:eastAsia="Arial" w:hAnsi="Arial"/>
          <w:sz w:val="22"/>
          <w:szCs w:val="22"/>
          <w:color w:val="auto"/>
        </w:rPr>
        <w:t xml:space="preserve">” means the facility described in </w:t>
      </w:r>
      <w:r>
        <w:rPr>
          <w:rFonts w:ascii="Arial" w:cs="Arial" w:eastAsia="Arial" w:hAnsi="Arial"/>
          <w:sz w:val="22"/>
          <w:szCs w:val="22"/>
          <w:u w:val="single" w:color="auto"/>
          <w:color w:val="auto"/>
        </w:rPr>
        <w:t>Section 2.01(a)(iii)</w:t>
      </w:r>
      <w:r>
        <w:rPr>
          <w:rFonts w:ascii="Arial" w:cs="Arial" w:eastAsia="Arial" w:hAnsi="Arial"/>
          <w:sz w:val="22"/>
          <w:szCs w:val="22"/>
          <w:color w:val="auto"/>
        </w:rPr>
        <w:t xml:space="preserve"> providing for the making of 2015 Domestic Term Loans to WFS by the 2015 Domestic Term Loan Lenders on the Amendment No. 1 Effective Date in the aggregate principal amount of $100,000,000.</w:t>
      </w:r>
    </w:p>
    <w:p>
      <w:pPr>
        <w:spacing w:after="0" w:line="18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2015 Domestic Term Loan Lender</w:t>
      </w:r>
      <w:r>
        <w:rPr>
          <w:rFonts w:ascii="Arial" w:cs="Arial" w:eastAsia="Arial" w:hAnsi="Arial"/>
          <w:sz w:val="22"/>
          <w:szCs w:val="22"/>
          <w:color w:val="auto"/>
        </w:rPr>
        <w:t>” means, at any time, any Lender that holds 2015 Domestic Term Loans at such time.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75% Guaranty Threshold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6.12(b)</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Acceptance Credit</w:t>
      </w:r>
      <w:r>
        <w:rPr>
          <w:rFonts w:ascii="Arial" w:cs="Arial" w:eastAsia="Arial" w:hAnsi="Arial"/>
          <w:sz w:val="22"/>
          <w:szCs w:val="22"/>
          <w:color w:val="auto"/>
        </w:rPr>
        <w:t>” means a commercial Letter of Credit in which the L/C-BA Issuer engages with the beneficiary of such Letter of Credit to accept a time draft.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53" w:name="page54"/>
    <w:bookmarkEnd w:id="53"/>
    <w:p>
      <w:pPr>
        <w:jc w:val="both"/>
        <w:ind w:left="4"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Acceptance Documents</w:t>
      </w:r>
      <w:r>
        <w:rPr>
          <w:rFonts w:ascii="Arial" w:cs="Arial" w:eastAsia="Arial" w:hAnsi="Arial"/>
          <w:sz w:val="21"/>
          <w:szCs w:val="21"/>
          <w:color w:val="auto"/>
        </w:rPr>
        <w:t>” means such general acceptance agreements, applications, certificates and other documents as the L/C-BA Issuer may require in connection with the creation of L/C Issued BAs.</w:t>
      </w:r>
    </w:p>
    <w:p>
      <w:pPr>
        <w:spacing w:after="0" w:line="15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has the meaning specified for such term in the UCC.</w:t>
      </w:r>
    </w:p>
    <w:p>
      <w:pPr>
        <w:spacing w:after="0" w:line="206" w:lineRule="exact"/>
        <w:rPr>
          <w:sz w:val="20"/>
          <w:szCs w:val="20"/>
          <w:color w:val="auto"/>
        </w:rPr>
      </w:pPr>
    </w:p>
    <w:p>
      <w:pPr>
        <w:jc w:val="both"/>
        <w:ind w:left="4" w:right="2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any transaction or series of related transactions for the purpose of or resulting, directly or indirectly, in (a) the acquisition of all or substantially all of the assets of a Person, or of all or substantially all of any business or division of a Person that is not already a Restricted Subsidiary of such Person, (b) the acquisition of in excess of 50% of the Equity Interests of any Person, or otherwise causing any Person to become a Restricted Subsidiary (other than as a result of the creation of such Person as a Restricted Subsidiary), or (c) a merger or consolidation or any other combination with another Person (other than a Person that is already a Restricted Subsidiary).</w:t>
      </w:r>
    </w:p>
    <w:p>
      <w:pPr>
        <w:spacing w:after="0" w:line="191" w:lineRule="exact"/>
        <w:rPr>
          <w:sz w:val="20"/>
          <w:szCs w:val="20"/>
          <w:color w:val="auto"/>
        </w:rPr>
      </w:pPr>
    </w:p>
    <w:p>
      <w:pPr>
        <w:jc w:val="both"/>
        <w:ind w:left="4"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Bank of America in its capacity as administrative agent for the Lenders under any of the Loan Documents, or any successor administrative agent, and, in the case of fundings, payments, interest rate selections, fees, assignments, participations and notices relating to the Singapore Term Loan, the Singapore Agent, in its capacity as administrative agent with respect to the Singapore Term Loan.</w:t>
      </w:r>
    </w:p>
    <w:p>
      <w:pPr>
        <w:spacing w:after="0" w:line="143" w:lineRule="exact"/>
        <w:rPr>
          <w:sz w:val="20"/>
          <w:szCs w:val="20"/>
          <w:color w:val="auto"/>
        </w:rPr>
      </w:pPr>
    </w:p>
    <w:p>
      <w:pPr>
        <w:jc w:val="both"/>
        <w:ind w:left="4" w:right="2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Agent’s Office</w:t>
      </w:r>
      <w:r>
        <w:rPr>
          <w:rFonts w:ascii="Arial" w:cs="Arial" w:eastAsia="Arial" w:hAnsi="Arial"/>
          <w:sz w:val="21"/>
          <w:szCs w:val="21"/>
          <w:color w:val="auto"/>
        </w:rPr>
        <w:t xml:space="preserve">” means the Administrative Agent’s or the Singapore Agent’s, as applicable, address and, as appropriate, account as set forth on </w:t>
      </w:r>
      <w:r>
        <w:rPr>
          <w:rFonts w:ascii="Arial" w:cs="Arial" w:eastAsia="Arial" w:hAnsi="Arial"/>
          <w:sz w:val="21"/>
          <w:szCs w:val="21"/>
          <w:u w:val="single" w:color="auto"/>
          <w:color w:val="auto"/>
        </w:rPr>
        <w:t>Schedule 10.02</w:t>
      </w:r>
      <w:r>
        <w:rPr>
          <w:rFonts w:ascii="Arial" w:cs="Arial" w:eastAsia="Arial" w:hAnsi="Arial"/>
          <w:sz w:val="21"/>
          <w:szCs w:val="21"/>
          <w:color w:val="auto"/>
        </w:rPr>
        <w:t>, or such other address or account as the Administrative Agent may from time to time notify to the Borrowing Agent and the Lenders.</w:t>
      </w:r>
    </w:p>
    <w:p>
      <w:pPr>
        <w:spacing w:after="0" w:line="167"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xml:space="preserve">” means an Administrative Questionnaire in substantially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or any other form approved by the Administrative Agent.</w:t>
      </w:r>
    </w:p>
    <w:p>
      <w:pPr>
        <w:spacing w:after="0" w:line="173" w:lineRule="exact"/>
        <w:rPr>
          <w:sz w:val="20"/>
          <w:szCs w:val="20"/>
          <w:color w:val="auto"/>
        </w:rPr>
      </w:pPr>
    </w:p>
    <w:p>
      <w:pPr>
        <w:jc w:val="both"/>
        <w:ind w:left="4"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another Person that directly, or indirectly through one or more intermediaries, Controls or is Controlled by or is under common Control with the Person specified.</w:t>
      </w:r>
    </w:p>
    <w:p>
      <w:pPr>
        <w:spacing w:after="0" w:line="15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the Commitments of all the Lenders.</w:t>
      </w:r>
    </w:p>
    <w:p>
      <w:pPr>
        <w:spacing w:after="0" w:line="206" w:lineRule="exact"/>
        <w:rPr>
          <w:sz w:val="20"/>
          <w:szCs w:val="20"/>
          <w:color w:val="auto"/>
        </w:rPr>
      </w:pPr>
    </w:p>
    <w:p>
      <w:pPr>
        <w:jc w:val="both"/>
        <w:ind w:left="4"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Commitments</w:t>
      </w:r>
      <w:r>
        <w:rPr>
          <w:rFonts w:ascii="Arial" w:cs="Arial" w:eastAsia="Arial" w:hAnsi="Arial"/>
          <w:sz w:val="19"/>
          <w:szCs w:val="19"/>
          <w:color w:val="auto"/>
        </w:rPr>
        <w:t>” means the Revolving Commitments of all the Revolving Lenders. As of the Amendment No. 1 Effective Date, the Aggregate Revolving Commitments equal $1,258,712,500.</w:t>
      </w:r>
    </w:p>
    <w:p>
      <w:pPr>
        <w:spacing w:after="0" w:line="10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means January 30, 2015.</w:t>
      </w:r>
    </w:p>
    <w:p>
      <w:pPr>
        <w:spacing w:after="0" w:line="206"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(a) in respect of the Initial Domestic Term Loan Facility, with respect to any Initial Domestic Term Loan Lender at any time, the percentage (carried out to the ninth decimal place) of the Initial Domestic Term Loan Facility represented by such Initial Domestic Term Loan Lender’s Pro Rata Share at such time,</w:t>
      </w:r>
    </w:p>
    <w:p>
      <w:pPr>
        <w:spacing w:after="0" w:line="2" w:lineRule="exact"/>
        <w:rPr>
          <w:sz w:val="20"/>
          <w:szCs w:val="20"/>
          <w:color w:val="auto"/>
        </w:rPr>
      </w:pPr>
    </w:p>
    <w:p>
      <w:pPr>
        <w:ind w:left="4" w:right="20" w:hanging="4"/>
        <w:spacing w:after="0" w:line="237" w:lineRule="auto"/>
        <w:tabs>
          <w:tab w:leader="none" w:pos="3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respect of the 2015 Domestic Term Loan Facility, with respect to any 2015 Domestic Term Loan Lender at any time, the</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9"/>
          <w:szCs w:val="19"/>
          <w:color w:val="auto"/>
        </w:rPr>
        <w:t xml:space="preserve">percentage (carried out to the ninth decimal place) of the 2015 Domestic Term Loan Facility represented by such 2015 Domestic Term Loan Lender’s Pro Rata Share at such time, (c) in respect of the Singapore Term Loan Facility, with respect to any Singapore Term Loan Lender at any time, the percentage (carried out to the ninth decimal place) of the Singapore Term Loan Facility represented by such Singapore Term Loan Lender’s Pro Rata Share at such time, and (d) in respect of the Revolving Credit Facility, with respect to any Revolving Lender at any time, such Revolving Lender’s Applicable Revolving Percentage. The Applicable Percentage of each Lender as of the Closing Date in respect of each Facility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5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means, at any time, in respect of the Revolving Facility, the Initial Domestic Term Loan Facility, the 2015 Domestic Term Loan Facility and the Singapore Term Loan Facility, the applicable percentage per annum set forth below determined by reference to the Consolidated Total Leverage Ratio as set forth in the most recent Compliance Certificate received by the Administrative Agent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5694045" cy="1783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4045" cy="1783715"/>
                    </a:xfrm>
                    <a:prstGeom prst="rect">
                      <a:avLst/>
                    </a:prstGeom>
                    <a:noFill/>
                  </pic:spPr>
                </pic:pic>
              </a:graphicData>
            </a:graphic>
          </wp:anchor>
        </w:drawing>
      </w:r>
    </w:p>
    <w:p>
      <w:pPr>
        <w:spacing w:after="0" w:line="244"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Applicable Rate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19"/>
                <w:szCs w:val="19"/>
                <w:color w:val="auto"/>
                <w:w w:val="90"/>
              </w:rPr>
              <w:t>Commitment</w:t>
            </w:r>
          </w:p>
        </w:tc>
        <w:tc>
          <w:tcPr>
            <w:tcW w:w="198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19"/>
                <w:szCs w:val="19"/>
                <w:color w:val="auto"/>
                <w:w w:val="90"/>
              </w:rPr>
              <w:t>Eurodollar Rate</w:t>
            </w:r>
          </w:p>
        </w:tc>
        <w:tc>
          <w:tcPr>
            <w:tcW w:w="112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19"/>
                <w:szCs w:val="19"/>
                <w:color w:val="auto"/>
                <w:w w:val="85"/>
              </w:rPr>
              <w:t>Base Rate</w:t>
            </w:r>
          </w:p>
        </w:tc>
        <w:tc>
          <w:tcPr>
            <w:tcW w:w="1480" w:type="dxa"/>
            <w:vAlign w:val="bottom"/>
            <w:tcBorders>
              <w:top w:val="single" w:sz="8" w:color="auto"/>
            </w:tcBorders>
          </w:tcPr>
          <w:p>
            <w:pPr>
              <w:spacing w:after="0"/>
              <w:rPr>
                <w:sz w:val="18"/>
                <w:szCs w:val="18"/>
                <w:color w:val="auto"/>
              </w:rPr>
            </w:pPr>
          </w:p>
        </w:tc>
      </w:tr>
      <w:tr>
        <w:trPr>
          <w:trHeight w:val="216"/>
        </w:trPr>
        <w:tc>
          <w:tcPr>
            <w:tcW w:w="10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92"/>
              </w:rPr>
              <w:t>Pricing</w:t>
            </w:r>
          </w:p>
        </w:tc>
        <w:tc>
          <w:tcPr>
            <w:tcW w:w="18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90"/>
              </w:rPr>
              <w:t>Consolidated Total</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79"/>
              </w:rPr>
              <w:t>Fee</w:t>
            </w:r>
          </w:p>
        </w:tc>
        <w:tc>
          <w:tcPr>
            <w:tcW w:w="19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89"/>
              </w:rPr>
              <w:t>Loans/ Standby</w:t>
            </w:r>
          </w:p>
        </w:tc>
        <w:tc>
          <w:tcPr>
            <w:tcW w:w="11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88"/>
              </w:rPr>
              <w:t>Loans</w:t>
            </w:r>
          </w:p>
        </w:tc>
        <w:tc>
          <w:tcPr>
            <w:tcW w:w="1480" w:type="dxa"/>
            <w:vAlign w:val="bottom"/>
          </w:tcPr>
          <w:p>
            <w:pPr>
              <w:jc w:val="center"/>
              <w:spacing w:after="0" w:line="216" w:lineRule="exact"/>
              <w:rPr>
                <w:sz w:val="20"/>
                <w:szCs w:val="20"/>
                <w:color w:val="auto"/>
              </w:rPr>
            </w:pPr>
            <w:r>
              <w:rPr>
                <w:rFonts w:ascii="Arial" w:cs="Arial" w:eastAsia="Arial" w:hAnsi="Arial"/>
                <w:sz w:val="19"/>
                <w:szCs w:val="19"/>
                <w:color w:val="auto"/>
                <w:w w:val="91"/>
              </w:rPr>
              <w:t>Bankers’</w:t>
            </w:r>
          </w:p>
        </w:tc>
      </w:tr>
      <w:tr>
        <w:trPr>
          <w:trHeight w:val="238"/>
        </w:trPr>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Level</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Leverage Ratio</w:t>
            </w:r>
          </w:p>
        </w:tc>
        <w:tc>
          <w:tcPr>
            <w:tcW w:w="148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Letters of Credit</w:t>
            </w:r>
          </w:p>
        </w:tc>
        <w:tc>
          <w:tcPr>
            <w:tcW w:w="11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6"/>
              </w:rPr>
              <w:t>Acceptances</w:t>
            </w:r>
          </w:p>
        </w:tc>
      </w:tr>
      <w:tr>
        <w:trPr>
          <w:trHeight w:val="266"/>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&lt; 1.00:1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0.25%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1.75%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0.75%</w:t>
            </w:r>
          </w:p>
        </w:tc>
        <w:tc>
          <w:tcPr>
            <w:tcW w:w="1480" w:type="dxa"/>
            <w:vAlign w:val="bottom"/>
          </w:tcPr>
          <w:p>
            <w:pPr>
              <w:jc w:val="center"/>
              <w:spacing w:after="0"/>
              <w:rPr>
                <w:sz w:val="20"/>
                <w:szCs w:val="20"/>
                <w:color w:val="auto"/>
              </w:rPr>
            </w:pPr>
            <w:r>
              <w:rPr>
                <w:rFonts w:ascii="Arial" w:cs="Arial" w:eastAsia="Arial" w:hAnsi="Arial"/>
                <w:sz w:val="19"/>
                <w:szCs w:val="19"/>
                <w:color w:val="auto"/>
                <w:w w:val="92"/>
              </w:rPr>
              <w:t>1.50%</w:t>
            </w:r>
          </w:p>
        </w:tc>
      </w:tr>
      <w:tr>
        <w:trPr>
          <w:trHeight w:val="52"/>
        </w:trPr>
        <w:tc>
          <w:tcPr>
            <w:tcW w:w="102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66"/>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 1.00:1 but &lt; 2.00:1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0.25%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2.00%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1.00%</w:t>
            </w:r>
          </w:p>
        </w:tc>
        <w:tc>
          <w:tcPr>
            <w:tcW w:w="1480" w:type="dxa"/>
            <w:vAlign w:val="bottom"/>
          </w:tcPr>
          <w:p>
            <w:pPr>
              <w:jc w:val="center"/>
              <w:spacing w:after="0"/>
              <w:rPr>
                <w:sz w:val="20"/>
                <w:szCs w:val="20"/>
                <w:color w:val="auto"/>
              </w:rPr>
            </w:pPr>
            <w:r>
              <w:rPr>
                <w:rFonts w:ascii="Arial" w:cs="Arial" w:eastAsia="Arial" w:hAnsi="Arial"/>
                <w:sz w:val="19"/>
                <w:szCs w:val="19"/>
                <w:color w:val="auto"/>
                <w:w w:val="92"/>
              </w:rPr>
              <w:t>1.75%</w:t>
            </w:r>
          </w:p>
        </w:tc>
      </w:tr>
      <w:tr>
        <w:trPr>
          <w:trHeight w:val="52"/>
        </w:trPr>
        <w:tc>
          <w:tcPr>
            <w:tcW w:w="102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66"/>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≥2.00:1 but &lt; 3.00:1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0.30%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2.25%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1.25%</w:t>
            </w:r>
          </w:p>
        </w:tc>
        <w:tc>
          <w:tcPr>
            <w:tcW w:w="1480" w:type="dxa"/>
            <w:vAlign w:val="bottom"/>
          </w:tcPr>
          <w:p>
            <w:pPr>
              <w:jc w:val="center"/>
              <w:spacing w:after="0"/>
              <w:rPr>
                <w:sz w:val="20"/>
                <w:szCs w:val="20"/>
                <w:color w:val="auto"/>
              </w:rPr>
            </w:pPr>
            <w:r>
              <w:rPr>
                <w:rFonts w:ascii="Arial" w:cs="Arial" w:eastAsia="Arial" w:hAnsi="Arial"/>
                <w:sz w:val="19"/>
                <w:szCs w:val="19"/>
                <w:color w:val="auto"/>
                <w:w w:val="92"/>
              </w:rPr>
              <w:t>2.00%</w:t>
            </w:r>
          </w:p>
        </w:tc>
      </w:tr>
      <w:tr>
        <w:trPr>
          <w:trHeight w:val="52"/>
        </w:trPr>
        <w:tc>
          <w:tcPr>
            <w:tcW w:w="102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66"/>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 3.00:1 but &lt; 4.00:1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0.35%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2.50%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1.50%</w:t>
            </w:r>
          </w:p>
        </w:tc>
        <w:tc>
          <w:tcPr>
            <w:tcW w:w="1480" w:type="dxa"/>
            <w:vAlign w:val="bottom"/>
          </w:tcPr>
          <w:p>
            <w:pPr>
              <w:jc w:val="center"/>
              <w:spacing w:after="0"/>
              <w:rPr>
                <w:sz w:val="20"/>
                <w:szCs w:val="20"/>
                <w:color w:val="auto"/>
              </w:rPr>
            </w:pPr>
            <w:r>
              <w:rPr>
                <w:rFonts w:ascii="Arial" w:cs="Arial" w:eastAsia="Arial" w:hAnsi="Arial"/>
                <w:sz w:val="19"/>
                <w:szCs w:val="19"/>
                <w:color w:val="auto"/>
                <w:w w:val="92"/>
              </w:rPr>
              <w:t>2.25%</w:t>
            </w:r>
          </w:p>
        </w:tc>
      </w:tr>
      <w:tr>
        <w:trPr>
          <w:trHeight w:val="52"/>
        </w:trPr>
        <w:tc>
          <w:tcPr>
            <w:tcW w:w="102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66"/>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 4.00:1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0.40%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2.75%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1.75%</w:t>
            </w:r>
          </w:p>
        </w:tc>
        <w:tc>
          <w:tcPr>
            <w:tcW w:w="1480" w:type="dxa"/>
            <w:vAlign w:val="bottom"/>
          </w:tcPr>
          <w:p>
            <w:pPr>
              <w:jc w:val="center"/>
              <w:spacing w:after="0"/>
              <w:rPr>
                <w:sz w:val="20"/>
                <w:szCs w:val="20"/>
                <w:color w:val="auto"/>
              </w:rPr>
            </w:pPr>
            <w:r>
              <w:rPr>
                <w:rFonts w:ascii="Arial" w:cs="Arial" w:eastAsia="Arial" w:hAnsi="Arial"/>
                <w:sz w:val="19"/>
                <w:szCs w:val="19"/>
                <w:color w:val="auto"/>
                <w:w w:val="92"/>
              </w:rPr>
              <w:t>2.50%</w:t>
            </w:r>
          </w:p>
        </w:tc>
      </w:tr>
      <w:tr>
        <w:trPr>
          <w:trHeight w:val="52"/>
        </w:trPr>
        <w:tc>
          <w:tcPr>
            <w:tcW w:w="102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22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Any increase or decrease in the Applicable Rate resulting from a change in the Consolidated Total Leverage Ratio shall become effective as of the fifth (5th) Business Day immediately following the date a Compliance Certificate is delivered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 if a Compliance Certificate is not delivered when due in accordance with such Section, then, Pricing Level 5 shall apply as of the fifth (5th) Business Day after the date on which such Compliance Certificate was required to have been delivered and in each case shall remain in effect until the date on which such Compliance Certificate is delivered and (ii) from the Closing Date to the fifth (5th) Business Day after the date of delivery of the Compliance Certificate for the fiscal quarter ending September 30, 2013, Pricing Level 2 shall apply. Notwithstanding anything to the contrary contained in this definition, the determination of the Applicable Rate for any period shall be subject to the provisions of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19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Revolving Percentage</w:t>
      </w:r>
      <w:r>
        <w:rPr>
          <w:rFonts w:ascii="Arial" w:cs="Arial" w:eastAsia="Arial" w:hAnsi="Arial"/>
          <w:sz w:val="19"/>
          <w:szCs w:val="19"/>
          <w:color w:val="auto"/>
        </w:rPr>
        <w:t xml:space="preserve">” means, with respect to any Revolving Lender at any time, the percentage (carried out to the ninth decimal place) of the Aggregate Revolving Commitments represented by such Revolving Lender’s Revolving Commitment at such time. If the commitment of each Revolving Lender to make Revolving Loans and the obligation of the L/C Issuer to make L/C Credit Extensions have been terminated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or if the Aggregate Revolving Commitments have expired, then the Applicable Revolving Percentage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55" w:name="page56"/>
    <w:bookmarkEnd w:id="55"/>
    <w:p>
      <w:pPr>
        <w:jc w:val="both"/>
        <w:spacing w:after="0" w:line="236" w:lineRule="auto"/>
        <w:rPr>
          <w:sz w:val="20"/>
          <w:szCs w:val="20"/>
          <w:color w:val="auto"/>
        </w:rPr>
      </w:pPr>
      <w:r>
        <w:rPr>
          <w:rFonts w:ascii="Arial" w:cs="Arial" w:eastAsia="Arial" w:hAnsi="Arial"/>
          <w:sz w:val="22"/>
          <w:szCs w:val="22"/>
          <w:color w:val="auto"/>
        </w:rPr>
        <w:t xml:space="preserve">of each Revolving Lender shall be determined based on the Applicable Revolving Percentage of such Revolving Lender most recently in effect, giving effect to any subsequent assignments. The Applicable Revolving Percentage of each Revolving Lender as of the Closing Date is set forth opposite the name of such Revolving Lender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or in the Assignment and Assumption pursuant to which such Revolving Lender becomes a party hereto, as applicable.</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Appropriate Lender</w:t>
      </w:r>
      <w:r>
        <w:rPr>
          <w:rFonts w:ascii="Arial" w:cs="Arial" w:eastAsia="Arial" w:hAnsi="Arial"/>
          <w:sz w:val="21"/>
          <w:szCs w:val="21"/>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Arial" w:cs="Arial" w:eastAsia="Arial" w:hAnsi="Arial"/>
          <w:sz w:val="21"/>
          <w:szCs w:val="21"/>
          <w:u w:val="single" w:color="auto"/>
          <w:color w:val="auto"/>
        </w:rPr>
        <w:t>Section 2.03(a)</w:t>
      </w:r>
      <w:r>
        <w:rPr>
          <w:rFonts w:ascii="Arial" w:cs="Arial" w:eastAsia="Arial" w:hAnsi="Arial"/>
          <w:sz w:val="21"/>
          <w:szCs w:val="21"/>
          <w:color w:val="auto"/>
        </w:rPr>
        <w:t xml:space="preserve">, the Revolving Lenders and (c) with respect to the Swing Line Sublimit, (i) the Swing Line Lender and (ii) if any Swing Line Loans are outstanding pursuant to </w:t>
      </w:r>
      <w:r>
        <w:rPr>
          <w:rFonts w:ascii="Arial" w:cs="Arial" w:eastAsia="Arial" w:hAnsi="Arial"/>
          <w:sz w:val="21"/>
          <w:szCs w:val="21"/>
          <w:u w:val="single" w:color="auto"/>
          <w:color w:val="auto"/>
        </w:rPr>
        <w:t>Section 2.04(a)</w:t>
      </w:r>
      <w:r>
        <w:rPr>
          <w:rFonts w:ascii="Arial" w:cs="Arial" w:eastAsia="Arial" w:hAnsi="Arial"/>
          <w:sz w:val="21"/>
          <w:szCs w:val="21"/>
          <w:color w:val="auto"/>
        </w:rPr>
        <w:t>, the Revolving Lenders.</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Convertible Debt Documents</w:t>
      </w:r>
      <w:r>
        <w:rPr>
          <w:rFonts w:ascii="Arial" w:cs="Arial" w:eastAsia="Arial" w:hAnsi="Arial"/>
          <w:sz w:val="19"/>
          <w:szCs w:val="19"/>
          <w:color w:val="auto"/>
        </w:rPr>
        <w:t xml:space="preserve">” means each indenture and all other instruments, agreements, and other documents related to Convertible Debt Securities or providing for a guarantee of Convertible Debt Securities or other right in respect thereof that, collectively: (a) except as permitted by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definition, provide for no amortization, scheduled repayment prior to maturity, sinking fund, mandatory redemptions, or maturity, in each case, prior to the date that is ninety-two (92) days after October 10, 2018; (b) contain no mandatory redemption or offer to purchase other than standard put rights and/or market conversion triggers for “net share settled convertible notes”; and (c) if they contain a change of control covenant or change of control event of default provision that is analogous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of “Change of Control”, then such analogous covenant or provision is not more restrictive than the corresponding clause of the definition of “Change of Control”.</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Group</w:t>
      </w:r>
      <w:r>
        <w:rPr>
          <w:rFonts w:ascii="Arial" w:cs="Arial" w:eastAsia="Arial" w:hAnsi="Arial"/>
          <w:sz w:val="22"/>
          <w:szCs w:val="22"/>
          <w:color w:val="auto"/>
        </w:rPr>
        <w:t>” means two or more Eligible Assignees that are Affiliates of one another or two or more Approved Funds managed by the same investment advisor.</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10.06(b)</w:t>
      </w:r>
      <w:r>
        <w:rPr>
          <w:rFonts w:ascii="Arial" w:cs="Arial" w:eastAsia="Arial" w:hAnsi="Arial"/>
          <w:sz w:val="22"/>
          <w:szCs w:val="22"/>
          <w:color w:val="auto"/>
        </w:rPr>
        <w:t xml:space="preserve">), and accepted by the Administrative Agent, in substantially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any other form approved by the Administrative Agent.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Atlantic Fuel Services</w:t>
      </w:r>
      <w:r>
        <w:rPr>
          <w:rFonts w:ascii="Arial" w:cs="Arial" w:eastAsia="Arial" w:hAnsi="Arial"/>
          <w:sz w:val="21"/>
          <w:szCs w:val="21"/>
          <w:color w:val="auto"/>
        </w:rPr>
        <w:t>” means Atlantic Fuel Services, S.R.L., a Costa Rica limited liability company.</w:t>
      </w:r>
    </w:p>
    <w:p>
      <w:pPr>
        <w:spacing w:after="0" w:line="21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Indebtedness</w:t>
      </w:r>
      <w:r>
        <w:rPr>
          <w:rFonts w:ascii="Arial" w:cs="Arial" w:eastAsia="Arial" w:hAnsi="Arial"/>
          <w:sz w:val="19"/>
          <w:szCs w:val="19"/>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56" w:name="page57"/>
    <w:bookmarkEnd w:id="56"/>
    <w:p>
      <w:pPr>
        <w:jc w:val="both"/>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means the audited consolidated balance sheet of WFS and its Subsidiaries for the fiscal year ended December 31, 2012, and the related consolidated statements of income or operations, shareholders’ equity and cash flows for such fiscal year of WFS and its Subsidiaries, including the notes thereto.</w:t>
      </w:r>
    </w:p>
    <w:p>
      <w:pPr>
        <w:spacing w:after="0" w:line="13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Liquidity</w:t>
      </w:r>
      <w:r>
        <w:rPr>
          <w:rFonts w:ascii="Arial" w:cs="Arial" w:eastAsia="Arial" w:hAnsi="Arial"/>
          <w:sz w:val="21"/>
          <w:szCs w:val="21"/>
          <w:color w:val="auto"/>
        </w:rPr>
        <w:t xml:space="preserve">” means, at any date of measurement thereof, the sum of (without duplication) (a)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the amount by which the Aggregate Commitments in effect on such date exceeds the Total Outstandings, plus (c) amounts available to be borrowed by WFS and its Restricted Subsidiaries under other credit facilities.</w:t>
      </w:r>
    </w:p>
    <w:p>
      <w:pPr>
        <w:spacing w:after="0" w:line="177" w:lineRule="exact"/>
        <w:rPr>
          <w:sz w:val="20"/>
          <w:szCs w:val="20"/>
          <w:color w:val="auto"/>
        </w:rPr>
      </w:pPr>
    </w:p>
    <w:p>
      <w:pPr>
        <w:jc w:val="both"/>
        <w:ind w:firstLine="743"/>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xml:space="preserve">” means, with respect to the Revolving Facility, the period from and including the Closing Date to the earliest of (a) the Maturity Date for the Revolving Credit Facility, (b) the date of termination in full of the Aggregate Revolving Commitments pursuant to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and (c) the date of termination of the commitment of each Revolving Lender to make Revolving Loans and of the obligation of the L/C-BA Issuer to make L/C-BA Credit Extensions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2.03(j)</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of America</w:t>
      </w:r>
      <w:r>
        <w:rPr>
          <w:rFonts w:ascii="Arial" w:cs="Arial" w:eastAsia="Arial" w:hAnsi="Arial"/>
          <w:sz w:val="22"/>
          <w:szCs w:val="22"/>
          <w:color w:val="auto"/>
        </w:rPr>
        <w:t>” means Bank of America, N.A. and its successors.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 of America Singapore</w:t>
      </w:r>
      <w:r>
        <w:rPr>
          <w:rFonts w:ascii="Arial" w:cs="Arial" w:eastAsia="Arial" w:hAnsi="Arial"/>
          <w:sz w:val="21"/>
          <w:szCs w:val="21"/>
          <w:color w:val="auto"/>
        </w:rPr>
        <w:t>” means Bank of America, N.A., Singapore Branch, and its successors.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Bankers’ Acceptance</w:t>
      </w:r>
      <w:r>
        <w:rPr>
          <w:rFonts w:ascii="Arial" w:cs="Arial" w:eastAsia="Arial" w:hAnsi="Arial"/>
          <w:sz w:val="22"/>
          <w:szCs w:val="22"/>
          <w:color w:val="auto"/>
        </w:rPr>
        <w:t>” or “</w:t>
      </w:r>
      <w:r>
        <w:rPr>
          <w:rFonts w:ascii="Arial" w:cs="Arial" w:eastAsia="Arial" w:hAnsi="Arial"/>
          <w:sz w:val="22"/>
          <w:szCs w:val="22"/>
          <w:u w:val="single" w:color="auto"/>
          <w:color w:val="auto"/>
        </w:rPr>
        <w:t>BA</w:t>
      </w:r>
      <w:r>
        <w:rPr>
          <w:rFonts w:ascii="Arial" w:cs="Arial" w:eastAsia="Arial" w:hAnsi="Arial"/>
          <w:sz w:val="22"/>
          <w:szCs w:val="22"/>
          <w:color w:val="auto"/>
        </w:rPr>
        <w:t>” means a Clean BA or an L/C Issued BA.</w:t>
      </w:r>
    </w:p>
    <w:p>
      <w:pPr>
        <w:spacing w:after="0" w:line="206"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Bankers’ Acceptance Rate</w:t>
      </w:r>
      <w:r>
        <w:rPr>
          <w:rFonts w:ascii="Arial" w:cs="Arial" w:eastAsia="Arial" w:hAnsi="Arial"/>
          <w:sz w:val="22"/>
          <w:szCs w:val="22"/>
          <w:color w:val="auto"/>
        </w:rPr>
        <w:t>” means for any day a fluctuating rate per annum equal to the rate of interest in effect for such day as publicly announced from time to time by Bank of America, N.A. as its “bankers’ acceptance rate”. Any change in such rate announced by Bank of America, N.A. shall take effect at the opening of business on the day specified in the public announcement of such change.</w:t>
      </w:r>
    </w:p>
    <w:p>
      <w:pPr>
        <w:spacing w:after="0" w:line="18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Bankers’ Acceptance Request</w:t>
      </w:r>
      <w:r>
        <w:rPr>
          <w:rFonts w:ascii="Arial" w:cs="Arial" w:eastAsia="Arial" w:hAnsi="Arial"/>
          <w:sz w:val="22"/>
          <w:szCs w:val="22"/>
          <w:color w:val="auto"/>
        </w:rPr>
        <w:t xml:space="preserve">” means the written request for the issuance of Clean BAs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(b) the rate of interest in effect for such day as publicly announced from time to time by Bank of America as its “prime rate,” and (c) the Eurodollar Rate </w:t>
      </w:r>
      <w:r>
        <w:rPr>
          <w:rFonts w:ascii="Arial" w:cs="Arial" w:eastAsia="Arial" w:hAnsi="Arial"/>
          <w:sz w:val="19"/>
          <w:szCs w:val="19"/>
          <w:u w:val="single" w:color="auto"/>
          <w:color w:val="auto"/>
        </w:rPr>
        <w:t>plus 1.00</w:t>
      </w:r>
      <w:r>
        <w:rPr>
          <w:rFonts w:ascii="Arial" w:cs="Arial" w:eastAsia="Arial" w:hAnsi="Arial"/>
          <w:sz w:val="19"/>
          <w:szCs w:val="19"/>
          <w:color w:val="auto"/>
        </w:rPr>
        <w: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57" w:name="page58"/>
    <w:bookmarkEnd w:id="57"/>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Loan that bears interest at the Base Rate.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Revolving Loan</w:t>
      </w:r>
      <w:r>
        <w:rPr>
          <w:rFonts w:ascii="Arial" w:cs="Arial" w:eastAsia="Arial" w:hAnsi="Arial"/>
          <w:sz w:val="22"/>
          <w:szCs w:val="22"/>
          <w:color w:val="auto"/>
        </w:rPr>
        <w:t>” means a Revolving Loan that is a Base Rate Loan.</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BofA Fee Letter</w:t>
      </w:r>
      <w:r>
        <w:rPr>
          <w:rFonts w:ascii="Arial" w:cs="Arial" w:eastAsia="Arial" w:hAnsi="Arial"/>
          <w:sz w:val="21"/>
          <w:szCs w:val="21"/>
          <w:color w:val="auto"/>
        </w:rPr>
        <w:t>” means, collectively, the letter agreement dated September 24, 2013, among the Borrowing Agent, on behalf of the Borrowers, Bank of America and MLPFS and the letter agreement dated January 6, 2015 among the Borrowing Agent, on behalf of the Borrowers, Bank of America and MLPFS.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Revolving Borrowing, a Swing Line Borrowing, the Initial Domestic Term Loan Borrowing, the 2015 Domestic Term Loan Borrowing or the Singapore Term Loan Borrowing, as the context may require.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Agent</w:t>
      </w:r>
      <w:r>
        <w:rPr>
          <w:rFonts w:ascii="Arial" w:cs="Arial" w:eastAsia="Arial" w:hAnsi="Arial"/>
          <w:sz w:val="19"/>
          <w:szCs w:val="19"/>
          <w:color w:val="auto"/>
        </w:rPr>
        <w:t xml:space="preserve">” means WFS in its capacity as Borrowing Agent hereunder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 provided that when such term is used in connection with the Singapore Term Loan Facility, it shall also mean any day other than a Saturday, Sunday or any other day on which commercial banks are authorized to close under the Laws of, or are in fact closed in, Singapore or Hong Kong.</w:t>
      </w:r>
    </w:p>
    <w:p>
      <w:pPr>
        <w:spacing w:after="0" w:line="15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means, with respect to any Person for any period, any expenditure in respect of the purchase or other acquisition of any fixed or capital assets in accordance with GAAP.</w:t>
      </w:r>
    </w:p>
    <w:p>
      <w:pPr>
        <w:spacing w:after="0" w:line="17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w:t>
      </w:r>
      <w:r>
        <w:rPr>
          <w:rFonts w:ascii="Arial" w:cs="Arial" w:eastAsia="Arial" w:hAnsi="Arial"/>
          <w:sz w:val="19"/>
          <w:szCs w:val="19"/>
          <w:color w:val="auto"/>
        </w:rPr>
        <w:t>” means a lease that meets one or more of the following criteria: (a) the lease term is greater than 75% of the property’s estimated economic life; (b) the lease contains an option to purchase the property for less than fair market value; (c) ownership of the property is transferred to the lessee at the end of the lease term; or (d) the present value of the lease payments exceeds 90% of the fair market value of the property.</w:t>
      </w:r>
    </w:p>
    <w:p>
      <w:pPr>
        <w:spacing w:after="0" w:line="14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Collateralize</w:t>
      </w:r>
      <w:r>
        <w:rPr>
          <w:rFonts w:ascii="Arial" w:cs="Arial" w:eastAsia="Arial" w:hAnsi="Arial"/>
          <w:sz w:val="21"/>
          <w:szCs w:val="21"/>
          <w:color w:val="auto"/>
        </w:rPr>
        <w:t>” means to pledge and deposit with or deliver to the Administrative Agent, for the benefit of the Administrative Agent, L/C-BA Issuer or Swing Line Lender (as applicable) and the Revolving Lenders, as collateral for L/C-BA Obligations, Obligations in respect of Swing Line Loans, or obligations of Revolving Lenders to fund participations in respect of either thereof (as the context may require), cash or deposit account balances or, if the L/C-BA Issuer or Swing Line Lender benefitting from such collateral shall agree in its sole discretion, other credit support, in each case pursuant to documentation in form and substance reasonably satisfactory to (a) the Administrative Agent and (b) the L/C-BA Issuer or the Swing Line Lender (as applicable). “</w:t>
      </w:r>
      <w:r>
        <w:rPr>
          <w:rFonts w:ascii="Arial" w:cs="Arial" w:eastAsia="Arial" w:hAnsi="Arial"/>
          <w:sz w:val="21"/>
          <w:szCs w:val="21"/>
          <w:u w:val="single" w:color="auto"/>
          <w:color w:val="auto"/>
        </w:rPr>
        <w:t>Cash Collateral</w:t>
      </w:r>
      <w:r>
        <w:rPr>
          <w:rFonts w:ascii="Arial" w:cs="Arial" w:eastAsia="Arial" w:hAnsi="Arial"/>
          <w:sz w:val="21"/>
          <w:szCs w:val="21"/>
          <w:color w:val="auto"/>
        </w:rPr>
        <w:t>” shall have a meaning correlative to the foregoing and shall include the proceeds of such cash collateral and other credit support.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58" w:name="page59"/>
    <w:bookmarkEnd w:id="58"/>
    <w:p>
      <w:pPr>
        <w:jc w:val="both"/>
        <w:ind w:left="4"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any agreement that is not prohibited by the terms of this Agreement to provide cash management services, including treasury, depository, overdraft, credit or debit card, electronic funds transfer and other cash management arrangements.</w:t>
      </w:r>
    </w:p>
    <w:p>
      <w:pPr>
        <w:spacing w:after="0" w:line="184" w:lineRule="exact"/>
        <w:rPr>
          <w:sz w:val="20"/>
          <w:szCs w:val="20"/>
          <w:color w:val="auto"/>
        </w:rPr>
      </w:pPr>
    </w:p>
    <w:p>
      <w:pPr>
        <w:jc w:val="both"/>
        <w:ind w:left="4"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Bank</w:t>
      </w:r>
      <w:r>
        <w:rPr>
          <w:rFonts w:ascii="Arial" w:cs="Arial" w:eastAsia="Arial" w:hAnsi="Arial"/>
          <w:sz w:val="22"/>
          <w:szCs w:val="22"/>
          <w:color w:val="auto"/>
        </w:rPr>
        <w:t>” means any Person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w:t>
      </w:r>
    </w:p>
    <w:p>
      <w:pPr>
        <w:spacing w:after="0" w:line="185" w:lineRule="exact"/>
        <w:rPr>
          <w:sz w:val="20"/>
          <w:szCs w:val="20"/>
          <w:color w:val="auto"/>
        </w:rPr>
      </w:pPr>
    </w:p>
    <w:p>
      <w:pPr>
        <w:jc w:val="both"/>
        <w:ind w:left="4"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8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 event or series of events by which:</w:t>
      </w:r>
    </w:p>
    <w:p>
      <w:pPr>
        <w:spacing w:after="0" w:line="206" w:lineRule="exact"/>
        <w:rPr>
          <w:sz w:val="20"/>
          <w:szCs w:val="20"/>
          <w:color w:val="auto"/>
        </w:rPr>
      </w:pPr>
    </w:p>
    <w:p>
      <w:pPr>
        <w:jc w:val="both"/>
        <w:ind w:left="4" w:firstLine="645"/>
        <w:spacing w:after="0" w:line="274" w:lineRule="auto"/>
        <w:tabs>
          <w:tab w:leader="none" w:pos="1297" w:val="left"/>
        </w:tabs>
        <w:numPr>
          <w:ilvl w:val="1"/>
          <w:numId w:val="17"/>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9"/>
          <w:szCs w:val="19"/>
          <w:u w:val="single" w:color="auto"/>
          <w:color w:val="auto"/>
        </w:rPr>
        <w:t>option right</w:t>
      </w:r>
      <w:r>
        <w:rPr>
          <w:rFonts w:ascii="Arial" w:cs="Arial" w:eastAsia="Arial" w:hAnsi="Arial"/>
          <w:sz w:val="19"/>
          <w:szCs w:val="19"/>
          <w:color w:val="auto"/>
        </w:rPr>
        <w:t>”)), directly or indirectly, of 35% or more of the equity securities of WFS entitled to vote for members of the board of directors or equivalent governing body of WFS on a fully-diluted basis (and taking into account all such securities that such person or group has the right to acquire pursuant to any option right); or</w:t>
      </w:r>
    </w:p>
    <w:p>
      <w:pPr>
        <w:spacing w:after="0" w:line="158" w:lineRule="exact"/>
        <w:rPr>
          <w:rFonts w:ascii="Arial" w:cs="Arial" w:eastAsia="Arial" w:hAnsi="Arial"/>
          <w:sz w:val="19"/>
          <w:szCs w:val="19"/>
          <w:color w:val="auto"/>
        </w:rPr>
      </w:pPr>
    </w:p>
    <w:p>
      <w:pPr>
        <w:jc w:val="both"/>
        <w:ind w:left="4" w:right="20" w:firstLine="645"/>
        <w:spacing w:after="0" w:line="270" w:lineRule="auto"/>
        <w:tabs>
          <w:tab w:leader="none" w:pos="1309"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during any period of 12 consecutive months, a majority of the members of the board of directors or other equivalent governing body of WFS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9"/>
          <w:szCs w:val="19"/>
          <w:u w:val="single" w:color="auto"/>
          <w:color w:val="auto"/>
        </w:rPr>
        <w:t>clauses</w:t>
      </w:r>
    </w:p>
    <w:p>
      <w:pPr>
        <w:spacing w:after="0" w:line="1" w:lineRule="exact"/>
        <w:rPr>
          <w:rFonts w:ascii="Arial" w:cs="Arial" w:eastAsia="Arial" w:hAnsi="Arial"/>
          <w:sz w:val="19"/>
          <w:szCs w:val="19"/>
          <w:color w:val="auto"/>
        </w:rPr>
      </w:pPr>
    </w:p>
    <w:p>
      <w:pPr>
        <w:jc w:val="both"/>
        <w:ind w:left="4" w:hanging="4"/>
        <w:spacing w:after="0" w:line="234" w:lineRule="auto"/>
        <w:tabs>
          <w:tab w:leader="none" w:pos="302" w:val="left"/>
        </w:tabs>
        <w:numPr>
          <w:ilvl w:val="0"/>
          <w:numId w:val="18"/>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constituting at the time of such election or nomination at least a majority of that board or equivalent governing body (excluding, in the case of both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clause (iii)</w:t>
      </w:r>
      <w:r>
        <w:rPr>
          <w:rFonts w:ascii="Arial" w:cs="Arial" w:eastAsia="Arial" w:hAnsi="Arial"/>
          <w:sz w:val="22"/>
          <w:szCs w:val="22"/>
          <w:color w:val="auto"/>
        </w:rPr>
        <w:t>, any individual whose initial nomination for, or assumption of office as, a</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59" w:name="page60"/>
    <w:bookmarkEnd w:id="59"/>
    <w:p>
      <w:pPr>
        <w:jc w:val="both"/>
        <w:ind w:right="20"/>
        <w:spacing w:after="0" w:line="258" w:lineRule="auto"/>
        <w:rPr>
          <w:sz w:val="20"/>
          <w:szCs w:val="20"/>
          <w:color w:val="auto"/>
        </w:rPr>
      </w:pPr>
      <w:r>
        <w:rPr>
          <w:rFonts w:ascii="Arial" w:cs="Arial" w:eastAsia="Arial" w:hAnsi="Arial"/>
          <w:sz w:val="21"/>
          <w:szCs w:val="21"/>
          <w:color w:val="auto"/>
        </w:rPr>
        <w:t>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w:t>
      </w:r>
    </w:p>
    <w:p>
      <w:pPr>
        <w:spacing w:after="0" w:line="16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Clean Bankers’ Acceptance</w:t>
      </w:r>
      <w:r>
        <w:rPr>
          <w:rFonts w:ascii="Arial" w:cs="Arial" w:eastAsia="Arial" w:hAnsi="Arial"/>
          <w:sz w:val="21"/>
          <w:szCs w:val="21"/>
          <w:color w:val="auto"/>
        </w:rPr>
        <w:t>” or “</w:t>
      </w:r>
      <w:r>
        <w:rPr>
          <w:rFonts w:ascii="Arial" w:cs="Arial" w:eastAsia="Arial" w:hAnsi="Arial"/>
          <w:sz w:val="21"/>
          <w:szCs w:val="21"/>
          <w:u w:val="single" w:color="auto"/>
          <w:color w:val="auto"/>
        </w:rPr>
        <w:t>Clean BA</w:t>
      </w:r>
      <w:r>
        <w:rPr>
          <w:rFonts w:ascii="Arial" w:cs="Arial" w:eastAsia="Arial" w:hAnsi="Arial"/>
          <w:sz w:val="21"/>
          <w:szCs w:val="21"/>
          <w:color w:val="auto"/>
        </w:rPr>
        <w:t xml:space="preserve">” means a negotiable time draft drawn on and accepted by the L/C-BA Issuer pursuant to </w:t>
      </w:r>
      <w:r>
        <w:rPr>
          <w:rFonts w:ascii="Arial" w:cs="Arial" w:eastAsia="Arial" w:hAnsi="Arial"/>
          <w:sz w:val="21"/>
          <w:szCs w:val="21"/>
          <w:u w:val="single" w:color="auto"/>
          <w:color w:val="auto"/>
        </w:rPr>
        <w:t>Section 2.03(a)</w:t>
      </w:r>
      <w:r>
        <w:rPr>
          <w:rFonts w:ascii="Arial" w:cs="Arial" w:eastAsia="Arial" w:hAnsi="Arial"/>
          <w:sz w:val="21"/>
          <w:szCs w:val="21"/>
          <w:color w:val="auto"/>
        </w:rPr>
        <w:t xml:space="preserve"> to finance the purchase of fuel or freight expenses in connection with the shipment of fuel or to finance insurance, port charges or advances on purchases of fuel.</w:t>
      </w:r>
    </w:p>
    <w:p>
      <w:pPr>
        <w:spacing w:after="0" w:line="16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October 10, 2013, the date on which all the conditions precedent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all property of the Loan Parties that is, or is intended under the terms of the Collateral Documents, to be subject to Liens in favor of the Administrative Agent for the benefit of the Secured Parties, including without limitation, all Cash Collateral, as collateral security for the Obligations.</w:t>
      </w:r>
    </w:p>
    <w:p>
      <w:pPr>
        <w:spacing w:after="0" w:line="16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means, collectively, the Pledge Agreement (and each Pledge Joinder Agreement), the Notice of Negative Pledge Agreement, any agreement creating or perfecting rights in Cash Collateral posted by or on behalf of the Borrowers pursuant to the provisions of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of this Agreement, and each of the other agreements, instruments, documents, certificates, or financing statements that creates, perfects or protects, or purports to create, perfect or protect a Lien in favor of the Administrative Agent for the benefit of the Secured Parties in any Collateral.</w:t>
      </w:r>
    </w:p>
    <w:p>
      <w:pPr>
        <w:spacing w:after="0" w:line="188"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an Initial Domestic Term Loan Commitment, a 2015 Domestic Term Loan Commitment, a Singapore Term Loan Commitment or a Revolving Commitment, as the context may require.</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Loan Notice</w:t>
      </w:r>
      <w:r>
        <w:rPr>
          <w:rFonts w:ascii="Arial" w:cs="Arial" w:eastAsia="Arial" w:hAnsi="Arial"/>
          <w:sz w:val="19"/>
          <w:szCs w:val="19"/>
          <w:color w:val="auto"/>
        </w:rPr>
        <w:t xml:space="preserve">” means a notice of (a) a Borrowing, (b) a conversion of Loans from one Type to the other, or (c) a continuation of Eurodollar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if in writing, shall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with respect to Revolving Loans, the Initial Domestic Term Loans and the 2015 Domestic Term Loans and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 with respect to Singapore Term Loans, in each case, or such other form as may be approved by the Administrative Agent (including any form on an electronic platform or electronic transmission system as shall be approved by the Administrative Agent), appropriately completed and signed by a Responsible Officer of the Borrowing Agent or WFS Singapore, as applicable.</w:t>
      </w:r>
    </w:p>
    <w:p>
      <w:pPr>
        <w:spacing w:after="0" w:line="15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60" w:name="page61"/>
    <w:bookmarkEnd w:id="60"/>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Asset Coverage Amount</w:t>
      </w:r>
      <w:r>
        <w:rPr>
          <w:rFonts w:ascii="Arial" w:cs="Arial" w:eastAsia="Arial" w:hAnsi="Arial"/>
          <w:sz w:val="19"/>
          <w:szCs w:val="19"/>
          <w:color w:val="auto"/>
        </w:rPr>
        <w:t>” means, on any date of measurement, an amount equal to the total of</w:t>
      </w:r>
    </w:p>
    <w:p>
      <w:pPr>
        <w:spacing w:after="0" w:line="43" w:lineRule="exact"/>
        <w:rPr>
          <w:sz w:val="20"/>
          <w:szCs w:val="20"/>
          <w:color w:val="auto"/>
        </w:rPr>
      </w:pPr>
    </w:p>
    <w:p>
      <w:pPr>
        <w:jc w:val="both"/>
        <w:ind w:left="4" w:hanging="4"/>
        <w:spacing w:after="0" w:line="272" w:lineRule="auto"/>
        <w:tabs>
          <w:tab w:leader="none" w:pos="3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net book value of all accounts receivable of WFS and its Restricted Subsidiaries on a consolidated basis as of such date, other than accounts receivable that are subject to a Lien permitted under </w:t>
      </w:r>
      <w:r>
        <w:rPr>
          <w:rFonts w:ascii="Arial" w:cs="Arial" w:eastAsia="Arial" w:hAnsi="Arial"/>
          <w:sz w:val="19"/>
          <w:szCs w:val="19"/>
          <w:u w:val="single" w:color="auto"/>
          <w:color w:val="auto"/>
        </w:rPr>
        <w:t>Section 7.01(l)</w:t>
      </w:r>
      <w:r>
        <w:rPr>
          <w:rFonts w:ascii="Arial" w:cs="Arial" w:eastAsia="Arial" w:hAnsi="Arial"/>
          <w:sz w:val="19"/>
          <w:szCs w:val="19"/>
          <w:color w:val="auto"/>
        </w:rPr>
        <w:t xml:space="preserve"> to secure Indebtedness incurred pursuant to </w:t>
      </w:r>
      <w:r>
        <w:rPr>
          <w:rFonts w:ascii="Arial" w:cs="Arial" w:eastAsia="Arial" w:hAnsi="Arial"/>
          <w:sz w:val="19"/>
          <w:szCs w:val="19"/>
          <w:u w:val="single" w:color="auto"/>
          <w:color w:val="auto"/>
        </w:rPr>
        <w:t>Section 7.03(f)(ii)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net book value of all inventory of WFS and its Restricted Subsidiaries on a consolidated basis as of such date, other than inventory that is subject to a Lien arising in connection with a Permitted Inventory Financing,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net book value of all fixed assets of WFS and its Restricted Subsidiaries on a consolidated basis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the amount, if any, by which the aggregate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exceed $15,000,000.</w:t>
      </w:r>
    </w:p>
    <w:p>
      <w:pPr>
        <w:spacing w:after="0" w:line="157" w:lineRule="exact"/>
        <w:rPr>
          <w:sz w:val="20"/>
          <w:szCs w:val="20"/>
          <w:color w:val="auto"/>
        </w:rPr>
      </w:pPr>
    </w:p>
    <w:p>
      <w:pPr>
        <w:jc w:val="both"/>
        <w:ind w:left="4" w:right="2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Asset Coverage Ratio</w:t>
      </w:r>
      <w:r>
        <w:rPr>
          <w:rFonts w:ascii="Arial" w:cs="Arial" w:eastAsia="Arial" w:hAnsi="Arial"/>
          <w:sz w:val="19"/>
          <w:szCs w:val="19"/>
          <w:color w:val="auto"/>
        </w:rPr>
        <w:t xml:space="preserve">” means, on any date of measurement the ratio of (a) the Consolidated Asset Coverage Amount as of such date to (b) the sum of (i) Consolidated Funded Indebtedness (excluding (A) the undrawn amount of all standby letters of credit, (B) the outstanding amount of Indebtedness incurred pursuant to </w:t>
      </w:r>
      <w:r>
        <w:rPr>
          <w:rFonts w:ascii="Arial" w:cs="Arial" w:eastAsia="Arial" w:hAnsi="Arial"/>
          <w:sz w:val="19"/>
          <w:szCs w:val="19"/>
          <w:u w:val="single" w:color="auto"/>
          <w:color w:val="auto"/>
        </w:rPr>
        <w:t>Section 7.03(f)(ii)</w:t>
      </w:r>
      <w:r>
        <w:rPr>
          <w:rFonts w:ascii="Arial" w:cs="Arial" w:eastAsia="Arial" w:hAnsi="Arial"/>
          <w:sz w:val="19"/>
          <w:szCs w:val="19"/>
          <w:color w:val="auto"/>
        </w:rPr>
        <w:t xml:space="preserve"> to the extent such Indebtedness is secured only by Liens permitted under </w:t>
      </w:r>
      <w:r>
        <w:rPr>
          <w:rFonts w:ascii="Arial" w:cs="Arial" w:eastAsia="Arial" w:hAnsi="Arial"/>
          <w:sz w:val="19"/>
          <w:szCs w:val="19"/>
          <w:u w:val="single" w:color="auto"/>
          <w:color w:val="auto"/>
        </w:rPr>
        <w:t>Section 7.01(l)</w:t>
      </w:r>
      <w:r>
        <w:rPr>
          <w:rFonts w:ascii="Arial" w:cs="Arial" w:eastAsia="Arial" w:hAnsi="Arial"/>
          <w:sz w:val="19"/>
          <w:szCs w:val="19"/>
          <w:color w:val="auto"/>
        </w:rPr>
        <w:t xml:space="preserve">, and (C) the outstanding amount of Permitted Inventory Financing)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sixty-five percent (65%) of accounts payable of WFS and its Restricted Subsidiaries on a consolidated basis as of such date.</w:t>
      </w:r>
    </w:p>
    <w:p>
      <w:pPr>
        <w:spacing w:after="0" w:line="151" w:lineRule="exact"/>
        <w:rPr>
          <w:sz w:val="20"/>
          <w:szCs w:val="20"/>
          <w:color w:val="auto"/>
        </w:rPr>
      </w:pPr>
    </w:p>
    <w:p>
      <w:pPr>
        <w:jc w:val="both"/>
        <w:ind w:left="4" w:right="2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for any period, for WFS and its Restricted Subsidiaries on a consolidated basis, an amount equal to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 the following to the extent deducted in calculating such Consolidated Net Income: (i) Consolidated Interest Charges for such period, (ii) the provision for Federal, state, local and foreign income taxes payable by WFS and its Restricted Subsidiaries for such period,</w:t>
      </w:r>
    </w:p>
    <w:p>
      <w:pPr>
        <w:spacing w:after="0" w:line="4" w:lineRule="exact"/>
        <w:rPr>
          <w:sz w:val="20"/>
          <w:szCs w:val="20"/>
          <w:color w:val="auto"/>
        </w:rPr>
      </w:pPr>
    </w:p>
    <w:p>
      <w:pPr>
        <w:jc w:val="both"/>
        <w:ind w:left="4" w:hanging="4"/>
        <w:spacing w:after="0" w:line="267" w:lineRule="auto"/>
        <w:tabs>
          <w:tab w:leader="none" w:pos="406"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depreciation and amortization expense for such period and (iv) other non-recurring expenses of WFS and its Restricted Subsidiaries reducing such Consolidated Net Income which do not represent a cash item in such period or any future period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following to the extent included in calculating such Consolidated Net Income:</w:t>
      </w:r>
    </w:p>
    <w:p>
      <w:pPr>
        <w:ind w:left="284" w:hanging="284"/>
        <w:spacing w:after="0"/>
        <w:tabs>
          <w:tab w:leader="none" w:pos="284" w:val="left"/>
        </w:tabs>
        <w:numPr>
          <w:ilvl w:val="0"/>
          <w:numId w:val="21"/>
        </w:numPr>
        <w:rPr>
          <w:rFonts w:ascii="Arial" w:cs="Arial" w:eastAsia="Arial" w:hAnsi="Arial"/>
          <w:sz w:val="19"/>
          <w:szCs w:val="19"/>
          <w:color w:val="auto"/>
        </w:rPr>
      </w:pPr>
      <w:r>
        <w:rPr>
          <w:rFonts w:ascii="Arial" w:cs="Arial" w:eastAsia="Arial" w:hAnsi="Arial"/>
          <w:sz w:val="19"/>
          <w:szCs w:val="19"/>
          <w:color w:val="auto"/>
        </w:rPr>
        <w:t>Federal, state, local and foreign income tax credits of WFS and its Restricted Subsidiaries for such period and</w:t>
      </w:r>
    </w:p>
    <w:p>
      <w:pPr>
        <w:spacing w:after="0" w:line="24" w:lineRule="exact"/>
        <w:rPr>
          <w:rFonts w:ascii="Arial" w:cs="Arial" w:eastAsia="Arial" w:hAnsi="Arial"/>
          <w:sz w:val="19"/>
          <w:szCs w:val="19"/>
          <w:color w:val="auto"/>
        </w:rPr>
      </w:pPr>
    </w:p>
    <w:p>
      <w:pPr>
        <w:jc w:val="both"/>
        <w:ind w:left="4" w:right="20" w:hanging="4"/>
        <w:spacing w:after="0" w:line="280" w:lineRule="auto"/>
        <w:tabs>
          <w:tab w:leader="none" w:pos="361"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all non-cash items increasing Consolidated Net Income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period that includes a Material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and (y) “Consolidated EBITDA” for any such period shall include the aggregate amount of cash actually distributed by any Unrestricted Subsidiary to WFS or any of its Restricted Subsidiaries during such period.</w:t>
      </w:r>
    </w:p>
    <w:p>
      <w:pPr>
        <w:spacing w:after="0" w:line="151" w:lineRule="exact"/>
        <w:rPr>
          <w:sz w:val="20"/>
          <w:szCs w:val="20"/>
          <w:color w:val="auto"/>
        </w:rPr>
      </w:pPr>
    </w:p>
    <w:p>
      <w:pPr>
        <w:jc w:val="both"/>
        <w:ind w:left="4" w:right="2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as of any date of determination, for WFS and its Restricted Subsidiaries on a consolidated basis, the sum of, without duplication, (a) the outstanding principal amount of all obligations, whether current or long-term, for borrowed money (including Loans and L/C-BA Borrowings hereunder) and all obligations evidenced by bonds, debentures, notes, loan agreements or other similar instruments,</w:t>
      </w:r>
    </w:p>
    <w:p>
      <w:pPr>
        <w:spacing w:after="0" w:line="4" w:lineRule="exact"/>
        <w:rPr>
          <w:sz w:val="20"/>
          <w:szCs w:val="20"/>
          <w:color w:val="auto"/>
        </w:rPr>
      </w:pPr>
    </w:p>
    <w:p>
      <w:pPr>
        <w:jc w:val="both"/>
        <w:ind w:left="4" w:hanging="4"/>
        <w:spacing w:after="0" w:line="233" w:lineRule="auto"/>
        <w:tabs>
          <w:tab w:leader="none" w:pos="321"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purchase money Indebtedness, (c) all obligations, direct or contingent arising under standby letters of credit, bankers’ acceptances and bank guaranties, (d) all 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61" w:name="page62"/>
    <w:bookmarkEnd w:id="61"/>
    <w:p>
      <w:pPr>
        <w:ind w:left="4"/>
        <w:spacing w:after="0"/>
        <w:rPr>
          <w:sz w:val="20"/>
          <w:szCs w:val="20"/>
          <w:color w:val="auto"/>
        </w:rPr>
      </w:pPr>
      <w:r>
        <w:rPr>
          <w:rFonts w:ascii="Arial" w:cs="Arial" w:eastAsia="Arial" w:hAnsi="Arial"/>
          <w:sz w:val="19"/>
          <w:szCs w:val="19"/>
          <w:color w:val="auto"/>
        </w:rPr>
        <w:t xml:space="preserve">the types specified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above of Persons other than WFS or any Restricted Subsidiary, and</w:t>
      </w:r>
    </w:p>
    <w:p>
      <w:pPr>
        <w:spacing w:after="0" w:line="43" w:lineRule="exact"/>
        <w:rPr>
          <w:sz w:val="20"/>
          <w:szCs w:val="20"/>
          <w:color w:val="auto"/>
        </w:rPr>
      </w:pPr>
    </w:p>
    <w:p>
      <w:pPr>
        <w:jc w:val="both"/>
        <w:ind w:left="4" w:hanging="4"/>
        <w:spacing w:after="0" w:line="245" w:lineRule="auto"/>
        <w:tabs>
          <w:tab w:leader="none" w:pos="311"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all Indebtedness of the types referred to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(f)</w:t>
      </w:r>
      <w:r>
        <w:rPr>
          <w:rFonts w:ascii="Arial" w:cs="Arial" w:eastAsia="Arial" w:hAnsi="Arial"/>
          <w:sz w:val="21"/>
          <w:szCs w:val="21"/>
          <w:color w:val="auto"/>
        </w:rPr>
        <w:t xml:space="preserve"> above of any partnership or joint venture (other than a joint venture that is itself a corporation or limited liability company) in which WFS or a Restricted Subsidiary is a general partner or joint venturer, unless such Indebtedness is expressly made non-recourse to WFS or such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“Consolidated Funded Indebtedness” shall not include the obligations of WFS with respect to the WFS Working Capital Guarantee.</w:t>
      </w:r>
    </w:p>
    <w:p>
      <w:pPr>
        <w:spacing w:after="0" w:line="181"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Charges</w:t>
      </w:r>
      <w:r>
        <w:rPr>
          <w:rFonts w:ascii="Arial" w:cs="Arial" w:eastAsia="Arial" w:hAnsi="Arial"/>
          <w:sz w:val="22"/>
          <w:szCs w:val="22"/>
          <w:color w:val="auto"/>
        </w:rPr>
        <w:t>” means, for any period, for WFS and its Restricted Subsidiaries on a consolidated basis, interest expense in accordance with GAAP.</w:t>
      </w:r>
    </w:p>
    <w:p>
      <w:pPr>
        <w:spacing w:after="0" w:line="173" w:lineRule="exact"/>
        <w:rPr>
          <w:sz w:val="20"/>
          <w:szCs w:val="20"/>
          <w:color w:val="auto"/>
        </w:rPr>
      </w:pPr>
    </w:p>
    <w:p>
      <w:pPr>
        <w:jc w:val="both"/>
        <w:ind w:left="4"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Coverage Ratio</w:t>
      </w:r>
      <w:r>
        <w:rPr>
          <w:rFonts w:ascii="Arial" w:cs="Arial" w:eastAsia="Arial" w:hAnsi="Arial"/>
          <w:sz w:val="21"/>
          <w:szCs w:val="21"/>
          <w:color w:val="auto"/>
        </w:rPr>
        <w:t xml:space="preserve">” means, as of any date of determination, the ratio of (a) Consolidated EBITDA for the period of the four prior fiscal quarters ending on such date minus Capital Expenditures for such period </w:t>
      </w:r>
      <w:r>
        <w:rPr>
          <w:rFonts w:ascii="Arial" w:cs="Arial" w:eastAsia="Arial" w:hAnsi="Arial"/>
          <w:sz w:val="21"/>
          <w:szCs w:val="21"/>
          <w:i w:val="1"/>
          <w:iCs w:val="1"/>
          <w:color w:val="auto"/>
        </w:rPr>
        <w:t>to</w:t>
      </w:r>
      <w:r>
        <w:rPr>
          <w:rFonts w:ascii="Arial" w:cs="Arial" w:eastAsia="Arial" w:hAnsi="Arial"/>
          <w:sz w:val="21"/>
          <w:szCs w:val="21"/>
          <w:color w:val="auto"/>
        </w:rPr>
        <w:t xml:space="preserve"> (b) net cash Consolidated Interest Charges for the period of the four prior fiscal quarters ending on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during any period that includes a Material Acquisition or Material Disposition such calculation shall be subject to the adjustments set forth in </w:t>
      </w:r>
      <w:r>
        <w:rPr>
          <w:rFonts w:ascii="Arial" w:cs="Arial" w:eastAsia="Arial" w:hAnsi="Arial"/>
          <w:sz w:val="21"/>
          <w:szCs w:val="21"/>
          <w:u w:val="single" w:color="auto"/>
          <w:color w:val="auto"/>
        </w:rPr>
        <w:t>Section 1.08</w:t>
      </w:r>
      <w:r>
        <w:rPr>
          <w:rFonts w:ascii="Arial" w:cs="Arial" w:eastAsia="Arial" w:hAnsi="Arial"/>
          <w:sz w:val="21"/>
          <w:szCs w:val="21"/>
          <w:color w:val="auto"/>
        </w:rPr>
        <w:t>.</w:t>
      </w:r>
    </w:p>
    <w:p>
      <w:pPr>
        <w:spacing w:after="0" w:line="179"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for any period, for WFS and its Restricted Subsidiaries on a consolidated basis, the net income of WFS and its Restricted Subsidiaries (excluding extraordinary gains and extraordinary losses) for that period.</w:t>
      </w:r>
    </w:p>
    <w:p>
      <w:pPr>
        <w:spacing w:after="0" w:line="186" w:lineRule="exact"/>
        <w:rPr>
          <w:sz w:val="20"/>
          <w:szCs w:val="20"/>
          <w:color w:val="auto"/>
        </w:rPr>
      </w:pPr>
    </w:p>
    <w:p>
      <w:pPr>
        <w:jc w:val="both"/>
        <w:ind w:left="4"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Senior Leverage Ratio</w:t>
      </w:r>
      <w:r>
        <w:rPr>
          <w:rFonts w:ascii="Arial" w:cs="Arial" w:eastAsia="Arial" w:hAnsi="Arial"/>
          <w:sz w:val="19"/>
          <w:szCs w:val="19"/>
          <w:color w:val="auto"/>
        </w:rPr>
        <w:t xml:space="preserve">” means, as of any date of determination, the ratio of (a) Consolidated Funded Indebtedness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all Subordinated Debt as of such date </w:t>
      </w:r>
      <w:r>
        <w:rPr>
          <w:rFonts w:ascii="Arial" w:cs="Arial" w:eastAsia="Arial" w:hAnsi="Arial"/>
          <w:sz w:val="19"/>
          <w:szCs w:val="19"/>
          <w:i w:val="1"/>
          <w:iCs w:val="1"/>
          <w:color w:val="auto"/>
        </w:rPr>
        <w:t>to</w:t>
      </w:r>
      <w:r>
        <w:rPr>
          <w:rFonts w:ascii="Arial" w:cs="Arial" w:eastAsia="Arial" w:hAnsi="Arial"/>
          <w:sz w:val="19"/>
          <w:szCs w:val="19"/>
          <w:color w:val="auto"/>
        </w:rPr>
        <w:t xml:space="preserve"> (b) Consolidated EBITDA for the period of the four fiscal quarters most recently ended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any period that includes a Material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for purposes of calculating the Consolidated Senior Leverage Ratio, both (i) the lesser of (x) $200,000,000 and (y) the outstanding face amount of standby letters of credit issued for the account of WFS and its Restricted Subsidiaries as of such date and (ii) the amount of Permitted Inventory Financing of WFS and its Restricted Subsidiaries as of such date, shall be excluded from Consolidated Funded Indebtedness.</w:t>
      </w:r>
    </w:p>
    <w:p>
      <w:pPr>
        <w:spacing w:after="0" w:line="158" w:lineRule="exact"/>
        <w:rPr>
          <w:sz w:val="20"/>
          <w:szCs w:val="20"/>
          <w:color w:val="auto"/>
        </w:rPr>
      </w:pPr>
    </w:p>
    <w:p>
      <w:pPr>
        <w:jc w:val="both"/>
        <w:ind w:left="4"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Leverage Ratio</w:t>
      </w:r>
      <w:r>
        <w:rPr>
          <w:rFonts w:ascii="Arial" w:cs="Arial" w:eastAsia="Arial" w:hAnsi="Arial"/>
          <w:sz w:val="19"/>
          <w:szCs w:val="19"/>
          <w:color w:val="auto"/>
        </w:rPr>
        <w:t xml:space="preserve">” means, as of any date of determination, the ratio of (a) Consolidated Funded Indebtedness as of such date </w:t>
      </w:r>
      <w:r>
        <w:rPr>
          <w:rFonts w:ascii="Arial" w:cs="Arial" w:eastAsia="Arial" w:hAnsi="Arial"/>
          <w:sz w:val="19"/>
          <w:szCs w:val="19"/>
          <w:i w:val="1"/>
          <w:iCs w:val="1"/>
          <w:color w:val="auto"/>
        </w:rPr>
        <w:t>to</w:t>
      </w:r>
      <w:r>
        <w:rPr>
          <w:rFonts w:ascii="Arial" w:cs="Arial" w:eastAsia="Arial" w:hAnsi="Arial"/>
          <w:sz w:val="19"/>
          <w:szCs w:val="19"/>
          <w:color w:val="auto"/>
        </w:rPr>
        <w:t xml:space="preserve"> (b) Consolidated EBITDA for the period of the four fiscal quarters most recently ended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any period that includes a Material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for purposes of calculating the Consolidated Total Leverage Ratio, both (i) the lesser of (x) $200,000,000 and (y) the outstanding face amount of standby letters of credit issued for the account of WFS and its Restricted Subsidiaries as of such date and (ii) the amount of Permitted Inventory Financing of WFS and its Restricted Subsidiaries as of such date, shall be excluded from Consolidated Funded Indebtedness.</w:t>
      </w:r>
    </w:p>
    <w:p>
      <w:pPr>
        <w:spacing w:after="0" w:line="158"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8" w:right="899" w:bottom="1440" w:gutter="0" w:footer="0" w:header="0"/>
        </w:sectPr>
      </w:pPr>
    </w:p>
    <w:bookmarkStart w:id="62" w:name="page63"/>
    <w:bookmarkEnd w:id="62"/>
    <w:p>
      <w:pPr>
        <w:jc w:val="both"/>
        <w:ind w:right="2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4"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Debt Security</w:t>
      </w:r>
      <w:r>
        <w:rPr>
          <w:rFonts w:ascii="Arial" w:cs="Arial" w:eastAsia="Arial" w:hAnsi="Arial"/>
          <w:sz w:val="22"/>
          <w:szCs w:val="22"/>
          <w:color w:val="auto"/>
        </w:rPr>
        <w:t>” means any debt security the terms of which provide for the conversion thereof into Equity Interests, cash or a combination of Equity Interests and cash, to the extent such debt security has not, as of any applicable date of determination, been so converted.</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Counterparty</w:t>
      </w:r>
      <w:r>
        <w:rPr>
          <w:rFonts w:ascii="Arial" w:cs="Arial" w:eastAsia="Arial" w:hAnsi="Arial"/>
          <w:sz w:val="22"/>
          <w:szCs w:val="22"/>
          <w:color w:val="auto"/>
        </w:rPr>
        <w:t>” means any financial institution (or any of its affiliates) with which WFS or any of its Subsidiaries purchases and sells fuel and related products and/or enters into Swap Contracts.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Extension</w:t>
      </w:r>
      <w:r>
        <w:rPr>
          <w:rFonts w:ascii="Arial" w:cs="Arial" w:eastAsia="Arial" w:hAnsi="Arial"/>
          <w:sz w:val="21"/>
          <w:szCs w:val="21"/>
          <w:color w:val="auto"/>
        </w:rPr>
        <w:t>” means each of the following: (a) a Borrowing and (b) an L/C-BA Credit Extension.</w:t>
      </w:r>
    </w:p>
    <w:p>
      <w:pPr>
        <w:spacing w:after="0" w:line="218"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of the United States, and all other liquidation, conservatorship, judicial management,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xml:space="preserve">” means (a) when used with respect to Obligations other than Letter of Credit Fees and BA Fees, an interest rate equal to (i)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Applicable Rate, if any, applicable to Base Rate Loans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2% per annum;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 per annum, (b) when used with respect to Letter of Credit Fees, a rate equal to the Applicable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 per annum and (c) when used with respect to BA Fees, a rate equal to the Bankers’ Acceptance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 per annum.</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2.16(b)</w:t>
      </w:r>
      <w:r>
        <w:rPr>
          <w:rFonts w:ascii="Arial" w:cs="Arial" w:eastAsia="Arial" w:hAnsi="Arial"/>
          <w:sz w:val="19"/>
          <w:szCs w:val="19"/>
          <w:color w:val="auto"/>
        </w:rPr>
        <w:t>, any Lender that, as determined by the Administrative Agent, (a) has failed to perform any of its funding obligations hereunder, including in respect of its Loans or, in the case of any Revolving Lender, its participations in respect of Letters of Credit, Bankers’ Acceptances or Swing Line Loans, within three Business Days of the date required to be funded by it hereunder unless (x) such failure has been cured or (y) such Lender notifies the Administrative Agent and any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any Borrower, the Administrative Agent or any other Lender that it does not intend to comply with its funding obligations hereunder or has made a public statement to that effect with respect to its funding obligations hereunder or generally under other agreements in which it commits to extend credit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63" w:name="page64"/>
    <w:bookmarkEnd w:id="63"/>
    <w:p>
      <w:pPr>
        <w:jc w:val="both"/>
        <w:spacing w:after="0" w:line="272" w:lineRule="auto"/>
        <w:rPr>
          <w:sz w:val="20"/>
          <w:szCs w:val="20"/>
          <w:color w:val="auto"/>
        </w:rPr>
      </w:pPr>
      <w:r>
        <w:rPr>
          <w:rFonts w:ascii="Arial" w:cs="Arial" w:eastAsia="Arial" w:hAnsi="Arial"/>
          <w:sz w:val="19"/>
          <w:szCs w:val="19"/>
          <w:color w:val="auto"/>
        </w:rPr>
        <w:t>(unless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a manner reasonably satisfactory to the Administrative Agent that it will comply with its funding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the Borrowing Agent), or (d) has, or has a direct or indirect parent company that has, other than via an Undisclosed Administration, (i) become the subject of a proceeding under any Debtor Relief Law, or (ii) had a receiver, conservator, trustee, administrator, assignee for the benefit of creditors or similar Person charged with reorganization or liquidation of its business or a custodian appointed for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not be a Defaulting Lender solely by virtue of the control of or any ownership or acquisition of any equity interest in that Lender (or any direct or indirect parent company thereof) by a Governmental Authority.</w:t>
      </w:r>
    </w:p>
    <w:p>
      <w:pPr>
        <w:spacing w:after="0" w:line="16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means any country or territory to the extent that such country or territory itself is the subject of any Sanction.</w:t>
      </w:r>
    </w:p>
    <w:p>
      <w:pPr>
        <w:spacing w:after="0" w:line="173" w:lineRule="exact"/>
        <w:rPr>
          <w:sz w:val="20"/>
          <w:szCs w:val="20"/>
          <w:color w:val="auto"/>
        </w:rPr>
      </w:pPr>
    </w:p>
    <w:p>
      <w:pPr>
        <w:jc w:val="both"/>
        <w:ind w:firstLine="74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Foreign Subsidiary</w:t>
      </w:r>
      <w:r>
        <w:rPr>
          <w:rFonts w:ascii="Arial" w:cs="Arial" w:eastAsia="Arial" w:hAnsi="Arial"/>
          <w:sz w:val="22"/>
          <w:szCs w:val="22"/>
          <w:color w:val="auto"/>
        </w:rPr>
        <w:t>” means a Foreign Subsidiary a majority of whose Voting Securities, or a majority of whose Subsidiary Securities, are directly owned by WFS or a Domestic Subsidiary of WFS that is a Guarantor.</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Disposition</w:t>
      </w:r>
      <w:r>
        <w:rPr>
          <w:rFonts w:ascii="Arial" w:cs="Arial" w:eastAsia="Arial" w:hAnsi="Arial"/>
          <w:sz w:val="21"/>
          <w:szCs w:val="21"/>
          <w:color w:val="auto"/>
        </w:rPr>
        <w:t>” or “</w:t>
      </w:r>
      <w:r>
        <w:rPr>
          <w:rFonts w:ascii="Arial" w:cs="Arial" w:eastAsia="Arial" w:hAnsi="Arial"/>
          <w:sz w:val="21"/>
          <w:szCs w:val="21"/>
          <w:u w:val="single" w:color="auto"/>
          <w:color w:val="auto"/>
        </w:rPr>
        <w:t>Dispose</w:t>
      </w:r>
      <w:r>
        <w:rPr>
          <w:rFonts w:ascii="Arial" w:cs="Arial" w:eastAsia="Arial" w:hAnsi="Arial"/>
          <w:sz w:val="21"/>
          <w:szCs w:val="21"/>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for the avoidance of doubt, “Disposition” shall not include Equity Issuances.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organized under the laws of any political subdivision of the United States.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Term Loan</w:t>
      </w:r>
      <w:r>
        <w:rPr>
          <w:rFonts w:ascii="Arial" w:cs="Arial" w:eastAsia="Arial" w:hAnsi="Arial"/>
          <w:sz w:val="22"/>
          <w:szCs w:val="22"/>
          <w:color w:val="auto"/>
        </w:rPr>
        <w:t>” means an Initial Domestic Term Loan or a 2015 Domestic Term Loan.</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Term Loan Borrowing</w:t>
      </w:r>
      <w:r>
        <w:rPr>
          <w:rFonts w:ascii="Arial" w:cs="Arial" w:eastAsia="Arial" w:hAnsi="Arial"/>
          <w:sz w:val="22"/>
          <w:szCs w:val="22"/>
          <w:color w:val="auto"/>
        </w:rPr>
        <w:t>” means either an Initial Domestic Term Loan Borrowing or a 2015 Domestic Term Loan Borrowing.</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Term Loan Commitment</w:t>
      </w:r>
      <w:r>
        <w:rPr>
          <w:rFonts w:ascii="Arial" w:cs="Arial" w:eastAsia="Arial" w:hAnsi="Arial"/>
          <w:sz w:val="22"/>
          <w:szCs w:val="22"/>
          <w:color w:val="auto"/>
        </w:rPr>
        <w:t>” means either an Initial Domestic Term Loan Commitment or a 2015 Domestic Term Loan Commitment.</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Term Loan Facilities</w:t>
      </w:r>
      <w:r>
        <w:rPr>
          <w:rFonts w:ascii="Arial" w:cs="Arial" w:eastAsia="Arial" w:hAnsi="Arial"/>
          <w:sz w:val="22"/>
          <w:szCs w:val="22"/>
          <w:color w:val="auto"/>
        </w:rPr>
        <w:t>” means the Initial Domestic Term Loan Facility and the 2015 Domestic Term Loan Facility.</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Term Loan Lender</w:t>
      </w:r>
      <w:r>
        <w:rPr>
          <w:rFonts w:ascii="Arial" w:cs="Arial" w:eastAsia="Arial" w:hAnsi="Arial"/>
          <w:sz w:val="22"/>
          <w:szCs w:val="22"/>
          <w:color w:val="auto"/>
        </w:rPr>
        <w:t>” means, at any time, an Initial Domestic Term Loan Lender or a 2015 Domestic Term Loan Lender.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64" w:name="page65"/>
    <w:bookmarkEnd w:id="64"/>
    <w:p>
      <w:pPr>
        <w:jc w:val="both"/>
        <w:ind w:right="20" w:firstLine="648"/>
        <w:spacing w:after="0" w:line="27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Assignee</w:t>
      </w:r>
      <w:r>
        <w:rPr>
          <w:rFonts w:ascii="Arial" w:cs="Arial" w:eastAsia="Arial" w:hAnsi="Arial"/>
          <w:sz w:val="21"/>
          <w:szCs w:val="21"/>
          <w:color w:val="auto"/>
        </w:rPr>
        <w:t xml:space="preserve">” means any Person that meets the requirements to be an assignee under </w:t>
      </w:r>
      <w:r>
        <w:rPr>
          <w:rFonts w:ascii="Arial" w:cs="Arial" w:eastAsia="Arial" w:hAnsi="Arial"/>
          <w:sz w:val="21"/>
          <w:szCs w:val="21"/>
          <w:u w:val="single" w:color="auto"/>
          <w:color w:val="auto"/>
        </w:rPr>
        <w:t>Section 10.06(b)</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w:t>
      </w:r>
      <w:r>
        <w:rPr>
          <w:rFonts w:ascii="Arial" w:cs="Arial" w:eastAsia="Arial" w:hAnsi="Arial"/>
          <w:sz w:val="21"/>
          <w:szCs w:val="21"/>
          <w:color w:val="auto"/>
        </w:rPr>
        <w:t xml:space="preserve"> (subject to such consents, if any, as may be required under </w:t>
      </w:r>
      <w:r>
        <w:rPr>
          <w:rFonts w:ascii="Arial" w:cs="Arial" w:eastAsia="Arial" w:hAnsi="Arial"/>
          <w:sz w:val="21"/>
          <w:szCs w:val="21"/>
          <w:u w:val="single" w:color="auto"/>
          <w:color w:val="auto"/>
        </w:rPr>
        <w:t>Section 10.06(b)(iii)</w:t>
      </w:r>
      <w:r>
        <w:rPr>
          <w:rFonts w:ascii="Arial" w:cs="Arial" w:eastAsia="Arial" w:hAnsi="Arial"/>
          <w:sz w:val="21"/>
          <w:szCs w:val="21"/>
          <w:color w:val="auto"/>
        </w:rPr>
        <w:t>).</w:t>
      </w:r>
    </w:p>
    <w:p>
      <w:pPr>
        <w:spacing w:after="0" w:line="14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any Borrower, any other Loan Party or any of their respective Subsidiaries (other than an Unrestricted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0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or notification that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65" w:name="page66"/>
    <w:bookmarkEnd w:id="65"/>
    <w:p>
      <w:pPr>
        <w:jc w:val="both"/>
        <w:spacing w:after="0" w:line="246" w:lineRule="auto"/>
        <w:rPr>
          <w:sz w:val="20"/>
          <w:szCs w:val="20"/>
          <w:color w:val="auto"/>
        </w:rPr>
      </w:pPr>
      <w:r>
        <w:rPr>
          <w:rFonts w:ascii="Arial" w:cs="Arial" w:eastAsia="Arial" w:hAnsi="Arial"/>
          <w:sz w:val="21"/>
          <w:szCs w:val="21"/>
          <w:color w:val="auto"/>
        </w:rPr>
        <w:t>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Borrowers or any ERISA Affiliate.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w:t>
      </w:r>
      <w:r>
        <w:rPr>
          <w:rFonts w:ascii="Arial" w:cs="Arial" w:eastAsia="Arial" w:hAnsi="Arial"/>
          <w:sz w:val="22"/>
          <w:szCs w:val="22"/>
          <w:color w:val="auto"/>
        </w:rPr>
        <w:t>” means:</w:t>
      </w:r>
    </w:p>
    <w:p>
      <w:pPr>
        <w:spacing w:after="0" w:line="206" w:lineRule="exact"/>
        <w:rPr>
          <w:sz w:val="20"/>
          <w:szCs w:val="20"/>
          <w:color w:val="auto"/>
        </w:rPr>
      </w:pPr>
    </w:p>
    <w:p>
      <w:pPr>
        <w:jc w:val="both"/>
        <w:ind w:right="20" w:firstLine="645"/>
        <w:spacing w:after="0" w:line="279" w:lineRule="auto"/>
        <w:tabs>
          <w:tab w:leader="none" w:pos="959" w:val="left"/>
        </w:tabs>
        <w:numPr>
          <w:ilvl w:val="0"/>
          <w:numId w:val="24"/>
        </w:numPr>
        <w:rPr>
          <w:rFonts w:ascii="Arial" w:cs="Arial" w:eastAsia="Arial" w:hAnsi="Arial"/>
          <w:sz w:val="19"/>
          <w:szCs w:val="19"/>
          <w:color w:val="auto"/>
        </w:rPr>
      </w:pPr>
      <w:r>
        <w:rPr>
          <w:rFonts w:ascii="Arial" w:cs="Arial" w:eastAsia="Arial" w:hAnsi="Arial"/>
          <w:sz w:val="19"/>
          <w:szCs w:val="19"/>
          <w:color w:val="auto"/>
        </w:rPr>
        <w:t>for any Interest Period with respect to a Eurodollar Rate Loan, the rate per annum equal to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50" w:lineRule="exact"/>
        <w:rPr>
          <w:rFonts w:ascii="Arial" w:cs="Arial" w:eastAsia="Arial" w:hAnsi="Arial"/>
          <w:sz w:val="19"/>
          <w:szCs w:val="19"/>
          <w:color w:val="auto"/>
        </w:rPr>
      </w:pPr>
    </w:p>
    <w:p>
      <w:pPr>
        <w:jc w:val="both"/>
        <w:ind w:right="20" w:firstLine="645"/>
        <w:spacing w:after="0" w:line="282" w:lineRule="auto"/>
        <w:tabs>
          <w:tab w:leader="none" w:pos="1549" w:val="left"/>
        </w:tabs>
        <w:numPr>
          <w:ilvl w:val="0"/>
          <w:numId w:val="24"/>
        </w:numPr>
        <w:rPr>
          <w:rFonts w:ascii="Arial" w:cs="Arial" w:eastAsia="Arial" w:hAnsi="Arial"/>
          <w:sz w:val="19"/>
          <w:szCs w:val="19"/>
          <w:color w:val="auto"/>
        </w:rPr>
      </w:pPr>
      <w:r>
        <w:rPr>
          <w:rFonts w:ascii="Arial" w:cs="Arial" w:eastAsia="Arial" w:hAnsi="Arial"/>
          <w:sz w:val="19"/>
          <w:szCs w:val="19"/>
          <w:color w:val="auto"/>
        </w:rPr>
        <w:t>for any interest calculation with respect to a Base Rate Loan on any date, the rate per annum equal to LIBOR, or a comparable or successor rate, which rate is approved by the Administrative Agent, as published on the applicable Reuters screen page (or such other commercially available source providing such quotations as may be designated by the Administrative Agent from time to time) at approximately 11:00 a.m., London time determined two Business Days prior to such date for Dollar deposits with a term of one month commencing that day;</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Eurodollar Rate shall be less than zero, such rate shall be deemed zero for purposes of this Agreement and (ii) to the extent a comparable or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48" w:lineRule="exact"/>
        <w:rPr>
          <w:sz w:val="20"/>
          <w:szCs w:val="20"/>
          <w:color w:val="auto"/>
        </w:rPr>
      </w:pPr>
    </w:p>
    <w:p>
      <w:pPr>
        <w:jc w:val="both"/>
        <w:ind w:right="20" w:firstLine="71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 Loan</w:t>
      </w:r>
      <w:r>
        <w:rPr>
          <w:rFonts w:ascii="Arial" w:cs="Arial" w:eastAsia="Arial" w:hAnsi="Arial"/>
          <w:sz w:val="22"/>
          <w:szCs w:val="22"/>
          <w:color w:val="auto"/>
        </w:rPr>
        <w:t xml:space="preserve">” means a Loan that bears interest at a rate based on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“Eurodollar Rate.”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66" w:name="page67"/>
    <w:bookmarkEnd w:id="66"/>
    <w:p>
      <w:pPr>
        <w:jc w:val="both"/>
        <w:ind w:left="4" w:right="20"/>
        <w:spacing w:after="0" w:line="277" w:lineRule="auto"/>
        <w:rPr>
          <w:sz w:val="20"/>
          <w:szCs w:val="20"/>
          <w:color w:val="auto"/>
        </w:rPr>
      </w:pPr>
      <w:r>
        <w:rPr>
          <w:rFonts w:ascii="Arial" w:cs="Arial" w:eastAsia="Arial" w:hAnsi="Arial"/>
          <w:sz w:val="19"/>
          <w:szCs w:val="19"/>
          <w:color w:val="auto"/>
        </w:rPr>
        <w:t>an “eligible contract participant” as defined in the Commodity Exchange Act (determined after giving effect to the Guaranty and any other “keepwell, support or other agreement” for the benefit of such Loan Party and any and all guarantees of such Loan Party’s Swap Obligations by other Loan Parties) at the time the Guaranty of such Loan Party, or a grant by such Loan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53"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the L/C-BA Issuer or any other recipient of any payment to be made by or on account of any obligation of any Borrower hereunder, (a) taxes imposed or assessed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or assessed by any other jurisdiction in which any Borrower is located, (c) any backup withholding tax that is required by the Code to be withheld from amounts payable to a Lender that has failed to comply with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left="4" w:hanging="4"/>
        <w:spacing w:after="0" w:line="269" w:lineRule="auto"/>
        <w:tabs>
          <w:tab w:leader="none" w:pos="371" w:val="left"/>
        </w:tabs>
        <w:numPr>
          <w:ilvl w:val="0"/>
          <w:numId w:val="25"/>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3.01(e)(ii)</w:t>
      </w:r>
      <w:r>
        <w:rPr>
          <w:rFonts w:ascii="Arial" w:cs="Arial" w:eastAsia="Arial" w:hAnsi="Arial"/>
          <w:sz w:val="19"/>
          <w:szCs w:val="19"/>
          <w:color w:val="auto"/>
        </w:rPr>
        <w:t xml:space="preserve">, (d) in the case of a Foreign Lender (other than an assignee pursuant to a request by the Borrowers under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(i) any United States withholding tax that is required to be imposed on amounts payable to such Foreign Lender pursuant to the Laws in force at the time such Foreign Lender becomes a party hereto (or designates a new Lending Office) or (ii) any withholding tax that is attributable to such Foreign Lender’s failure or inability (other than as a result of a Change in Law) to comply with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3.01(e)(ii)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3.01(e)(iv)</w:t>
      </w:r>
      <w:r>
        <w:rPr>
          <w:rFonts w:ascii="Arial" w:cs="Arial" w:eastAsia="Arial" w:hAnsi="Arial"/>
          <w:sz w:val="19"/>
          <w:szCs w:val="19"/>
          <w:color w:val="auto"/>
        </w:rPr>
        <w:t xml:space="preserve">, except to the extent that such Foreign Lender (or its assignor, if any) was entitled, at the time of designation of a new Lending Office (or assignment), to receive additional amounts from the Borrowers with respect to such withholding tax pursuant to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(e) any Taxes imposed on any “withholdable payment” payable to such recipient as a result of the failure of such recipient (or the failure of any other Person if such failure would trigger a failure by such recipient) to satisfy the applicable requirements as set forth in FATCA or to comply with </w:t>
      </w:r>
      <w:r>
        <w:rPr>
          <w:rFonts w:ascii="Arial" w:cs="Arial" w:eastAsia="Arial" w:hAnsi="Arial"/>
          <w:sz w:val="19"/>
          <w:szCs w:val="19"/>
          <w:u w:val="single" w:color="auto"/>
          <w:color w:val="auto"/>
        </w:rPr>
        <w:t>Section 3.01(e)(iii)</w:t>
      </w:r>
      <w:r>
        <w:rPr>
          <w:rFonts w:ascii="Arial" w:cs="Arial" w:eastAsia="Arial" w:hAnsi="Arial"/>
          <w:sz w:val="19"/>
          <w:szCs w:val="19"/>
          <w:color w:val="auto"/>
        </w:rPr>
        <w:t xml:space="preserve">, and (f) in the case of a Singapore Term Loan Lender (other than an assignee pursuant to a request by the Borrowers under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(i) any Singapore withholding tax that is required to be imposed or assessed on amounts payable to such Singapore Term Loan Lender pursuant to the laws in force at the time such Singapore Term Loan Lender becomes a party hereto, (ii) any Singapore withholding tax that is attributable to such Singapore Term Loan Lender’s failure to comply with clause (c) of </w:t>
      </w:r>
      <w:r>
        <w:rPr>
          <w:rFonts w:ascii="Arial" w:cs="Arial" w:eastAsia="Arial" w:hAnsi="Arial"/>
          <w:sz w:val="19"/>
          <w:szCs w:val="19"/>
          <w:u w:val="single" w:color="auto"/>
          <w:color w:val="auto"/>
        </w:rPr>
        <w:t>Section 3.01(e)(i)</w:t>
      </w:r>
      <w:r>
        <w:rPr>
          <w:rFonts w:ascii="Arial" w:cs="Arial" w:eastAsia="Arial" w:hAnsi="Arial"/>
          <w:sz w:val="19"/>
          <w:szCs w:val="19"/>
          <w:color w:val="auto"/>
        </w:rPr>
        <w:t xml:space="preserve"> and (iii) any Singapore withholding tax if the Singapore Term Loan Lender’s applicable lending office is not Singapore.</w:t>
      </w:r>
    </w:p>
    <w:p>
      <w:pPr>
        <w:spacing w:after="0" w:line="16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specified in the Recitals hereto.</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the Letters of Credit set forth on </w:t>
      </w:r>
      <w:r>
        <w:rPr>
          <w:rFonts w:ascii="Arial" w:cs="Arial" w:eastAsia="Arial" w:hAnsi="Arial"/>
          <w:sz w:val="22"/>
          <w:szCs w:val="22"/>
          <w:u w:val="single" w:color="auto"/>
          <w:color w:val="auto"/>
        </w:rPr>
        <w:t>Schedule 1.02</w:t>
      </w:r>
      <w:r>
        <w:rPr>
          <w:rFonts w:ascii="Arial" w:cs="Arial" w:eastAsia="Arial" w:hAnsi="Arial"/>
          <w:sz w:val="22"/>
          <w:szCs w:val="22"/>
          <w:color w:val="auto"/>
        </w:rPr>
        <w:t>.</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 Documents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1.01(b)</w:t>
      </w:r>
      <w:r>
        <w:rPr>
          <w:rFonts w:ascii="Arial" w:cs="Arial" w:eastAsia="Arial" w:hAnsi="Arial"/>
          <w:sz w:val="22"/>
          <w:szCs w:val="22"/>
          <w:color w:val="auto"/>
        </w:rPr>
        <w:t>.</w:t>
      </w:r>
    </w:p>
    <w:p>
      <w:pPr>
        <w:spacing w:after="0" w:line="206"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67" w:name="page68"/>
    <w:bookmarkEnd w:id="67"/>
    <w:p>
      <w:pPr>
        <w:jc w:val="both"/>
        <w:ind w:right="2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Extraordinary Receipt</w:t>
      </w:r>
      <w:r>
        <w:rPr>
          <w:rFonts w:ascii="Arial" w:cs="Arial" w:eastAsia="Arial" w:hAnsi="Arial"/>
          <w:sz w:val="22"/>
          <w:szCs w:val="22"/>
          <w:color w:val="auto"/>
        </w:rPr>
        <w:t>” means proceeds of insurance (other than proceeds of (a) business interruption insurance to the extent such proceeds constitute compensation for lost earnings and (b) liability insurance) or condemnation awards (and payments in lieu thereof).</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the Initial Domestic Term Loan Facility, the 2015 Domestic Term Loan Facility, the Singapore Term Loan Facility or the Revolving Credit Facility, as the context may require.</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Termination Date</w:t>
      </w:r>
      <w:r>
        <w:rPr>
          <w:rFonts w:ascii="Arial" w:cs="Arial" w:eastAsia="Arial" w:hAnsi="Arial"/>
          <w:sz w:val="19"/>
          <w:szCs w:val="19"/>
          <w:color w:val="auto"/>
        </w:rPr>
        <w:t>” means the date as of which all of the following shall have occurred: (a) the Borrowers shall have permanently terminated the credit facilities provided hereunder by final payment in full of all Outstanding Amounts, together with all accrued and unpaid interest and fees thereon, other than (i) the undrawn portion of Letters of Credit, (ii) the aggregate face amount of all outstanding Bankers’ Acceptances and (iii) all Letter of Credit Fees and BA Fees relating thereto accruing after such date (which fees shall be payable solely for the account of the L/C-BA Issuer and shall be computed (based on interest rates and the Applicable Rates then in effect) on such undrawn amounts to the respective expiry dates of the Letters of Credit and on such aggregate face amount of Bankers’ Acceptances to the respective maturity dates thereof), that have, in each case, been fully Cash Collateralized or as to which other arrangements with respect thereto satisfactory to the Administrative Agent and the L/C-BA Issuer shall have been made; (b) all Commitments shall have terminated or expired; (c) the obligations and liabilities of the Borrowers and each other Loan Party under all Secured Cash Management Agreements and Secured Hedge Agreements shall have been fully, finally and irrevocably paid and satisfied in full and the Secured Cash Management Agreements and Secured Hedge Agreements shall have expired or been terminated, or other arrangements satisfactory to the counterparties shall have been made with respect thereto; and (d) the Borrowers and each other Loan Party shall have fully, finally and irrevocably paid and satisfied in full all of their other respective obligations and liabilities arising under the Loan Documents, including with respect to the Borrowers and the Obligations (except for future obligations consisting of continuing indemnities and other contingent Obligations of any Borrower or any other Loan Party that may be owing to the Administrative Agent, any of its Related Parties or any Lender pursuant to the Loan Documents and expressly survive termination of the Credit Agreement or any other Loan Document).</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FASB ASC</w:t>
      </w:r>
      <w:r>
        <w:rPr>
          <w:rFonts w:ascii="Arial" w:cs="Arial" w:eastAsia="Arial" w:hAnsi="Arial"/>
          <w:sz w:val="19"/>
          <w:szCs w:val="19"/>
          <w:color w:val="auto"/>
        </w:rPr>
        <w:t>” means the Accounting Standards Codification of the Financial Accounting Standards Board.</w:t>
      </w:r>
    </w:p>
    <w:p>
      <w:pPr>
        <w:spacing w:after="0" w:line="241"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each of the BofA Fee Letter, the Singapore Agent Fee Letter, the Joint Fee Letter, or any other fee letter that may be entered into between the Borrowing Agent and a Joint Lead Arranger, collectively, the “</w:t>
      </w:r>
      <w:r>
        <w:rPr>
          <w:rFonts w:ascii="Arial" w:cs="Arial" w:eastAsia="Arial" w:hAnsi="Arial"/>
          <w:sz w:val="22"/>
          <w:szCs w:val="22"/>
          <w:u w:val="single" w:color="auto"/>
          <w:color w:val="auto"/>
        </w:rPr>
        <w:t>Fee Letters</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68" w:name="page69"/>
    <w:bookmarkEnd w:id="68"/>
    <w:p>
      <w:pPr>
        <w:jc w:val="both"/>
        <w:ind w:left="4"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w:t>
      </w:r>
    </w:p>
    <w:p>
      <w:pPr>
        <w:jc w:val="both"/>
        <w:ind w:left="4" w:right="20" w:hanging="4"/>
        <w:spacing w:after="0" w:line="249" w:lineRule="auto"/>
        <w:tabs>
          <w:tab w:leader="none" w:pos="318" w:val="left"/>
        </w:tabs>
        <w:numPr>
          <w:ilvl w:val="0"/>
          <w:numId w:val="26"/>
        </w:numPr>
        <w:rPr>
          <w:rFonts w:ascii="Arial" w:cs="Arial" w:eastAsia="Arial" w:hAnsi="Arial"/>
          <w:sz w:val="21"/>
          <w:szCs w:val="21"/>
          <w:color w:val="auto"/>
        </w:rPr>
      </w:pPr>
      <w:r>
        <w:rPr>
          <w:rFonts w:ascii="Arial" w:cs="Arial" w:eastAsia="Arial" w:hAnsi="Arial"/>
          <w:sz w:val="21"/>
          <w:szCs w:val="21"/>
          <w:color w:val="auto"/>
        </w:rPr>
        <w:t>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6" w:lineRule="exact"/>
        <w:rPr>
          <w:sz w:val="20"/>
          <w:szCs w:val="20"/>
          <w:color w:val="auto"/>
        </w:rPr>
      </w:pPr>
    </w:p>
    <w:p>
      <w:pPr>
        <w:jc w:val="both"/>
        <w:ind w:left="4"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organized under the Laws of a jurisdiction other than that in which the relevant Borrower is resident for tax purposes (including such a Lender when acting in the capacity of the L/C-BA Issuer). For purposes of this definition, the United States, each State thereof and the District of Columbia shall be deemed to constitute a single jurisdiction.</w:t>
      </w:r>
    </w:p>
    <w:p>
      <w:pPr>
        <w:spacing w:after="0" w:line="18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 Subsidiary other than a Domestic Subsidiary.</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206"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that is a Revolving Lender, (a) with respect to the L/C-BA Issuer, such Defaulting Lender’s Applicable Revolving Percentage of the outstanding L/C-BA Obligations other than L/C-BA Obligations as to which such Defaulting Lender’s participation obligation has been reallocated to other Revolving Lenders or Cash Collateralized in accordance with the terms hereof, and (b) with respect to the Swing Line Lender, such Defaulting Lender’s Applicable Revolving Percentage of Swing Line Loans other than Swing Line Loans as to which such Defaulting Lender’s participation obligation has been reallocated to other Revolving Lenders or Cash Collateralized in accordance with the terms hereof.</w:t>
      </w:r>
    </w:p>
    <w:p>
      <w:pPr>
        <w:spacing w:after="0" w:line="153" w:lineRule="exact"/>
        <w:rPr>
          <w:sz w:val="20"/>
          <w:szCs w:val="20"/>
          <w:color w:val="auto"/>
        </w:rPr>
      </w:pPr>
    </w:p>
    <w:p>
      <w:pPr>
        <w:jc w:val="both"/>
        <w:ind w:left="4"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w:t>
      </w:r>
      <w:r>
        <w:rPr>
          <w:rFonts w:ascii="Arial" w:cs="Arial" w:eastAsia="Arial" w:hAnsi="Arial"/>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86" w:lineRule="exact"/>
        <w:rPr>
          <w:sz w:val="20"/>
          <w:szCs w:val="20"/>
          <w:color w:val="auto"/>
        </w:rPr>
      </w:pPr>
    </w:p>
    <w:p>
      <w:pPr>
        <w:jc w:val="both"/>
        <w:ind w:left="4"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references to GAAP in this Agreement shall not be interpreted to require or permit any Unrestricted Subsidiary to be consolidated with WFS and its Subsidiaries in the calculation of financial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or any other provision in this Agreement.</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69" w:name="page70"/>
    <w:bookmarkEnd w:id="69"/>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0"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means WFS, each other Loan Party as of the Closing Date (for so long as it remains a Loan Party) and each other Subsidiary that becomes a Guarantor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w:t>
      </w:r>
    </w:p>
    <w:p>
      <w:pPr>
        <w:spacing w:after="0" w:line="105"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Third Amended and Restated Guaranty dated as of the date hereof made by the Guarantors in favor of the Administrative Agent on behalf of the Secured Parties,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as supplemented from time to time by execution and delivery of Guaranty Joinder Agreements pursuant to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 Joinder Agreement</w:t>
      </w:r>
      <w:r>
        <w:rPr>
          <w:rFonts w:ascii="Arial" w:cs="Arial" w:eastAsia="Arial" w:hAnsi="Arial"/>
          <w:sz w:val="22"/>
          <w:szCs w:val="22"/>
          <w:color w:val="auto"/>
        </w:rPr>
        <w:t xml:space="preserve">” means each Guaranty Joinder Agreement, substantially in the form thereof attached to the Guaranty, executed and delivered by a Restricted Subsidiary to the Administrative Agent pursuant to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86"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0" w:name="page71"/>
    <w:bookmarkEnd w:id="70"/>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Bank</w:t>
      </w:r>
      <w:r>
        <w:rPr>
          <w:rFonts w:ascii="Arial" w:cs="Arial" w:eastAsia="Arial" w:hAnsi="Arial"/>
          <w:sz w:val="22"/>
          <w:szCs w:val="22"/>
          <w:color w:val="auto"/>
        </w:rPr>
        <w:t>” means any Person that, (a) at the time it enters into an interest rate Swap Contract not prohibited by the terms of this Agreement, is a Lender or an Affiliate of a Lender, or (b) at the time it (or its Affiliate) becomes a Lender, is a party to an interest rate Swap Contract not prohibited by the terms of this Agreement, in each case, in its capacity as a party to such Swap Contract.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HSBC</w:t>
      </w:r>
      <w:r>
        <w:rPr>
          <w:rFonts w:ascii="Arial" w:cs="Arial" w:eastAsia="Arial" w:hAnsi="Arial"/>
          <w:sz w:val="22"/>
          <w:szCs w:val="22"/>
          <w:color w:val="auto"/>
        </w:rPr>
        <w:t>” means HSBC Bank USA, National Association.</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as to any Person at a particular time, without duplication, all of the following, whether or not included as indebtedness or liabilities in accordance with GAAP:</w:t>
      </w:r>
    </w:p>
    <w:p>
      <w:pPr>
        <w:spacing w:after="0" w:line="173" w:lineRule="exact"/>
        <w:rPr>
          <w:sz w:val="20"/>
          <w:szCs w:val="20"/>
          <w:color w:val="auto"/>
        </w:rPr>
      </w:pPr>
    </w:p>
    <w:p>
      <w:pPr>
        <w:ind w:left="640" w:firstLine="653"/>
        <w:spacing w:after="0" w:line="251" w:lineRule="auto"/>
        <w:tabs>
          <w:tab w:leader="none" w:pos="1974"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3" w:lineRule="exact"/>
        <w:rPr>
          <w:rFonts w:ascii="Arial" w:cs="Arial" w:eastAsia="Arial" w:hAnsi="Arial"/>
          <w:sz w:val="22"/>
          <w:szCs w:val="22"/>
          <w:color w:val="auto"/>
        </w:rPr>
      </w:pPr>
    </w:p>
    <w:p>
      <w:pPr>
        <w:ind w:left="640" w:right="20" w:firstLine="653"/>
        <w:spacing w:after="0" w:line="328" w:lineRule="auto"/>
        <w:tabs>
          <w:tab w:leader="none" w:pos="1986" w:val="left"/>
        </w:tabs>
        <w:numPr>
          <w:ilvl w:val="0"/>
          <w:numId w:val="27"/>
        </w:numPr>
        <w:rPr>
          <w:rFonts w:ascii="Arial" w:cs="Arial" w:eastAsia="Arial" w:hAnsi="Arial"/>
          <w:sz w:val="19"/>
          <w:szCs w:val="19"/>
          <w:color w:val="auto"/>
        </w:rPr>
      </w:pPr>
      <w:r>
        <w:rPr>
          <w:rFonts w:ascii="Arial" w:cs="Arial" w:eastAsia="Arial" w:hAnsi="Arial"/>
          <w:sz w:val="19"/>
          <w:szCs w:val="19"/>
          <w:color w:val="auto"/>
        </w:rPr>
        <w:t>all direct or contingent obligations of such Person arising under letters of credit (including standby and commercial), bankers’ acceptances, bank guaranties, surety bonds and similar instruments;</w:t>
      </w:r>
    </w:p>
    <w:p>
      <w:pPr>
        <w:spacing w:after="0" w:line="105" w:lineRule="exact"/>
        <w:rPr>
          <w:rFonts w:ascii="Arial" w:cs="Arial" w:eastAsia="Arial" w:hAnsi="Arial"/>
          <w:sz w:val="19"/>
          <w:szCs w:val="19"/>
          <w:color w:val="auto"/>
        </w:rPr>
      </w:pPr>
    </w:p>
    <w:p>
      <w:pPr>
        <w:ind w:left="1980" w:hanging="687"/>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net obligations of such Person under any Swap Contract;</w:t>
      </w:r>
    </w:p>
    <w:p>
      <w:pPr>
        <w:spacing w:after="0" w:line="206" w:lineRule="exact"/>
        <w:rPr>
          <w:rFonts w:ascii="Arial" w:cs="Arial" w:eastAsia="Arial" w:hAnsi="Arial"/>
          <w:sz w:val="22"/>
          <w:szCs w:val="22"/>
          <w:color w:val="auto"/>
        </w:rPr>
      </w:pPr>
    </w:p>
    <w:p>
      <w:pPr>
        <w:jc w:val="both"/>
        <w:ind w:left="640" w:right="20" w:firstLine="653"/>
        <w:spacing w:after="0"/>
        <w:tabs>
          <w:tab w:leader="none" w:pos="1986"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trade accounts payable in the ordinary course of business and, in each case, not past due for more than 90 days);</w:t>
      </w:r>
    </w:p>
    <w:p>
      <w:pPr>
        <w:spacing w:after="0" w:line="186" w:lineRule="exact"/>
        <w:rPr>
          <w:rFonts w:ascii="Arial" w:cs="Arial" w:eastAsia="Arial" w:hAnsi="Arial"/>
          <w:sz w:val="22"/>
          <w:szCs w:val="22"/>
          <w:color w:val="auto"/>
        </w:rPr>
      </w:pPr>
    </w:p>
    <w:p>
      <w:pPr>
        <w:jc w:val="both"/>
        <w:ind w:left="640" w:firstLine="653"/>
        <w:spacing w:after="0" w:line="238" w:lineRule="auto"/>
        <w:tabs>
          <w:tab w:leader="none" w:pos="1974"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5" w:lineRule="exact"/>
        <w:rPr>
          <w:rFonts w:ascii="Arial" w:cs="Arial" w:eastAsia="Arial" w:hAnsi="Arial"/>
          <w:sz w:val="22"/>
          <w:szCs w:val="22"/>
          <w:color w:val="auto"/>
        </w:rPr>
      </w:pPr>
    </w:p>
    <w:p>
      <w:pPr>
        <w:ind w:left="1960" w:hanging="667"/>
        <w:spacing w:after="0"/>
        <w:tabs>
          <w:tab w:leader="none" w:pos="19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Capital Leases and Synthetic Lease Obligations;</w:t>
      </w:r>
    </w:p>
    <w:p>
      <w:pPr>
        <w:spacing w:after="0" w:line="206" w:lineRule="exact"/>
        <w:rPr>
          <w:rFonts w:ascii="Arial" w:cs="Arial" w:eastAsia="Arial" w:hAnsi="Arial"/>
          <w:sz w:val="22"/>
          <w:szCs w:val="22"/>
          <w:color w:val="auto"/>
        </w:rPr>
      </w:pPr>
    </w:p>
    <w:p>
      <w:pPr>
        <w:jc w:val="both"/>
        <w:ind w:left="640" w:right="20" w:firstLine="653"/>
        <w:spacing w:after="0" w:line="238" w:lineRule="auto"/>
        <w:tabs>
          <w:tab w:leader="none" w:pos="1986"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accrued and unpaid dividends; and</w:t>
      </w:r>
    </w:p>
    <w:p>
      <w:pPr>
        <w:spacing w:after="0" w:line="185" w:lineRule="exact"/>
        <w:rPr>
          <w:rFonts w:ascii="Arial" w:cs="Arial" w:eastAsia="Arial" w:hAnsi="Arial"/>
          <w:sz w:val="22"/>
          <w:szCs w:val="22"/>
          <w:color w:val="auto"/>
        </w:rPr>
      </w:pPr>
    </w:p>
    <w:p>
      <w:pPr>
        <w:ind w:left="2000" w:hanging="707"/>
        <w:spacing w:after="0"/>
        <w:tabs>
          <w:tab w:leader="none" w:pos="20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Guarantees of such Person in respect of any of the foregoing.</w:t>
      </w:r>
    </w:p>
    <w:p>
      <w:pPr>
        <w:spacing w:after="0" w:line="20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1" w:name="page72"/>
    <w:bookmarkEnd w:id="71"/>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10.04(b)</w:t>
      </w:r>
      <w:r>
        <w:rPr>
          <w:rFonts w:ascii="Arial" w:cs="Arial" w:eastAsia="Arial" w:hAnsi="Arial"/>
          <w:sz w:val="22"/>
          <w:szCs w:val="22"/>
          <w:color w:val="auto"/>
        </w:rPr>
        <w: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10.07</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Domestic Term Loan</w:t>
      </w:r>
      <w:r>
        <w:rPr>
          <w:rFonts w:ascii="Arial" w:cs="Arial" w:eastAsia="Arial" w:hAnsi="Arial"/>
          <w:sz w:val="22"/>
          <w:szCs w:val="22"/>
          <w:color w:val="auto"/>
        </w:rPr>
        <w:t>” means an advance made by any Initial Domestic Term Loan Lender under the Initial Domestic Term Loan Facility.</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Domestic Term Loan Borrowing</w:t>
      </w:r>
      <w:r>
        <w:rPr>
          <w:rFonts w:ascii="Arial" w:cs="Arial" w:eastAsia="Arial" w:hAnsi="Arial"/>
          <w:sz w:val="22"/>
          <w:szCs w:val="22"/>
          <w:color w:val="auto"/>
        </w:rPr>
        <w:t xml:space="preserve">” means, collectively, the borrowing funded under the Existing Credit Agreement by the Domestic Term Loan Lenders pursuant to </w:t>
      </w:r>
      <w:r>
        <w:rPr>
          <w:rFonts w:ascii="Arial" w:cs="Arial" w:eastAsia="Arial" w:hAnsi="Arial"/>
          <w:sz w:val="22"/>
          <w:szCs w:val="22"/>
          <w:u w:val="single" w:color="auto"/>
          <w:color w:val="auto"/>
        </w:rPr>
        <w:t>Section 2.01(a)(i)</w:t>
      </w:r>
      <w:r>
        <w:rPr>
          <w:rFonts w:ascii="Arial" w:cs="Arial" w:eastAsia="Arial" w:hAnsi="Arial"/>
          <w:sz w:val="22"/>
          <w:szCs w:val="22"/>
          <w:color w:val="auto"/>
        </w:rPr>
        <w:t xml:space="preserve"> thereof consisting of simultaneous Initial Domestic Term Loans of the same Type and, in the case of Eurodollar Rate Loans, having the same Interest Period.</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Domestic Term Loan Commitment</w:t>
      </w:r>
      <w:r>
        <w:rPr>
          <w:rFonts w:ascii="Arial" w:cs="Arial" w:eastAsia="Arial" w:hAnsi="Arial"/>
          <w:sz w:val="21"/>
          <w:szCs w:val="21"/>
          <w:color w:val="auto"/>
        </w:rPr>
        <w:t xml:space="preserve">” means, as to each Initial Domestic Term Loan Lender (as of the Closing Date), its obligation to have made Initial Domestic Term Loans to WFS pursuant to </w:t>
      </w:r>
      <w:r>
        <w:rPr>
          <w:rFonts w:ascii="Arial" w:cs="Arial" w:eastAsia="Arial" w:hAnsi="Arial"/>
          <w:sz w:val="21"/>
          <w:szCs w:val="21"/>
          <w:u w:val="single" w:color="auto"/>
          <w:color w:val="auto"/>
        </w:rPr>
        <w:t>Section 2.01(a)(i)</w:t>
      </w:r>
      <w:r>
        <w:rPr>
          <w:rFonts w:ascii="Arial" w:cs="Arial" w:eastAsia="Arial" w:hAnsi="Arial"/>
          <w:sz w:val="21"/>
          <w:szCs w:val="21"/>
          <w:color w:val="auto"/>
        </w:rPr>
        <w:t xml:space="preserve"> under the Existing Credit Agreement in the principal amount set forth opposite such Initial Domestic Term Loan Lender’s name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under the caption “Initial Domestic Term Loan Commitment.”</w:t>
      </w:r>
    </w:p>
    <w:p>
      <w:pPr>
        <w:spacing w:after="0" w:line="17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Domestic Term Loan Facility</w:t>
      </w:r>
      <w:r>
        <w:rPr>
          <w:rFonts w:ascii="Arial" w:cs="Arial" w:eastAsia="Arial" w:hAnsi="Arial"/>
          <w:sz w:val="22"/>
          <w:szCs w:val="22"/>
          <w:color w:val="auto"/>
        </w:rPr>
        <w:t xml:space="preserve">” means the facility described in </w:t>
      </w:r>
      <w:r>
        <w:rPr>
          <w:rFonts w:ascii="Arial" w:cs="Arial" w:eastAsia="Arial" w:hAnsi="Arial"/>
          <w:sz w:val="22"/>
          <w:szCs w:val="22"/>
          <w:u w:val="single" w:color="auto"/>
          <w:color w:val="auto"/>
        </w:rPr>
        <w:t>Section 2.01(a)(i)</w:t>
      </w:r>
      <w:r>
        <w:rPr>
          <w:rFonts w:ascii="Arial" w:cs="Arial" w:eastAsia="Arial" w:hAnsi="Arial"/>
          <w:sz w:val="22"/>
          <w:szCs w:val="22"/>
          <w:color w:val="auto"/>
        </w:rPr>
        <w:t xml:space="preserve"> providing for the making of Initial Domestic Term Loans to WFS by the Initial Domestic Term Loan Lenders initially funded in the aggregate principal amount of $250,000,000 pursuant to that certain Amendment No. 1 to the Existing Credit Agreement, $50,000,000 of which was converted to Singapore Term Loans pursuant to that certain Amendment No. 2 and Joinder Agreement to the Existing Credit Agreement, and outstanding in the principal amount of $193,030,000 as of the Amendment No. 1 Effective Date.</w:t>
      </w:r>
    </w:p>
    <w:p>
      <w:pPr>
        <w:spacing w:after="0" w:line="18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Domestic Term Loan Lender</w:t>
      </w:r>
      <w:r>
        <w:rPr>
          <w:rFonts w:ascii="Arial" w:cs="Arial" w:eastAsia="Arial" w:hAnsi="Arial"/>
          <w:sz w:val="22"/>
          <w:szCs w:val="22"/>
          <w:color w:val="auto"/>
        </w:rPr>
        <w:t>” means, at any time, any Lender that holds Initial Domestic Term Loans at such time.</w:t>
      </w:r>
    </w:p>
    <w:p>
      <w:pPr>
        <w:spacing w:after="0" w:line="173" w:lineRule="exact"/>
        <w:rPr>
          <w:sz w:val="20"/>
          <w:szCs w:val="20"/>
          <w:color w:val="auto"/>
        </w:rPr>
      </w:pPr>
    </w:p>
    <w:p>
      <w:pPr>
        <w:jc w:val="both"/>
        <w:ind w:right="20"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means an intercreditor and/or subordination agreement to be entered into with the Senior Note Holders, such agreement to be in form and substance satisfactory to the Administrative Agent (on behalf of the Secured Parties) in its sole discretion.</w:t>
      </w:r>
    </w:p>
    <w:p>
      <w:pPr>
        <w:spacing w:after="0" w:line="18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Interest Period for a Eurodollar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 (with Swing Line Loans being deemed made under the Revolving Facility for purposes of this definition).</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as to each Eurodollar Rate Loan, the period commencing on the date such Eurodollar Rate Loan is disbursed or converted to or continued as a Eurodollar Rate Loan and ending on the date seven days, or one, two, three or six months thereafter, as selected by the Borrowing Agent in its Committed Loan Notice, or such other period that is twelve months or less requested by the Borrowers and consented to by all the Appropriate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2" w:name="page73"/>
    <w:bookmarkEnd w:id="72"/>
    <w:p>
      <w:pPr>
        <w:jc w:val="both"/>
        <w:ind w:left="800" w:right="20" w:firstLine="655"/>
        <w:spacing w:after="0" w:line="238" w:lineRule="auto"/>
        <w:tabs>
          <w:tab w:leader="none" w:pos="2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85" w:lineRule="exact"/>
        <w:rPr>
          <w:rFonts w:ascii="Arial" w:cs="Arial" w:eastAsia="Arial" w:hAnsi="Arial"/>
          <w:sz w:val="22"/>
          <w:szCs w:val="22"/>
          <w:color w:val="auto"/>
        </w:rPr>
      </w:pPr>
    </w:p>
    <w:p>
      <w:pPr>
        <w:jc w:val="both"/>
        <w:ind w:left="800" w:right="20" w:firstLine="655"/>
        <w:spacing w:after="0" w:line="238" w:lineRule="auto"/>
        <w:tabs>
          <w:tab w:leader="none" w:pos="21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Arial" w:cs="Arial" w:eastAsia="Arial" w:hAnsi="Arial"/>
          <w:sz w:val="22"/>
          <w:szCs w:val="22"/>
          <w:color w:val="auto"/>
        </w:rPr>
      </w:pPr>
    </w:p>
    <w:p>
      <w:pPr>
        <w:ind w:left="2180" w:hanging="725"/>
        <w:spacing w:after="0"/>
        <w:tabs>
          <w:tab w:leader="none" w:pos="21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5.18</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IRC</w:t>
      </w:r>
      <w:r>
        <w:rPr>
          <w:rFonts w:ascii="Arial" w:cs="Arial" w:eastAsia="Arial" w:hAnsi="Arial"/>
          <w:sz w:val="22"/>
          <w:szCs w:val="22"/>
          <w:color w:val="auto"/>
        </w:rPr>
        <w:t>” means IRC Oil Technics, Inc., a Delaware corporation.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ISP</w:t>
      </w:r>
      <w:r>
        <w:rPr>
          <w:rFonts w:ascii="Arial" w:cs="Arial" w:eastAsia="Arial" w:hAnsi="Arial"/>
          <w:sz w:val="22"/>
          <w:szCs w:val="22"/>
          <w:color w:val="auto"/>
        </w:rPr>
        <w:t xml:space="preserve"> ” means, with respect to any Letter of Credit, the “International Standby Practices 1998” published by the Institute of International Banking Law &amp; Practice, Inc. (or such later version thereof as may be in effect at the time of issuance).</w:t>
      </w:r>
    </w:p>
    <w:p>
      <w:pPr>
        <w:spacing w:after="0" w:line="186"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Issuer Documents</w:t>
      </w:r>
      <w:r>
        <w:rPr>
          <w:rFonts w:ascii="Arial" w:cs="Arial" w:eastAsia="Arial" w:hAnsi="Arial"/>
          <w:sz w:val="21"/>
          <w:szCs w:val="21"/>
          <w:color w:val="auto"/>
        </w:rPr>
        <w:t>” means (i) with respect to any Letter of Credit or Acceptance Credit, the Letter of Credit Application, and any other document, agreement and instrument entered into by the L/C-BA Issuer and the Borrowing Agent, any Borrower or any Restricted Subsidiary in favor of the L/C-BA Issuer and relating to such Letter of Credit or Acceptance Credit, and (ii) with respect to any Clean BA, the Bankers’ Acceptance Request made by the Borrowing Agent to the L/C-BA Issuer relating to such Clean BA.</w:t>
      </w:r>
    </w:p>
    <w:p>
      <w:pPr>
        <w:spacing w:after="0" w:line="179"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Fee Letter</w:t>
      </w:r>
      <w:r>
        <w:rPr>
          <w:rFonts w:ascii="Arial" w:cs="Arial" w:eastAsia="Arial" w:hAnsi="Arial"/>
          <w:sz w:val="22"/>
          <w:szCs w:val="22"/>
          <w:color w:val="auto"/>
        </w:rPr>
        <w:t>” means the letter agreement, dated September 24, 2013, among the Borrowing Agent, on behalf of the Borrowers, Bank of America, MLPFS, Wells Fargo Bank, National Association, Wells Fargo Securities, LLC and HSBC.</w:t>
      </w:r>
    </w:p>
    <w:p>
      <w:pPr>
        <w:spacing w:after="0" w:line="18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Joint Lead Arranger</w:t>
      </w:r>
      <w:r>
        <w:rPr>
          <w:rFonts w:ascii="Arial" w:cs="Arial" w:eastAsia="Arial" w:hAnsi="Arial"/>
          <w:sz w:val="21"/>
          <w:szCs w:val="21"/>
          <w:color w:val="auto"/>
        </w:rPr>
        <w:t>” means each of MLPFS, Wells Fargo Securities, LLC, and HSBC, in each case, in its capacity as a joint lead arranger and a joint book manager, collectively, the “</w:t>
      </w:r>
      <w:r>
        <w:rPr>
          <w:rFonts w:ascii="Arial" w:cs="Arial" w:eastAsia="Arial" w:hAnsi="Arial"/>
          <w:sz w:val="21"/>
          <w:szCs w:val="21"/>
          <w:u w:val="single" w:color="auto"/>
          <w:color w:val="auto"/>
        </w:rPr>
        <w:t>Joint Lead Arrangers</w:t>
      </w:r>
      <w:r>
        <w:rPr>
          <w:rFonts w:ascii="Arial" w:cs="Arial" w:eastAsia="Arial" w:hAnsi="Arial"/>
          <w:sz w:val="21"/>
          <w:szCs w:val="21"/>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3" w:name="page74"/>
    <w:bookmarkEnd w:id="73"/>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L/C-BA Advance</w:t>
      </w:r>
      <w:r>
        <w:rPr>
          <w:rFonts w:ascii="Arial" w:cs="Arial" w:eastAsia="Arial" w:hAnsi="Arial"/>
          <w:sz w:val="21"/>
          <w:szCs w:val="21"/>
          <w:color w:val="auto"/>
        </w:rPr>
        <w:t>” means, with respect to each Revolving Lender, such Revolving Lender’s funding of its participation in any L/C-BA Borrowing in accordance with its Applicable Revolving Percentage.</w:t>
      </w:r>
    </w:p>
    <w:p>
      <w:pPr>
        <w:spacing w:after="0" w:line="15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L/C-BA Borrowing</w:t>
      </w:r>
      <w:r>
        <w:rPr>
          <w:rFonts w:ascii="Arial" w:cs="Arial" w:eastAsia="Arial" w:hAnsi="Arial"/>
          <w:sz w:val="19"/>
          <w:szCs w:val="19"/>
          <w:color w:val="auto"/>
        </w:rPr>
        <w:t>” means an extension of credit resulting from (i) a drawing under any Letter of Credit (other than an Acceptance Credit) or (ii) a payment of a Bankers’ Acceptance upon presentation, in each case, which has not been either (x) reimbursed on the date when made or (y) refinanced as a Revolving Borrowing.</w:t>
      </w:r>
    </w:p>
    <w:p>
      <w:pPr>
        <w:spacing w:after="0" w:line="134"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L/C-BA Credit Extension</w:t>
      </w:r>
      <w:r>
        <w:rPr>
          <w:rFonts w:ascii="Arial" w:cs="Arial" w:eastAsia="Arial" w:hAnsi="Arial"/>
          <w:sz w:val="22"/>
          <w:szCs w:val="22"/>
          <w:color w:val="auto"/>
        </w:rPr>
        <w:t>” means, with respect to any Letter of Credit or Bankers’ Acceptance, the issuance thereof or, in the case of Letters of Credit, the extension of the expiry date thereof, or the renewal or increase of the amount thereof.</w:t>
      </w:r>
    </w:p>
    <w:p>
      <w:pPr>
        <w:spacing w:after="0" w:line="186"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L/C-BA Issuer</w:t>
      </w:r>
      <w:r>
        <w:rPr>
          <w:rFonts w:ascii="Arial" w:cs="Arial" w:eastAsia="Arial" w:hAnsi="Arial"/>
          <w:sz w:val="19"/>
          <w:szCs w:val="19"/>
          <w:color w:val="auto"/>
        </w:rPr>
        <w:t>” means Bank of America, in its capacity as issuer of Letters of Credit and Bankers’ Acceptances hereunder, HSBC, in its capacity as issuer of Letters of Credit hereunder, or both, as the context may require, or any successor issuer or issuers of Letters of Credit and/or Bankers’ Acceptances hereunder.</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L/C-BA Obligations</w:t>
      </w:r>
      <w:r>
        <w:rPr>
          <w:rFonts w:ascii="Arial" w:cs="Arial" w:eastAsia="Arial" w:hAnsi="Arial"/>
          <w:sz w:val="19"/>
          <w:szCs w:val="19"/>
          <w:color w:val="auto"/>
        </w:rPr>
        <w:t xml:space="preserve">” means, as at any date of determination, the aggregate amount available to be drawn under all outstanding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sum of the maximum aggregate amount which is, or at any time thereafter may become, payable by the L/C-BA Issuer under all then-outstanding Bankers’ Acceptances,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of all Unreimbursed Amounts, including all L/C-BA Borrowings. For purposes of computing the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For all purposes of this Agreement, if on any date of determination a Letter of Credit has expired by its terms but any amount may still be drawn thereunder by reason of the operation of Rule </w:t>
      </w:r>
      <w:r>
        <w:rPr>
          <w:rFonts w:ascii="Arial" w:cs="Arial" w:eastAsia="Arial" w:hAnsi="Arial"/>
          <w:sz w:val="19"/>
          <w:szCs w:val="19"/>
          <w:u w:val="single" w:color="auto"/>
          <w:color w:val="auto"/>
        </w:rPr>
        <w:t>3.14</w:t>
      </w:r>
      <w:r>
        <w:rPr>
          <w:rFonts w:ascii="Arial" w:cs="Arial" w:eastAsia="Arial" w:hAnsi="Arial"/>
          <w:sz w:val="19"/>
          <w:szCs w:val="19"/>
          <w:color w:val="auto"/>
        </w:rPr>
        <w:t xml:space="preserve"> of the ISP, such Letter of Credit shall be deemed to be “outstanding” in the amount so remaining available to be drawn.</w:t>
      </w:r>
    </w:p>
    <w:p>
      <w:pPr>
        <w:spacing w:after="0" w:line="15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L/C-BA Sublimit</w:t>
      </w:r>
      <w:r>
        <w:rPr>
          <w:rFonts w:ascii="Arial" w:cs="Arial" w:eastAsia="Arial" w:hAnsi="Arial"/>
          <w:sz w:val="22"/>
          <w:szCs w:val="22"/>
          <w:color w:val="auto"/>
        </w:rPr>
        <w:t>” means an amount equal to $400,000,000. The L/C-BA Sublimit is part of, and not in addition to, the Aggregate Revolving Commitments.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Issued BA</w:t>
      </w:r>
      <w:r>
        <w:rPr>
          <w:rFonts w:ascii="Arial" w:cs="Arial" w:eastAsia="Arial" w:hAnsi="Arial"/>
          <w:sz w:val="21"/>
          <w:szCs w:val="21"/>
          <w:color w:val="auto"/>
        </w:rPr>
        <w:t xml:space="preserve">” means a negotiable time draft, drawn by the beneficiary under an Acceptance Credit and accepted by the L/C-BA Issuer under presentation of documents by the beneficiary of an Acceptance Credit pursuant to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hereof, in the standard form for bankers’ acceptances of the L/C-BA Issuer.</w:t>
      </w:r>
    </w:p>
    <w:p>
      <w:pPr>
        <w:spacing w:after="0" w:line="16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in the introductory paragraph hereto, and, as the context requires, includes the Swing Line Lender.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4" w:name="page75"/>
    <w:bookmarkEnd w:id="74"/>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Lending Office</w:t>
      </w:r>
      <w:r>
        <w:rPr>
          <w:rFonts w:ascii="Arial" w:cs="Arial" w:eastAsia="Arial" w:hAnsi="Arial"/>
          <w:sz w:val="22"/>
          <w:szCs w:val="22"/>
          <w:color w:val="auto"/>
        </w:rPr>
        <w:t>” means, as to any Lender, the office or offices of such Lender or an Affiliate of such Lender described as such in such Lender’s Administrative Questionnaire, or such other office or offices as a Lender may from time to time notify the Borrowing Agent and the Administrative Agent.</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hereunder and shall include the Existing Letters of Credit. A Letter of Credit may be a commercial letter of credit (including an Acceptance Credit) or a standby letter of credit.</w:t>
      </w:r>
    </w:p>
    <w:p>
      <w:pPr>
        <w:spacing w:after="0" w:line="18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L/C-BA Issuer and, in the case of any Acceptance Credit, shall include the related Acceptance Documents.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means an extension of credit by a Lender to any Borrower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in the form of a Term Loan, a Revolving Loan or a Swing Line Loan.</w:t>
      </w:r>
    </w:p>
    <w:p>
      <w:pPr>
        <w:spacing w:after="0" w:line="173"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this Agreement, the Notes (if any), each Issuer Document, the Fee Letters, the Guaranty (including each Guaranty Joinder Agreement), the Collateral Documents, the Intercreditor Agreement (if any), the Subordination Agreements (if any), and all other instruments, documents or agreements heretofore or hereafter executed or delivered by a Loan Party to or in favor of the Administrative Agent or any Lender in connection with the Loans made and transactions contemplated by any of the foregoing, in each case, as amended, restated, supplemented or otherwise modified from time to time.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each Borrower and each Guarantor.</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Banking Day</w:t>
      </w:r>
      <w:r>
        <w:rPr>
          <w:rFonts w:ascii="Arial" w:cs="Arial" w:eastAsia="Arial" w:hAnsi="Arial"/>
          <w:sz w:val="22"/>
          <w:szCs w:val="22"/>
          <w:color w:val="auto"/>
        </w:rPr>
        <w:t>” means any day on which dealings in Dollar deposits are conducted by and between banks in the London interbank eurodollar market.</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Acquisition</w:t>
      </w:r>
      <w:r>
        <w:rPr>
          <w:rFonts w:ascii="Arial" w:cs="Arial" w:eastAsia="Arial" w:hAnsi="Arial"/>
          <w:sz w:val="22"/>
          <w:szCs w:val="22"/>
          <w:color w:val="auto"/>
        </w:rPr>
        <w:t>” means any Acquisition consummated after the Closing Date involving aggregate consideration in excess of $25,000,000.</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a material adverse change in, or a material adverse effect upon, the operations, assets, business, liabilities (actual or contingent), condition (financial or otherwise) of WFS and its Restricted Subsidiaries taken as a whole; (b) a material impairment of the ability of the Loan Parties to perform their obligations under the Loan Documents; or (c) a material adverse effect upon the legality, validity, binding effect or enforceability of the Loan Documents.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5" w:name="page76"/>
    <w:bookmarkEnd w:id="75"/>
    <w:p>
      <w:pPr>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means with respect to any Person, each contract that would be required to be disclosed as a material contract or a material definitive agreement pursuant to SEC regulations.</w:t>
      </w:r>
    </w:p>
    <w:p>
      <w:pPr>
        <w:spacing w:after="0" w:line="17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Disposition</w:t>
      </w:r>
      <w:r>
        <w:rPr>
          <w:rFonts w:ascii="Arial" w:cs="Arial" w:eastAsia="Arial" w:hAnsi="Arial"/>
          <w:sz w:val="22"/>
          <w:szCs w:val="22"/>
          <w:color w:val="auto"/>
        </w:rPr>
        <w:t>” means any Disposition consummated after the Closing Date involving aggregate consideration in excess of $25,000,000.</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 Subsidiary whose aggregate book value of assets (including Equity Interests in other Subsidiaries but excluding Investments that are eliminated in consolidation) is equal to or greater than five percent (5%) of the aggregate book value of assets of WFS and its Subsidiaries on a consolidated basis as of the end of WFS’s most recently completed fiscal year; provided that for the purposes of this Agreement and the other Loan Documents, no Unrestricted Subsidiary shall be deemed a Material Subsidiary.</w:t>
      </w:r>
    </w:p>
    <w:p>
      <w:pPr>
        <w:spacing w:after="0" w:line="14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October 10, 2018;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date is not a Business Day, the Maturity Date shall be the next preceding Business Day.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MLPFS</w:t>
      </w:r>
      <w:r>
        <w:rPr>
          <w:rFonts w:ascii="Arial" w:cs="Arial" w:eastAsia="Arial" w:hAnsi="Arial"/>
          <w:sz w:val="22"/>
          <w:szCs w:val="22"/>
          <w:color w:val="auto"/>
        </w:rPr>
        <w:t>” means Merrill Lynch, Pierce, Fenner &amp; Smith Incorporated.</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any employee benefit plan of the type described in Section 4001(a)(3) of ERISA, to which the Borrowers or any ERISA Affiliate makes or is obligated to make contributions, or during the preceding five plan years, has made or been obligated to make contributions.</w:t>
      </w:r>
    </w:p>
    <w:p>
      <w:pPr>
        <w:spacing w:after="0" w:line="167"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Multiple Employer Plan</w:t>
      </w:r>
      <w:r>
        <w:rPr>
          <w:rFonts w:ascii="Arial" w:cs="Arial" w:eastAsia="Arial" w:hAnsi="Arial"/>
          <w:sz w:val="22"/>
          <w:szCs w:val="22"/>
          <w:color w:val="auto"/>
        </w:rPr>
        <w:t>” means a Plan which has two or more contributing sponsors (including the Borrowers or any ERISA Affiliate) at least two of whom are not under common control, as such a plan is described in Section 4064 of ERISA.</w:t>
      </w:r>
    </w:p>
    <w:p>
      <w:pPr>
        <w:spacing w:after="0" w:line="17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xml:space="preserve">” means, with respect to any Disposition by any Loan Party or any of its Subsidiaries (other than an Unrestricted Subsidiary), or any Extraordinary Receipt received or paid to the account of any Loan Party or any of its Subsidiaries (other than an Unrestricted Subsidiary),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Indebtedness (including the principal thereof, premium (if any), and interest thereon) that is secured by the applicable asset and that is required to be repaid in connection with such transaction (other than Indebtedness under the Loan Documents), (B) the reasonable and customary out-of-pocket expenses incurred by such Loan Party or such Subsidiary in connection with such transaction and (C) taxes reasonably estimated to be actually payable within two years of the date of the relevant transaction in connection therewith; provided that, if the amount of any estimated taxes pursuant to </w:t>
      </w:r>
      <w:r>
        <w:rPr>
          <w:rFonts w:ascii="Arial" w:cs="Arial" w:eastAsia="Arial" w:hAnsi="Arial"/>
          <w:sz w:val="19"/>
          <w:szCs w:val="19"/>
          <w:u w:val="single" w:color="auto"/>
          <w:color w:val="auto"/>
        </w:rPr>
        <w:t>subclause (C)</w:t>
      </w:r>
      <w:r>
        <w:rPr>
          <w:rFonts w:ascii="Arial" w:cs="Arial" w:eastAsia="Arial" w:hAnsi="Arial"/>
          <w:sz w:val="19"/>
          <w:szCs w:val="19"/>
          <w:color w:val="auto"/>
        </w:rPr>
        <w:t xml:space="preserve"> exceeds the amount of taxes actually required to be paid in cash in respect of such Disposition, the aggregate amount of such excess shall constitute Net Cash Proceeds.</w:t>
      </w:r>
    </w:p>
    <w:p>
      <w:pPr>
        <w:spacing w:after="0" w:line="2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Netting Arrangement</w:t>
      </w:r>
      <w:r>
        <w:rPr>
          <w:rFonts w:ascii="Arial" w:cs="Arial" w:eastAsia="Arial" w:hAnsi="Arial"/>
          <w:sz w:val="22"/>
          <w:szCs w:val="22"/>
          <w:color w:val="auto"/>
        </w:rPr>
        <w:t>” means a multi-party netting arrangement between (i) any group including only WFS and/or any Domestic Subsidiaries, on the one hand, and a Counterparty, on the other hand, relating to the netting of the settlement of amounts owed under contracts for the purchase and sale of fuel and related products and/or Swap Contracts between any of the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6" w:name="page77"/>
    <w:bookmarkEnd w:id="76"/>
    <w:p>
      <w:pPr>
        <w:jc w:val="both"/>
        <w:ind w:right="20"/>
        <w:spacing w:after="0" w:line="258" w:lineRule="auto"/>
        <w:rPr>
          <w:sz w:val="20"/>
          <w:szCs w:val="20"/>
          <w:color w:val="auto"/>
        </w:rPr>
      </w:pPr>
      <w:r>
        <w:rPr>
          <w:rFonts w:ascii="Arial" w:cs="Arial" w:eastAsia="Arial" w:hAnsi="Arial"/>
          <w:sz w:val="21"/>
          <w:szCs w:val="21"/>
          <w:color w:val="auto"/>
        </w:rPr>
        <w:t>thereto or (ii) any group including only Foreign Subsidiaries, on the one hand, and a Counterparty, on the other hand, relating to the netting of the settlement of amounts owed under contracts for the purchase and sale of fuel and related products and/or Swap Contracts between any of the parties thereto.</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Term Loan Note or a Revolving Note, as the context may require.</w:t>
      </w:r>
    </w:p>
    <w:p>
      <w:pPr>
        <w:spacing w:after="0" w:line="20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Negative Pledge Agreement</w:t>
      </w:r>
      <w:r>
        <w:rPr>
          <w:rFonts w:ascii="Arial" w:cs="Arial" w:eastAsia="Arial" w:hAnsi="Arial"/>
          <w:sz w:val="22"/>
          <w:szCs w:val="22"/>
          <w:color w:val="auto"/>
        </w:rPr>
        <w:t>” means the Notice of Negative Pledge Agreement dated as of September 8, 2010 made by WFS and certain of its Subsidiaries party thereto in favor of the Administrative Agent on behalf of the Secured Parties.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Letter of Credit or Bankers’ Acceptance,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the Obligations of a Loan Party shall exclude any Excluded Swap Obligations with respect to such Loan Party. Notwithstanding anything to the contrary contained in any Loan Document, the Obligations of WFS Europe and WFS Singapore shall not include Loans made to, or Letters of Credit or Bankers’ Acceptances issued for the account of, WFS or any of its Domestic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for the sake of clarity, (i) the Obligations of WFS Europe and WFS Singapore shall include all of the foregoing with respect to Revolving Loans the proceeds of which are used for the benefit of WFS Europe or WFS Singapore, as applicable, in which case, such proceeds shall be deemed Revolving Borrowings incurred by WFS Europe or WFS Singapore, as applicable, through WFS, acting in its capacity as Borrowing Agent, (ii) the Obligations of WFS Europe and WFS Singapore for Loans advanced and Letters of Credit and Bankers’ Acceptances issued for the account of either WFS Europe or WFS Singapore or any of their Foreign Subsidiaries shall be joint and several, (iii) the Obligations of WFS shall include Loans made to, and Letters of Credit and Bankers’ Acceptances issued for the account of, WFS Europe and WFS Singapore or any of their Subsidiaries.</w:t>
      </w: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means the Office of Foreign Assets Control of the United States Department of the Treasury.</w:t>
      </w:r>
    </w:p>
    <w:p>
      <w:pPr>
        <w:spacing w:after="0" w:line="218"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Organization Documents</w:t>
      </w:r>
      <w:r>
        <w:rPr>
          <w:rFonts w:ascii="Arial" w:cs="Arial" w:eastAsia="Arial" w:hAnsi="Arial"/>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organization and, if applicable, any certificate or articles of formation or organization of such entity.</w:t>
      </w:r>
    </w:p>
    <w:p>
      <w:pPr>
        <w:spacing w:after="0" w:line="20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(i) with respect to Revolving Loans on any date, the aggregate outstanding principal amount thereof after giving effect to any borrowings and prepayments or repayments of such Revolving Loans occurring on such date; (ii) with respect to Swing Line Loans on any date, the aggregate outstanding principal amount thereof after giving effect to any borrowings and prepayments or repayments of such Swing Line Loans occurring on such date; (iii) with respect to any L/C-BA Obligations on any date, the amount of the aggregate outstanding amount of such L/C-BA Obligations on such date after giving effect to any L/C Credit Extension occurring on such date and any other changes in the aggregate amount of the L/C Obligations as of such date, including as a result of any reimbursements by the Borrowers of Unreimbursed Amounts; and (iv) with respect to the Term Loan on any date, the aggregate outstanding principal amount thereof after giving effect to any prepayments or repayments thereof occurring on such date.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10.06(d)</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Act</w:t>
      </w:r>
      <w:r>
        <w:rPr>
          <w:rFonts w:ascii="Arial" w:cs="Arial" w:eastAsia="Arial" w:hAnsi="Arial"/>
          <w:sz w:val="22"/>
          <w:szCs w:val="22"/>
          <w:color w:val="auto"/>
        </w:rPr>
        <w:t>” means the Pension Protection Act of 2006.</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Funding Rules</w:t>
      </w:r>
      <w:r>
        <w:rPr>
          <w:rFonts w:ascii="Arial" w:cs="Arial" w:eastAsia="Arial" w:hAnsi="Arial"/>
          <w:sz w:val="22"/>
          <w:szCs w:val="2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8"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(including a Multiple Employer Plan or a Multiemployer Plan) that is maintained or is contributed to by the Borrowers and any ERISA Affiliate and is either covered by Title IV of ERISA or is subject to the minimum funding standards under Section 412 of the Code.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Acquisitions</w:t>
      </w:r>
      <w:r>
        <w:rPr>
          <w:rFonts w:ascii="Arial" w:cs="Arial" w:eastAsia="Arial" w:hAnsi="Arial"/>
          <w:sz w:val="22"/>
          <w:szCs w:val="22"/>
          <w:color w:val="auto"/>
        </w:rPr>
        <w:t xml:space="preserve">” means Acquisitions permitted by </w:t>
      </w:r>
      <w:r>
        <w:rPr>
          <w:rFonts w:ascii="Arial" w:cs="Arial" w:eastAsia="Arial" w:hAnsi="Arial"/>
          <w:sz w:val="22"/>
          <w:szCs w:val="22"/>
          <w:u w:val="single" w:color="auto"/>
          <w:color w:val="auto"/>
        </w:rPr>
        <w:t>Section 7.02(f)</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Call Spread Swap Agreements</w:t>
      </w:r>
      <w:r>
        <w:rPr>
          <w:rFonts w:ascii="Arial" w:cs="Arial" w:eastAsia="Arial" w:hAnsi="Arial"/>
          <w:sz w:val="19"/>
          <w:szCs w:val="19"/>
          <w:color w:val="auto"/>
        </w:rPr>
        <w:t xml:space="preserve">” means (a) any Swap Contract (including, but not limited to, any bond hedge transaction or capped call transaction) pursuant to which WFS acquires an option requiring the counterparty thereto to deliver to WFS shares of common stock of WFS, the cash value of such shares or a combination thereof from time to time upon the exercise of such option and (b) any Swap Contract pursuant to which any Borrower issues to the counterparty thereto warrants to acquire common stock WFS (whether such warrant is settled in shares, cash or a combination thereof), in each case entered into by WFS in connection with the issuance of Convertible Debt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conditions and covenants 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8" w:name="page79"/>
    <w:bookmarkEnd w:id="78"/>
    <w:p>
      <w:pPr>
        <w:jc w:val="both"/>
        <w:ind w:right="20"/>
        <w:spacing w:after="0" w:line="258" w:lineRule="auto"/>
        <w:rPr>
          <w:sz w:val="20"/>
          <w:szCs w:val="20"/>
          <w:color w:val="auto"/>
        </w:rPr>
      </w:pPr>
      <w:r>
        <w:rPr>
          <w:rFonts w:ascii="Arial" w:cs="Arial" w:eastAsia="Arial" w:hAnsi="Arial"/>
          <w:sz w:val="21"/>
          <w:szCs w:val="21"/>
          <w:color w:val="auto"/>
        </w:rPr>
        <w:t>each such Swap Contract are customary for Swap Contracts of such type (as reasonably determined by the Board of Directors of WFS in good faith). For purposes of this definition, the term “Swap Contract” shall include any stock option or warrant agreement for the purchase of Equity Interests of WFS.</w:t>
      </w:r>
    </w:p>
    <w:p>
      <w:pPr>
        <w:spacing w:after="0" w:line="16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Convertible Notes</w:t>
      </w:r>
      <w:r>
        <w:rPr>
          <w:rFonts w:ascii="Arial" w:cs="Arial" w:eastAsia="Arial" w:hAnsi="Arial"/>
          <w:sz w:val="22"/>
          <w:szCs w:val="22"/>
          <w:color w:val="auto"/>
        </w:rPr>
        <w:t>” means any unsecured Indebtedness issued pursuant to Approved Convertible Debt Documents.</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Inventory Financing</w:t>
      </w:r>
      <w:r>
        <w:rPr>
          <w:rFonts w:ascii="Arial" w:cs="Arial" w:eastAsia="Arial" w:hAnsi="Arial"/>
          <w:sz w:val="22"/>
          <w:szCs w:val="22"/>
          <w:color w:val="auto"/>
        </w:rPr>
        <w:t xml:space="preserve">” means any Indebtedness of WFS or any of its Restricted Subsidiaries incurred pursuant to </w:t>
      </w:r>
      <w:r>
        <w:rPr>
          <w:rFonts w:ascii="Arial" w:cs="Arial" w:eastAsia="Arial" w:hAnsi="Arial"/>
          <w:sz w:val="22"/>
          <w:szCs w:val="22"/>
          <w:u w:val="single" w:color="auto"/>
          <w:color w:val="auto"/>
        </w:rPr>
        <w:t>Section 7.03(q)</w:t>
      </w:r>
      <w:r>
        <w:rPr>
          <w:rFonts w:ascii="Arial" w:cs="Arial" w:eastAsia="Arial" w:hAnsi="Arial"/>
          <w:sz w:val="22"/>
          <w:szCs w:val="22"/>
          <w:color w:val="auto"/>
        </w:rPr>
        <w:t>.</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within the meaning of Section 3(3) of ERISA (including a Pension Plan), maintained for employees of the Borrowers or any ERISA Affiliate or any such Plan to which the Borrowers or any ERISA Affiliate is required to contribute on behalf of any of its employees.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Agreement</w:t>
      </w:r>
      <w:r>
        <w:rPr>
          <w:rFonts w:ascii="Arial" w:cs="Arial" w:eastAsia="Arial" w:hAnsi="Arial"/>
          <w:sz w:val="19"/>
          <w:szCs w:val="19"/>
          <w:color w:val="auto"/>
        </w:rPr>
        <w:t xml:space="preserve">” means the Third Amended and Restated Pledge Agreement dated as of the date hereof made by WFS and certain of its Subsidiaries party thereto in favor of the Administrative Agent on behalf of the Secured Parties pursuant to which the Pledged Interests are pledged,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as supplemented from time to by the execution and delivery of Pledge Joinder Agreements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as the same may be otherwise supplemented (including by Pledge Agreement Supplement).</w:t>
      </w:r>
    </w:p>
    <w:p>
      <w:pPr>
        <w:spacing w:after="0" w:line="14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 Agreement Supplement</w:t>
      </w:r>
      <w:r>
        <w:rPr>
          <w:rFonts w:ascii="Arial" w:cs="Arial" w:eastAsia="Arial" w:hAnsi="Arial"/>
          <w:sz w:val="22"/>
          <w:szCs w:val="22"/>
          <w:color w:val="auto"/>
        </w:rPr>
        <w:t>” means, with respect to the Pledge Agreement, the Pledge Agreement Supplement in the form affixed as an Exhibit to the Pledge Agreement.</w:t>
      </w:r>
    </w:p>
    <w:p>
      <w:pPr>
        <w:spacing w:after="0" w:line="17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 Joinder Agreement</w:t>
      </w:r>
      <w:r>
        <w:rPr>
          <w:rFonts w:ascii="Arial" w:cs="Arial" w:eastAsia="Arial" w:hAnsi="Arial"/>
          <w:sz w:val="22"/>
          <w:szCs w:val="22"/>
          <w:color w:val="auto"/>
        </w:rPr>
        <w:t xml:space="preserve">” means each Pledge Joinder Agreement, substantially in the form thereof attached to the Pledge Agreement, executed and delivered by each Borrower or a Restricted Subsidiary, as applicable, to the Administrative Agent pursuant to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Interests</w:t>
      </w:r>
      <w:r>
        <w:rPr>
          <w:rFonts w:ascii="Arial" w:cs="Arial" w:eastAsia="Arial" w:hAnsi="Arial"/>
          <w:sz w:val="19"/>
          <w:szCs w:val="19"/>
          <w:color w:val="auto"/>
        </w:rPr>
        <w:t>” means (i) the Subsidiary Securities of each of the existing or hereafter organized or acquired Restricted Subsidiaries that are Domestic Subsidiaries of (A) WFS (other than IRC and Resource Recovery), or (B) Guarantors that are themselves Domestic Subsidiaries and which, in each case, are directly held by either WFS or a Domestic Subsidiary thereof that is a Guarantor; and (ii) 65% of the Voting Securities of (or if the relevant Person shall own less than 65% of such Voting Securities, then 100% of the Voting Securities owned by such Person so long as the aggregate amount of such Voting Securities pledged by WFS and its Affiliates does not exceed 65% of the aggregate amount of such Voting Securities of) and 100% of the nonvoting Subsidiary Securities of each of the existing or hereafter organized or acquired Restricted Subsidiaries that are Direct Foreign Subsidiaries of (A) WFS (other than Atlantic Fuel Services) or (B) Guarantors that are themselves Domestic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79" w:name="page80"/>
    <w:bookmarkEnd w:id="79"/>
    <w:p>
      <w:pPr>
        <w:jc w:val="both"/>
        <w:ind w:left="4" w:right="2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means, (a) with respect to each Initial Domestic Term Loan Lender, the percentage (carried out to the ninth decimal place) of the principal amount of the Initial Domestic Term Loan funded by such Initial Domestic Term Loan Lender, after giving effect to any subsequent assignments made pursuant to the terms hereof,</w:t>
      </w:r>
    </w:p>
    <w:p>
      <w:pPr>
        <w:spacing w:after="0" w:line="2" w:lineRule="exact"/>
        <w:rPr>
          <w:sz w:val="20"/>
          <w:szCs w:val="20"/>
          <w:color w:val="auto"/>
        </w:rPr>
      </w:pPr>
    </w:p>
    <w:p>
      <w:pPr>
        <w:jc w:val="both"/>
        <w:ind w:left="4" w:hanging="4"/>
        <w:spacing w:after="0" w:line="270" w:lineRule="auto"/>
        <w:tabs>
          <w:tab w:leader="none" w:pos="312"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with respect to each 2015 Domestic Term Loan Lender, the percentage (carried out to the ninth decimal place) of the principal amount of the 2015 Domestic Term Loan funded by such 2015 Domestic Term Loan Lender, after giving effect to any subsequent assignments made pursuant to the terms hereof, and (c) means, with respect to each Singapore Term Loan Lender, the percentage (carried out to the ninth decimal place) of the principal amount of the Singapore Term Loan funded by such Singapore Term Loan Lender, after giving effect to any subsequent assignments made pursuant to the terms hereof. The Pro Rata Share of each Singapore Term Loan Lender as of the Amendment No. 1 Effective Date is set forth opposite the name of such Singapore Term Loan Lender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w:t>
      </w:r>
      <w:r>
        <w:rPr>
          <w:rFonts w:ascii="Arial" w:cs="Arial" w:eastAsia="Arial" w:hAnsi="Arial"/>
          <w:sz w:val="19"/>
          <w:szCs w:val="19"/>
          <w:color w:val="auto"/>
        </w:rPr>
        <w:t xml:space="preserve"> and thereafter, as applicable in the Assignment and Assumption pursuant to which such Singapore Term Loan Lender becomes a party hereto. The Pro Rata Share of each Initial Domestic Term Loan Lender as of the Amendment No. 1 Effective Date is set forth opposite the name of such Initial Domestic Term Loan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thereafter, as applicable in the Assignment and Assumption pursuant to which such Initial Domestic Term Loan Lender becomes a party hereto. The Pro Rata Share of each 2015 Domestic Term Loan Lender as of the Amendment No. 1 Effective Date is set forth opposite the name of such 2015 Domestic Term Loan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thereafter, as applicable in the Assignment and Assumption pursuant to which such 2015 Domestic Term Loan Lender becomes a party hereto.</w:t>
      </w:r>
    </w:p>
    <w:p>
      <w:pPr>
        <w:spacing w:after="0" w:line="200" w:lineRule="exact"/>
        <w:rPr>
          <w:sz w:val="20"/>
          <w:szCs w:val="20"/>
          <w:color w:val="auto"/>
        </w:rPr>
      </w:pPr>
    </w:p>
    <w:p>
      <w:pPr>
        <w:spacing w:after="0" w:line="20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10.06(c)</w:t>
      </w:r>
      <w:r>
        <w:rPr>
          <w:rFonts w:ascii="Arial" w:cs="Arial" w:eastAsia="Arial" w:hAnsi="Arial"/>
          <w:sz w:val="22"/>
          <w:szCs w:val="22"/>
          <w:color w:val="auto"/>
        </w:rPr>
        <w:t>.</w:t>
      </w:r>
    </w:p>
    <w:p>
      <w:pPr>
        <w:spacing w:after="0" w:line="206" w:lineRule="exact"/>
        <w:rPr>
          <w:sz w:val="20"/>
          <w:szCs w:val="20"/>
          <w:color w:val="auto"/>
        </w:rPr>
      </w:pPr>
    </w:p>
    <w:p>
      <w:pPr>
        <w:ind w:left="4"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Person, such Person’s Affiliates and the partners, directors, officers, employees, agents, trustees and advisors of such Person and of such Person’s Affiliates.</w:t>
      </w:r>
    </w:p>
    <w:p>
      <w:pPr>
        <w:spacing w:after="0" w:line="151" w:lineRule="exact"/>
        <w:rPr>
          <w:sz w:val="20"/>
          <w:szCs w:val="20"/>
          <w:color w:val="auto"/>
        </w:rPr>
      </w:pPr>
    </w:p>
    <w:p>
      <w:pPr>
        <w:jc w:val="both"/>
        <w:ind w:left="4"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Rights and Property</w:t>
      </w:r>
      <w:r>
        <w:rPr>
          <w:rFonts w:ascii="Arial" w:cs="Arial" w:eastAsia="Arial" w:hAnsi="Arial"/>
          <w:sz w:val="19"/>
          <w:szCs w:val="19"/>
          <w:color w:val="auto"/>
        </w:rPr>
        <w:t xml:space="preserve">” means, in connection with any receivable that is either (i) Disposed of pursuant to </w:t>
      </w:r>
      <w:r>
        <w:rPr>
          <w:rFonts w:ascii="Arial" w:cs="Arial" w:eastAsia="Arial" w:hAnsi="Arial"/>
          <w:sz w:val="19"/>
          <w:szCs w:val="19"/>
          <w:u w:val="single" w:color="auto"/>
          <w:color w:val="auto"/>
        </w:rPr>
        <w:t>Section 7.05(e)</w:t>
      </w:r>
      <w:r>
        <w:rPr>
          <w:rFonts w:ascii="Arial" w:cs="Arial" w:eastAsia="Arial" w:hAnsi="Arial"/>
          <w:sz w:val="19"/>
          <w:szCs w:val="19"/>
          <w:color w:val="auto"/>
        </w:rPr>
        <w:t xml:space="preserve"> or (ii) encumbered by a Lien securing Indebtedness permitted under </w:t>
      </w:r>
      <w:r>
        <w:rPr>
          <w:rFonts w:ascii="Arial" w:cs="Arial" w:eastAsia="Arial" w:hAnsi="Arial"/>
          <w:sz w:val="19"/>
          <w:szCs w:val="19"/>
          <w:u w:val="single" w:color="auto"/>
          <w:color w:val="auto"/>
        </w:rPr>
        <w:t>Section 7.03(f)(ii)</w:t>
      </w:r>
      <w:r>
        <w:rPr>
          <w:rFonts w:ascii="Arial" w:cs="Arial" w:eastAsia="Arial" w:hAnsi="Arial"/>
          <w:sz w:val="19"/>
          <w:szCs w:val="19"/>
          <w:color w:val="auto"/>
        </w:rPr>
        <w:t>,</w:t>
      </w:r>
    </w:p>
    <w:p>
      <w:pPr>
        <w:spacing w:after="0" w:line="2" w:lineRule="exact"/>
        <w:rPr>
          <w:sz w:val="20"/>
          <w:szCs w:val="20"/>
          <w:color w:val="auto"/>
        </w:rPr>
      </w:pPr>
    </w:p>
    <w:p>
      <w:pPr>
        <w:jc w:val="both"/>
        <w:ind w:left="4" w:hanging="4"/>
        <w:spacing w:after="0" w:line="242" w:lineRule="auto"/>
        <w:tabs>
          <w:tab w:leader="none" w:pos="313" w:val="left"/>
        </w:tabs>
        <w:numPr>
          <w:ilvl w:val="0"/>
          <w:numId w:val="30"/>
        </w:numPr>
        <w:rPr>
          <w:rFonts w:ascii="Arial" w:cs="Arial" w:eastAsia="Arial" w:hAnsi="Arial"/>
          <w:sz w:val="21"/>
          <w:szCs w:val="21"/>
          <w:color w:val="auto"/>
        </w:rPr>
      </w:pPr>
      <w:r>
        <w:rPr>
          <w:rFonts w:ascii="Arial" w:cs="Arial" w:eastAsia="Arial" w:hAnsi="Arial"/>
          <w:sz w:val="21"/>
          <w:szCs w:val="21"/>
          <w:color w:val="auto"/>
        </w:rPr>
        <w:t>all of WFS’ or the applicable Subsidiary’s interest in all goods represented by such receivable and in all goods returned by, or reclaimed, repossessed, or recovered from, the account debtor in respect of such receivable; (b) all of WFS’ or the applicable Subsidiary’s books, records, computer tapes, programs, and ledger books arising from or relating to such receivable; (c) all of WFS’ or the applicable Subsidiary’s rights in and to (but not its obligations under) the contract or agreement, in whatever form, which gave rise to such receivable; (d) all “accounts”, “instruments”, “general intangibles”, “documents”, “chattel paper”, and “letter of credit rights” (as each such term is defined in the applicable Uniform Commercial Code) related to such receivable; (e) all of the collections or payments received and all of WFS’ or the applicable Subsidiary’s rights to receive payment and collections on such receivable; (f) all of WFS’ or the applicable Subsidiary’s rights as an unpaid lienor or vendor of such goods; (g) all of WFS’ or the applicable Subsidiary’s rights of stoppage in transit, replevin, and reclamation relating to such goods or such receivable; (h) all of WFS’ or the applicable Subsidiary’s rights in and to all security for such goods or the payment of such receivable and</w:t>
      </w:r>
    </w:p>
    <w:p>
      <w:pPr>
        <w:spacing w:after="0" w:line="19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80" w:name="page81"/>
    <w:bookmarkEnd w:id="80"/>
    <w:p>
      <w:pPr>
        <w:jc w:val="both"/>
        <w:ind w:left="4" w:right="20"/>
        <w:spacing w:after="0" w:line="287" w:lineRule="auto"/>
        <w:rPr>
          <w:sz w:val="20"/>
          <w:szCs w:val="20"/>
          <w:color w:val="auto"/>
        </w:rPr>
      </w:pPr>
      <w:r>
        <w:rPr>
          <w:rFonts w:ascii="Arial" w:cs="Arial" w:eastAsia="Arial" w:hAnsi="Arial"/>
          <w:sz w:val="19"/>
          <w:szCs w:val="19"/>
          <w:color w:val="auto"/>
        </w:rPr>
        <w:t>guaranties thereof; (i) any collections or casualty insurance proceeds or proceeds from any trade receivables or other insurance collected or paid on account of such receivable or any of the foregoing; (j) all of WFS’ or the applicable Subsidiary’s rights against third parties with respect thereto; and (k) all other rights with respect to such receivable customarily pledged pursuant to receivables financings, factorings or securitizations.</w:t>
      </w:r>
    </w:p>
    <w:p>
      <w:pPr>
        <w:spacing w:after="0" w:line="144" w:lineRule="exact"/>
        <w:rPr>
          <w:sz w:val="20"/>
          <w:szCs w:val="20"/>
          <w:color w:val="auto"/>
        </w:rPr>
      </w:pPr>
    </w:p>
    <w:p>
      <w:pPr>
        <w:jc w:val="both"/>
        <w:ind w:left="4"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 day notice period has been waived.</w:t>
      </w:r>
    </w:p>
    <w:p>
      <w:pPr>
        <w:spacing w:after="0" w:line="173" w:lineRule="exact"/>
        <w:rPr>
          <w:sz w:val="20"/>
          <w:szCs w:val="20"/>
          <w:color w:val="auto"/>
        </w:rPr>
      </w:pPr>
    </w:p>
    <w:p>
      <w:pPr>
        <w:jc w:val="both"/>
        <w:ind w:left="4" w:right="2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Request for Credit Extension</w:t>
      </w:r>
      <w:r>
        <w:rPr>
          <w:rFonts w:ascii="Arial" w:cs="Arial" w:eastAsia="Arial" w:hAnsi="Arial"/>
          <w:sz w:val="21"/>
          <w:szCs w:val="21"/>
          <w:color w:val="auto"/>
        </w:rPr>
        <w:t>” means (a) with respect to a Borrowing, conversion or continuation of Term Loans or Revolving Loans, a Committed Loan Notice, (b) with respect to an L/C-BA Credit Extension, a Letter of Credit Application, and (c) with respect to a Swing Line Loan, a Swing Line Loan Notice.</w:t>
      </w:r>
    </w:p>
    <w:p>
      <w:pPr>
        <w:spacing w:after="0" w:line="167" w:lineRule="exact"/>
        <w:rPr>
          <w:sz w:val="20"/>
          <w:szCs w:val="20"/>
          <w:color w:val="auto"/>
        </w:rPr>
      </w:pPr>
    </w:p>
    <w:p>
      <w:pPr>
        <w:jc w:val="both"/>
        <w:ind w:left="4"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2015 Domestic Term Loan Lenders</w:t>
      </w:r>
      <w:r>
        <w:rPr>
          <w:rFonts w:ascii="Arial" w:cs="Arial" w:eastAsia="Arial" w:hAnsi="Arial"/>
          <w:sz w:val="19"/>
          <w:szCs w:val="19"/>
          <w:color w:val="auto"/>
        </w:rPr>
        <w:t>” means, as of any date of determination, 2015 Domestic Term Loan Lenders holding more than 50% of the 2015 Domestic Term Loan Facility on such date; provided that the portion of the 2015 Domestic Term Loan Facility held by any Defaulting Lender (other than any Voting Defaulting Lender) shall be excluded for purposes of making a determination of Required 2015 Domestic Term Loan Lenders.</w:t>
      </w:r>
    </w:p>
    <w:p>
      <w:pPr>
        <w:spacing w:after="0" w:line="143" w:lineRule="exact"/>
        <w:rPr>
          <w:sz w:val="20"/>
          <w:szCs w:val="20"/>
          <w:color w:val="auto"/>
        </w:rPr>
      </w:pPr>
    </w:p>
    <w:p>
      <w:pPr>
        <w:jc w:val="both"/>
        <w:ind w:left="4" w:firstLine="71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Initial Domestic Term Loan Lenders</w:t>
      </w:r>
      <w:r>
        <w:rPr>
          <w:rFonts w:ascii="Arial" w:cs="Arial" w:eastAsia="Arial" w:hAnsi="Arial"/>
          <w:sz w:val="22"/>
          <w:szCs w:val="22"/>
          <w:color w:val="auto"/>
        </w:rPr>
        <w:t>” means, as of any date of determination, Initial Domestic Term Loan Lenders holding more than 50% of the Initial Domestic Term Loan Facility on such date; provided that the portion of the Initial Domestic Term Loan Facility held by any Defaulting Lender (other than any Voting Defaulting Lender) shall be excluded for purposes of making a determination of Required Initial Domestic Term Loan Lenders.</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Facility Lenders</w:t>
      </w:r>
      <w:r>
        <w:rPr>
          <w:rFonts w:ascii="Arial" w:cs="Arial" w:eastAsia="Arial" w:hAnsi="Arial"/>
          <w:sz w:val="19"/>
          <w:szCs w:val="19"/>
          <w:color w:val="auto"/>
        </w:rPr>
        <w:t>” means (a) for the Revolving Credit Facility, the Required Revolving Lenders,</w:t>
      </w:r>
    </w:p>
    <w:p>
      <w:pPr>
        <w:spacing w:after="0" w:line="43" w:lineRule="exact"/>
        <w:rPr>
          <w:sz w:val="20"/>
          <w:szCs w:val="20"/>
          <w:color w:val="auto"/>
        </w:rPr>
      </w:pPr>
    </w:p>
    <w:p>
      <w:pPr>
        <w:jc w:val="both"/>
        <w:ind w:left="4" w:right="20" w:hanging="4"/>
        <w:spacing w:after="0" w:line="234" w:lineRule="auto"/>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the Initial Domestic Term Loan Facility, the Required Initial Domestic Term Loan Lenders, (c) for the 2015 Domestic Term Loan Facility, the Required 2015 Domestic Term Loan Lenders, and (d) for the Singapore Term Loan Facility, the Required Singapore Term Loan Lenders.</w:t>
      </w:r>
    </w:p>
    <w:p>
      <w:pPr>
        <w:spacing w:after="0" w:line="187" w:lineRule="exact"/>
        <w:rPr>
          <w:sz w:val="20"/>
          <w:szCs w:val="20"/>
          <w:color w:val="auto"/>
        </w:rPr>
      </w:pPr>
    </w:p>
    <w:p>
      <w:pPr>
        <w:jc w:val="both"/>
        <w:ind w:left="4"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as of any date of determination, Lenders having more than 50% of the sum of the (a) Total Outstandings on such date (with the aggregate amount of each Revolving Lender’s risk participation and funded participation in L/C-BA Obligations and Swing Line Loans being deemed “held” by such Revolving Lender for purposes of this definition) and (b) the aggregate unused Revolving Commitments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unused Revolving Commitment of, and the portion of the Total Outstandings held or deemed held by, any Defaulting Lender (other than a Voting Defaulting Lender) shall be excluded for purposes of making a determination of Required Lenders.</w:t>
      </w:r>
    </w:p>
    <w:p>
      <w:pPr>
        <w:spacing w:after="0" w:line="191" w:lineRule="exact"/>
        <w:rPr>
          <w:sz w:val="20"/>
          <w:szCs w:val="20"/>
          <w:color w:val="auto"/>
        </w:rPr>
      </w:pPr>
    </w:p>
    <w:p>
      <w:pPr>
        <w:jc w:val="both"/>
        <w:ind w:left="4"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Revolving Lenders</w:t>
      </w:r>
      <w:r>
        <w:rPr>
          <w:rFonts w:ascii="Arial" w:cs="Arial" w:eastAsia="Arial" w:hAnsi="Arial"/>
          <w:sz w:val="22"/>
          <w:szCs w:val="22"/>
          <w:color w:val="auto"/>
        </w:rPr>
        <w:t xml:space="preserve">” means, as of any date of determination, Revolving Lenders holding more than 50% of the sum of the (a) Total Revolving Outstandings (with the aggregate amount of each Revolving Lender’s risk participation and funded participation in L/C Obligations and Swing Line Loans being deemed “held” by such Revolving Lender for purposes of this definition) and (b) aggregate unused Revolving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unused Revolving Commitment of, and the portion of the Total Revolving Outstandings held or deemed</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81" w:name="page82"/>
    <w:bookmarkEnd w:id="81"/>
    <w:p>
      <w:pPr>
        <w:jc w:val="both"/>
        <w:spacing w:after="0" w:line="251" w:lineRule="auto"/>
        <w:rPr>
          <w:sz w:val="20"/>
          <w:szCs w:val="20"/>
          <w:color w:val="auto"/>
        </w:rPr>
      </w:pPr>
      <w:r>
        <w:rPr>
          <w:rFonts w:ascii="Arial" w:cs="Arial" w:eastAsia="Arial" w:hAnsi="Arial"/>
          <w:sz w:val="22"/>
          <w:szCs w:val="22"/>
          <w:color w:val="auto"/>
        </w:rPr>
        <w:t>held by, any Defaulting Lender shall be excluded for purposes of making a determination of Required Revolving Lenders.</w:t>
      </w:r>
    </w:p>
    <w:p>
      <w:pPr>
        <w:spacing w:after="0" w:line="17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Singapore Term Loan Lenders</w:t>
      </w:r>
      <w:r>
        <w:rPr>
          <w:rFonts w:ascii="Arial" w:cs="Arial" w:eastAsia="Arial" w:hAnsi="Arial"/>
          <w:sz w:val="19"/>
          <w:szCs w:val="19"/>
          <w:color w:val="auto"/>
        </w:rPr>
        <w:t>” means, as of any date of determination, Singapore Term Loan Lenders holding more than 50% of the Singapore Term Loan Facility on such date; provided that the portion of the Singapore Term Loan Facility held by any Defaulting Lender (other than any Voting Defaulting Lender) shall be excluded for purposes of making a determination of Required Singapore Term Loan Lenders.</w:t>
      </w:r>
    </w:p>
    <w:p>
      <w:pPr>
        <w:spacing w:after="0" w:line="143"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the chief executive officer, president, senior vice president, chief financial officer, treasurer, assistant treasurer, controller, manager, director, managing director or general manager of a Loan Party, and solely for purposes of the delivery of incumbency certificates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secretary or any assistant secretary of a Loan Party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Resource Recovery</w:t>
      </w:r>
      <w:r>
        <w:rPr>
          <w:rFonts w:ascii="Arial" w:cs="Arial" w:eastAsia="Arial" w:hAnsi="Arial"/>
          <w:sz w:val="22"/>
          <w:szCs w:val="22"/>
          <w:color w:val="auto"/>
        </w:rPr>
        <w:t>” means Resource Recovery of America, Inc., a Florida corporation.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w:t>
      </w:r>
      <w:r>
        <w:rPr>
          <w:rFonts w:ascii="Arial" w:cs="Arial" w:eastAsia="Arial" w:hAnsi="Arial"/>
          <w:sz w:val="22"/>
          <w:szCs w:val="22"/>
          <w:color w:val="auto"/>
        </w:rPr>
        <w:t>” has the meaning specified in the Recitals hereto.</w:t>
      </w:r>
    </w:p>
    <w:p>
      <w:pPr>
        <w:spacing w:after="0" w:line="206" w:lineRule="exact"/>
        <w:rPr>
          <w:sz w:val="20"/>
          <w:szCs w:val="20"/>
          <w:color w:val="auto"/>
        </w:rPr>
      </w:pPr>
    </w:p>
    <w:p>
      <w:pPr>
        <w:jc w:val="both"/>
        <w:ind w:right="2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 any dividend or other distribution (whether in cash, securities or other property) with respect to any capital stock or other Equity Interest of the Borrowers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 (b) any prepayment, redemption, purchase, repurchase, defeasance or other satisfaction prior to the scheduled maturity thereof in any manner of, or any payment in violation of any subordination terms of, any Subordinated Debt, and (c) any payment made by WFS under and with respect to the WFS Working Capital Guarantee.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WFS other than any Unrestricted Subsidiary.</w:t>
      </w:r>
    </w:p>
    <w:p>
      <w:pPr>
        <w:spacing w:after="0" w:line="20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Borrowing</w:t>
      </w:r>
      <w:r>
        <w:rPr>
          <w:rFonts w:ascii="Arial" w:cs="Arial" w:eastAsia="Arial" w:hAnsi="Arial"/>
          <w:sz w:val="22"/>
          <w:szCs w:val="22"/>
          <w:color w:val="auto"/>
        </w:rPr>
        <w:t xml:space="preserve">” means a borrowing made by the Revolving Lenders pursuant to </w:t>
      </w:r>
      <w:r>
        <w:rPr>
          <w:rFonts w:ascii="Arial" w:cs="Arial" w:eastAsia="Arial" w:hAnsi="Arial"/>
          <w:sz w:val="22"/>
          <w:szCs w:val="22"/>
          <w:u w:val="single" w:color="auto"/>
          <w:color w:val="auto"/>
        </w:rPr>
        <w:t>Section 2.01(b)</w:t>
      </w:r>
      <w:r>
        <w:rPr>
          <w:rFonts w:ascii="Arial" w:cs="Arial" w:eastAsia="Arial" w:hAnsi="Arial"/>
          <w:sz w:val="22"/>
          <w:szCs w:val="22"/>
          <w:color w:val="auto"/>
        </w:rPr>
        <w:t xml:space="preserve"> consisting of simultaneous Revolving Loans of the same Type and, in the case of Eurodollar Rate Loans, having the same Interest Period.</w:t>
      </w:r>
    </w:p>
    <w:p>
      <w:pPr>
        <w:spacing w:after="0" w:line="18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w:t>
      </w:r>
      <w:r>
        <w:rPr>
          <w:rFonts w:ascii="Arial" w:cs="Arial" w:eastAsia="Arial" w:hAnsi="Arial"/>
          <w:sz w:val="22"/>
          <w:szCs w:val="22"/>
          <w:color w:val="auto"/>
        </w:rPr>
        <w:t xml:space="preserve">” means, as to each Revolving Lender, its obligation to (a) make Revolving Loans to the Borrowers pursuant to </w:t>
      </w:r>
      <w:r>
        <w:rPr>
          <w:rFonts w:ascii="Arial" w:cs="Arial" w:eastAsia="Arial" w:hAnsi="Arial"/>
          <w:sz w:val="22"/>
          <w:szCs w:val="22"/>
          <w:u w:val="single" w:color="auto"/>
          <w:color w:val="auto"/>
        </w:rPr>
        <w:t>Section 2.01(b)</w:t>
      </w:r>
      <w:r>
        <w:rPr>
          <w:rFonts w:ascii="Arial" w:cs="Arial" w:eastAsia="Arial" w:hAnsi="Arial"/>
          <w:sz w:val="22"/>
          <w:szCs w:val="22"/>
          <w:color w:val="auto"/>
        </w:rPr>
        <w:t>, (b) purchase participations in L/C-BA Obligations, and (c) purchase participations in Swing Line Loans, in an aggregate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82" w:name="page83"/>
    <w:bookmarkEnd w:id="82"/>
    <w:p>
      <w:pPr>
        <w:jc w:val="both"/>
        <w:spacing w:after="0" w:line="236" w:lineRule="auto"/>
        <w:rPr>
          <w:sz w:val="20"/>
          <w:szCs w:val="20"/>
          <w:color w:val="auto"/>
        </w:rPr>
      </w:pPr>
      <w:r>
        <w:rPr>
          <w:rFonts w:ascii="Arial" w:cs="Arial" w:eastAsia="Arial" w:hAnsi="Arial"/>
          <w:sz w:val="22"/>
          <w:szCs w:val="22"/>
          <w:color w:val="auto"/>
        </w:rPr>
        <w:t xml:space="preserve">principal amount at any one time outstanding not to exceed the amount set forth opposite such Revolving Lender’s name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or in the Assignment and Assumption pursuant to which such Revolving Lender becomes a party hereto, as applicable, as such amount may be adjusted from time to time in accordance with this Agreement. As of the Amendment No. 1 Effective Date, the aggregate amount of the Revolving Commitments is $1,258,712,500.</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Facility</w:t>
      </w:r>
      <w:r>
        <w:rPr>
          <w:rFonts w:ascii="Arial" w:cs="Arial" w:eastAsia="Arial" w:hAnsi="Arial"/>
          <w:sz w:val="21"/>
          <w:szCs w:val="21"/>
          <w:color w:val="auto"/>
        </w:rPr>
        <w:t xml:space="preserve">” means the facility described in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providing for Revolving Loans, Swing Line Loans and Letters of Credit to or for the benefit of Borrower by the Revolving Lenders, Swing Line Lender or L/C-BA Issuer, as the case may be, in the maximum aggregate principal amount at any time outstanding of $1,258,712,500, as adjusted from time to time pursuant to the terms of this Agreement.</w:t>
      </w:r>
    </w:p>
    <w:p>
      <w:pPr>
        <w:spacing w:after="0" w:line="174"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Lender</w:t>
      </w:r>
      <w:r>
        <w:rPr>
          <w:rFonts w:ascii="Arial" w:cs="Arial" w:eastAsia="Arial" w:hAnsi="Arial"/>
          <w:sz w:val="19"/>
          <w:szCs w:val="19"/>
          <w:color w:val="auto"/>
        </w:rPr>
        <w:t>” means (a) at any time during the Availability Period, any Lender that has a Revolving Commitment at such time, and (b) at any time thereafter, any Lender that holds Revolving Loans at such time.</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w:t>
      </w:r>
      <w:r>
        <w:rPr>
          <w:rFonts w:ascii="Arial" w:cs="Arial" w:eastAsia="Arial" w:hAnsi="Arial"/>
          <w:sz w:val="22"/>
          <w:szCs w:val="22"/>
          <w:color w:val="auto"/>
        </w:rPr>
        <w:t xml:space="preserve">” means a promissory note made by the Borrowers in favor of a Revolving Lender evidencing Revolving Loans or Swing Line Loans, as the case may be, made by such Revolving Lender, substantially in the form of </w:t>
      </w:r>
      <w:r>
        <w:rPr>
          <w:rFonts w:ascii="Arial" w:cs="Arial" w:eastAsia="Arial" w:hAnsi="Arial"/>
          <w:sz w:val="22"/>
          <w:szCs w:val="22"/>
          <w:u w:val="single" w:color="auto"/>
          <w:color w:val="auto"/>
        </w:rPr>
        <w:t>Exhibit D-1</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any international economic sanction administered or enforced by the United States Government (including without limitation, OFAC), the European Union, Her Majesty’s Treasury (“</w:t>
      </w:r>
      <w:r>
        <w:rPr>
          <w:rFonts w:ascii="Arial" w:cs="Arial" w:eastAsia="Arial" w:hAnsi="Arial"/>
          <w:sz w:val="22"/>
          <w:szCs w:val="22"/>
          <w:u w:val="single" w:color="auto"/>
          <w:color w:val="auto"/>
        </w:rPr>
        <w:t>HMT</w:t>
      </w:r>
      <w:r>
        <w:rPr>
          <w:rFonts w:ascii="Arial" w:cs="Arial" w:eastAsia="Arial" w:hAnsi="Arial"/>
          <w:sz w:val="22"/>
          <w:szCs w:val="22"/>
          <w:color w:val="auto"/>
        </w:rPr>
        <w:t>”) or other relevant sanctions authority that is based in a jurisdiction (i) in which WFS or its Restricted Subsidiaries are organized or (ii) which otherwise has the authority to administer or enforce international economic sanctions applicable to WFS or any of its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124460</wp:posOffset>
            </wp:positionV>
            <wp:extent cx="342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95" w:lineRule="exact"/>
        <w:rPr>
          <w:sz w:val="20"/>
          <w:szCs w:val="20"/>
          <w:color w:val="auto"/>
        </w:rPr>
      </w:pPr>
    </w:p>
    <w:p>
      <w:pPr>
        <w:jc w:val="both"/>
        <w:ind w:firstLine="70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Agreement</w:t>
      </w:r>
      <w:r>
        <w:rPr>
          <w:rFonts w:ascii="Arial" w:cs="Arial" w:eastAsia="Arial" w:hAnsi="Arial"/>
          <w:sz w:val="22"/>
          <w:szCs w:val="22"/>
          <w:color w:val="auto"/>
        </w:rPr>
        <w:t>” means any Cash Management Agreement that is entered into by and between any Loan Party and any Cash Management Bank.</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Hedge Agreement</w:t>
      </w:r>
      <w:r>
        <w:rPr>
          <w:rFonts w:ascii="Arial" w:cs="Arial" w:eastAsia="Arial" w:hAnsi="Arial"/>
          <w:sz w:val="22"/>
          <w:szCs w:val="22"/>
          <w:color w:val="auto"/>
        </w:rPr>
        <w:t>” means any interest rate Swap Contract not prohibited by the terms of this Agreement that is entered into by and between any Loan Party and any Hedge Bank.</w:t>
      </w:r>
    </w:p>
    <w:p>
      <w:pPr>
        <w:spacing w:after="0" w:line="17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xml:space="preserve">” means, collectively, the Administrative Agent, the Lenders, the L/C-BA Issuer, the Hedge Banks, the Cash Management Banks, each co-agent or sub-agent appointed by the Administrative Agent from time to time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w:t>
      </w:r>
    </w:p>
    <w:p>
      <w:pPr>
        <w:spacing w:after="0" w:line="186"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Note Agreement</w:t>
      </w:r>
      <w:r>
        <w:rPr>
          <w:rFonts w:ascii="Arial" w:cs="Arial" w:eastAsia="Arial" w:hAnsi="Arial"/>
          <w:sz w:val="19"/>
          <w:szCs w:val="19"/>
          <w:color w:val="auto"/>
        </w:rPr>
        <w:t xml:space="preserve">” means any indenture, note purchase agreement or similar agreement evidencing secured Indebtedness of the Borrowers or any Restricted Subsidiary which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in right of payment to, the Indebtedness evidenced by the Loan Documents and is subject to an Intercreditor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83" w:name="page84"/>
    <w:bookmarkEnd w:id="83"/>
    <w:p>
      <w:pPr>
        <w:jc w:val="both"/>
        <w:ind w:left="4"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Note Documents</w:t>
      </w:r>
      <w:r>
        <w:rPr>
          <w:rFonts w:ascii="Arial" w:cs="Arial" w:eastAsia="Arial" w:hAnsi="Arial"/>
          <w:sz w:val="22"/>
          <w:szCs w:val="22"/>
          <w:color w:val="auto"/>
        </w:rPr>
        <w:t>” means the Senior Note Agreement and each other material agreement, instrument or other document executed in connection therewith.</w:t>
      </w:r>
    </w:p>
    <w:p>
      <w:pPr>
        <w:spacing w:after="0" w:line="17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Note Holders</w:t>
      </w:r>
      <w:r>
        <w:rPr>
          <w:rFonts w:ascii="Arial" w:cs="Arial" w:eastAsia="Arial" w:hAnsi="Arial"/>
          <w:sz w:val="22"/>
          <w:szCs w:val="22"/>
          <w:color w:val="auto"/>
        </w:rPr>
        <w:t>” means lenders under, or holders of, Senior Note Indebtedness.</w:t>
      </w:r>
    </w:p>
    <w:p>
      <w:pPr>
        <w:spacing w:after="0" w:line="206" w:lineRule="exact"/>
        <w:rPr>
          <w:sz w:val="20"/>
          <w:szCs w:val="20"/>
          <w:color w:val="auto"/>
        </w:rPr>
      </w:pPr>
    </w:p>
    <w:p>
      <w:pPr>
        <w:jc w:val="both"/>
        <w:ind w:left="4"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Note Indebtedness</w:t>
      </w:r>
      <w:r>
        <w:rPr>
          <w:rFonts w:ascii="Arial" w:cs="Arial" w:eastAsia="Arial" w:hAnsi="Arial"/>
          <w:sz w:val="22"/>
          <w:szCs w:val="22"/>
          <w:color w:val="auto"/>
        </w:rPr>
        <w:t>” means any secured Indebtedness outstanding under the Senior Note Agreement and the other Senior Note Documents.</w:t>
      </w:r>
    </w:p>
    <w:p>
      <w:pPr>
        <w:spacing w:after="0" w:line="17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Agent</w:t>
      </w:r>
      <w:r>
        <w:rPr>
          <w:rFonts w:ascii="Arial" w:cs="Arial" w:eastAsia="Arial" w:hAnsi="Arial"/>
          <w:sz w:val="22"/>
          <w:szCs w:val="22"/>
          <w:color w:val="auto"/>
        </w:rPr>
        <w:t>” means Bank of America, N.A., Singapore Branch.</w:t>
      </w:r>
    </w:p>
    <w:p>
      <w:pPr>
        <w:spacing w:after="0" w:line="206"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Agent Fee Letter</w:t>
      </w:r>
      <w:r>
        <w:rPr>
          <w:rFonts w:ascii="Arial" w:cs="Arial" w:eastAsia="Arial" w:hAnsi="Arial"/>
          <w:sz w:val="22"/>
          <w:szCs w:val="22"/>
          <w:color w:val="auto"/>
        </w:rPr>
        <w:t>” means the letter agreement dated April 10, 2012 between WFS Singapore, Bank of America, and Bank of America Singapore.</w:t>
      </w:r>
    </w:p>
    <w:p>
      <w:pPr>
        <w:spacing w:after="0" w:line="173" w:lineRule="exact"/>
        <w:rPr>
          <w:sz w:val="20"/>
          <w:szCs w:val="20"/>
          <w:color w:val="auto"/>
        </w:rPr>
      </w:pPr>
    </w:p>
    <w:p>
      <w:pPr>
        <w:jc w:val="both"/>
        <w:ind w:left="4"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Term Loan</w:t>
      </w:r>
      <w:r>
        <w:rPr>
          <w:rFonts w:ascii="Arial" w:cs="Arial" w:eastAsia="Arial" w:hAnsi="Arial"/>
          <w:sz w:val="22"/>
          <w:szCs w:val="22"/>
          <w:color w:val="auto"/>
        </w:rPr>
        <w:t>” means an advance made by any Singapore Term Loan Lender under the Singapore Term Loan Facility.</w:t>
      </w:r>
    </w:p>
    <w:p>
      <w:pPr>
        <w:spacing w:after="0" w:line="173" w:lineRule="exact"/>
        <w:rPr>
          <w:sz w:val="20"/>
          <w:szCs w:val="20"/>
          <w:color w:val="auto"/>
        </w:rPr>
      </w:pPr>
    </w:p>
    <w:p>
      <w:pPr>
        <w:jc w:val="both"/>
        <w:ind w:left="4"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Singapore Term Loan Borrowing</w:t>
      </w:r>
      <w:r>
        <w:rPr>
          <w:rFonts w:ascii="Arial" w:cs="Arial" w:eastAsia="Arial" w:hAnsi="Arial"/>
          <w:sz w:val="19"/>
          <w:szCs w:val="19"/>
          <w:color w:val="auto"/>
        </w:rPr>
        <w:t xml:space="preserve">” means, collectively, the borrowing funded under the Existing Credit Agreement by the Singapore Term Loan Lenders pursuant to </w:t>
      </w:r>
      <w:r>
        <w:rPr>
          <w:rFonts w:ascii="Arial" w:cs="Arial" w:eastAsia="Arial" w:hAnsi="Arial"/>
          <w:sz w:val="19"/>
          <w:szCs w:val="19"/>
          <w:u w:val="single" w:color="auto"/>
          <w:color w:val="auto"/>
        </w:rPr>
        <w:t>Section 2.01(a)(ii)</w:t>
      </w:r>
      <w:r>
        <w:rPr>
          <w:rFonts w:ascii="Arial" w:cs="Arial" w:eastAsia="Arial" w:hAnsi="Arial"/>
          <w:sz w:val="19"/>
          <w:szCs w:val="19"/>
          <w:color w:val="auto"/>
        </w:rPr>
        <w:t xml:space="preserve"> thereof, consisting of simultaneous Singapore Term Loans of the same Type and, in the case of Eurodollar Rate Loans, having the same Interest Period.</w:t>
      </w:r>
    </w:p>
    <w:p>
      <w:pPr>
        <w:spacing w:after="0" w:line="134" w:lineRule="exact"/>
        <w:rPr>
          <w:sz w:val="20"/>
          <w:szCs w:val="20"/>
          <w:color w:val="auto"/>
        </w:rPr>
      </w:pPr>
    </w:p>
    <w:p>
      <w:pPr>
        <w:jc w:val="both"/>
        <w:ind w:left="4" w:right="2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Singapore Term Loan Commitment</w:t>
      </w:r>
      <w:r>
        <w:rPr>
          <w:rFonts w:ascii="Arial" w:cs="Arial" w:eastAsia="Arial" w:hAnsi="Arial"/>
          <w:sz w:val="21"/>
          <w:szCs w:val="21"/>
          <w:color w:val="auto"/>
        </w:rPr>
        <w:t xml:space="preserve">” means, as to each Singapore Term Loan Lender (as of the Closing Date), its obligation to have made Singapore Term Loans to WFS Singapore pursuant to </w:t>
      </w:r>
      <w:r>
        <w:rPr>
          <w:rFonts w:ascii="Arial" w:cs="Arial" w:eastAsia="Arial" w:hAnsi="Arial"/>
          <w:sz w:val="21"/>
          <w:szCs w:val="21"/>
          <w:u w:val="single" w:color="auto"/>
          <w:color w:val="auto"/>
        </w:rPr>
        <w:t>Section 2.01(a)(ii)</w:t>
      </w:r>
      <w:r>
        <w:rPr>
          <w:rFonts w:ascii="Arial" w:cs="Arial" w:eastAsia="Arial" w:hAnsi="Arial"/>
          <w:sz w:val="21"/>
          <w:szCs w:val="21"/>
          <w:color w:val="auto"/>
        </w:rPr>
        <w:t xml:space="preserve"> under the Existing Credit Agreement in the principal amount set forth opposite such Singapore Term Loan Lender’s name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under the caption “Singapore Term Loan Commitment.”</w:t>
      </w:r>
    </w:p>
    <w:p>
      <w:pPr>
        <w:spacing w:after="0" w:line="174" w:lineRule="exact"/>
        <w:rPr>
          <w:sz w:val="20"/>
          <w:szCs w:val="20"/>
          <w:color w:val="auto"/>
        </w:rPr>
      </w:pPr>
    </w:p>
    <w:p>
      <w:pPr>
        <w:jc w:val="both"/>
        <w:ind w:left="4"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Term Loan Facility</w:t>
      </w:r>
      <w:r>
        <w:rPr>
          <w:rFonts w:ascii="Arial" w:cs="Arial" w:eastAsia="Arial" w:hAnsi="Arial"/>
          <w:sz w:val="22"/>
          <w:szCs w:val="22"/>
          <w:color w:val="auto"/>
        </w:rPr>
        <w:t xml:space="preserve">” means the facility described in </w:t>
      </w:r>
      <w:r>
        <w:rPr>
          <w:rFonts w:ascii="Arial" w:cs="Arial" w:eastAsia="Arial" w:hAnsi="Arial"/>
          <w:sz w:val="22"/>
          <w:szCs w:val="22"/>
          <w:u w:val="single" w:color="auto"/>
          <w:color w:val="auto"/>
        </w:rPr>
        <w:t>Section 2.01(a)(ii)</w:t>
      </w:r>
      <w:r>
        <w:rPr>
          <w:rFonts w:ascii="Arial" w:cs="Arial" w:eastAsia="Arial" w:hAnsi="Arial"/>
          <w:sz w:val="22"/>
          <w:szCs w:val="22"/>
          <w:color w:val="auto"/>
        </w:rPr>
        <w:t xml:space="preserve"> providing for the making of Singapore Term Loans to WFS Singapore by the Singapore Term Loan Lenders in the original aggregate principal amount of $50,000,000 and outstanding in the principal amount of $48,257,500 as of the Amendment No. 1 Effective Date.</w:t>
      </w:r>
    </w:p>
    <w:p>
      <w:pPr>
        <w:spacing w:after="0" w:line="18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Singapore Term Loan Lender</w:t>
      </w:r>
      <w:r>
        <w:rPr>
          <w:rFonts w:ascii="Arial" w:cs="Arial" w:eastAsia="Arial" w:hAnsi="Arial"/>
          <w:sz w:val="19"/>
          <w:szCs w:val="19"/>
          <w:color w:val="auto"/>
        </w:rPr>
        <w:t>” means, at any time, any Lender that holds Singapore Term Loans at such</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2"/>
          <w:szCs w:val="22"/>
          <w:color w:val="auto"/>
        </w:rPr>
        <w:t>time.</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Solvency</w:t>
      </w:r>
      <w:r>
        <w:rPr>
          <w:rFonts w:ascii="Arial" w:cs="Arial" w:eastAsia="Arial" w:hAnsi="Arial"/>
          <w:sz w:val="19"/>
          <w:szCs w:val="19"/>
          <w:color w:val="auto"/>
        </w:rPr>
        <w:t>” and “</w:t>
      </w:r>
      <w:r>
        <w:rPr>
          <w:rFonts w:ascii="Arial" w:cs="Arial" w:eastAsia="Arial" w:hAnsi="Arial"/>
          <w:sz w:val="19"/>
          <w:szCs w:val="19"/>
          <w:u w:val="single" w:color="auto"/>
          <w:color w:val="auto"/>
        </w:rPr>
        <w:t>Solvent</w:t>
      </w:r>
      <w:r>
        <w:rPr>
          <w:rFonts w:ascii="Arial" w:cs="Arial" w:eastAsia="Arial" w:hAnsi="Arial"/>
          <w:sz w:val="19"/>
          <w:szCs w:val="19"/>
          <w:color w:val="auto"/>
        </w:rPr>
        <w:t>” mean, with respect to any Person on any date of determination, that on such date</w:t>
      </w:r>
    </w:p>
    <w:p>
      <w:pPr>
        <w:spacing w:after="0" w:line="43" w:lineRule="exact"/>
        <w:rPr>
          <w:sz w:val="20"/>
          <w:szCs w:val="20"/>
          <w:color w:val="auto"/>
        </w:rPr>
      </w:pPr>
    </w:p>
    <w:p>
      <w:pPr>
        <w:jc w:val="both"/>
        <w:ind w:left="4" w:hanging="4"/>
        <w:spacing w:after="0" w:line="267" w:lineRule="auto"/>
        <w:tabs>
          <w:tab w:leader="none" w:pos="31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w:t>
      </w:r>
    </w:p>
    <w:p>
      <w:pPr>
        <w:jc w:val="both"/>
        <w:ind w:left="4" w:hanging="4"/>
        <w:spacing w:after="0" w:line="273" w:lineRule="auto"/>
        <w:tabs>
          <w:tab w:leader="none" w:pos="3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84" w:name="page85"/>
    <w:bookmarkEnd w:id="84"/>
    <w:p>
      <w:pPr>
        <w:jc w:val="both"/>
        <w:ind w:right="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Debt</w:t>
      </w:r>
      <w:r>
        <w:rPr>
          <w:rFonts w:ascii="Arial" w:cs="Arial" w:eastAsia="Arial" w:hAnsi="Arial"/>
          <w:sz w:val="22"/>
          <w:szCs w:val="22"/>
          <w:color w:val="auto"/>
        </w:rPr>
        <w:t>” means any (i) unsecured Indebtedness of any Borrower or any Restricted Subsidiary which is subordinated to the Obligations on terms and conditions satisfactory to the Administrative Agent pursuant to a Subordination Agreement and is otherwise is subject to covenants, pricing and other terms (including amortization) which have been approved in writing by the Administrative Agent and (ii) Indebtedness represented by any Permitted Convertible Notes.</w:t>
      </w:r>
    </w:p>
    <w:p>
      <w:pPr>
        <w:spacing w:after="0" w:line="188"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Subordination Agreement</w:t>
      </w:r>
      <w:r>
        <w:rPr>
          <w:rFonts w:ascii="Arial" w:cs="Arial" w:eastAsia="Arial" w:hAnsi="Arial"/>
          <w:sz w:val="19"/>
          <w:szCs w:val="19"/>
          <w:color w:val="auto"/>
        </w:rPr>
        <w:t>” means a subordination agreement executed by a holder of Subordinated Debt in favor of the Administrative Agent and the Lenders, in form and substance satisfactory to the Administrative Agent.</w:t>
      </w:r>
    </w:p>
    <w:p>
      <w:pPr>
        <w:spacing w:after="0" w:line="105"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direct or indirect Subsidiary or Subsidiaries of WFS.</w:t>
      </w:r>
    </w:p>
    <w:p>
      <w:pPr>
        <w:spacing w:after="0" w:line="191"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Securities</w:t>
      </w:r>
      <w:r>
        <w:rPr>
          <w:rFonts w:ascii="Arial" w:cs="Arial" w:eastAsia="Arial" w:hAnsi="Arial"/>
          <w:sz w:val="22"/>
          <w:szCs w:val="22"/>
          <w:color w:val="auto"/>
        </w:rPr>
        <w:t>” means the Equity Interests issued by or equity participations in any Restricted Subsidiary, whether or not constituting a “security” under Article 8 of the Uniform Commercial Code as in effect in any jurisdiction.</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6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Obligations</w:t>
      </w:r>
      <w:r>
        <w:rPr>
          <w:rFonts w:ascii="Arial" w:cs="Arial" w:eastAsia="Arial" w:hAnsi="Arial"/>
          <w:sz w:val="22"/>
          <w:szCs w:val="22"/>
          <w:color w:val="auto"/>
        </w:rPr>
        <w:t>” means with respect to any Loan Party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jc w:val="both"/>
        <w:ind w:right="20"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Termination Value</w:t>
      </w:r>
      <w:r>
        <w:rPr>
          <w:rFonts w:ascii="Arial" w:cs="Arial" w:eastAsia="Arial" w:hAnsi="Arial"/>
          <w:sz w:val="22"/>
          <w:szCs w:val="22"/>
          <w:color w:val="auto"/>
        </w:rPr>
        <w:t>” means, in respect of any one or more Swap Contracts, after taking into account the effect of any legally enforceable netting agreement relating to such Swap Contracts, (a) for any date on or after the date such Swap Contracts have been closed out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85" w:name="page86"/>
    <w:bookmarkEnd w:id="85"/>
    <w:p>
      <w:pPr>
        <w:jc w:val="both"/>
        <w:spacing w:after="0" w:line="252" w:lineRule="auto"/>
        <w:rPr>
          <w:sz w:val="20"/>
          <w:szCs w:val="20"/>
          <w:color w:val="auto"/>
        </w:rPr>
      </w:pPr>
      <w:r>
        <w:rPr>
          <w:rFonts w:ascii="Arial" w:cs="Arial" w:eastAsia="Arial" w:hAnsi="Arial"/>
          <w:sz w:val="21"/>
          <w:szCs w:val="21"/>
          <w:color w:val="auto"/>
        </w:rPr>
        <w:t xml:space="preserve">termination value(s) determined in accordance therewith, such termination value(s), and (b) for any date prior to the date referenced in </w:t>
      </w:r>
      <w:r>
        <w:rPr>
          <w:rFonts w:ascii="Arial" w:cs="Arial" w:eastAsia="Arial" w:hAnsi="Arial"/>
          <w:sz w:val="21"/>
          <w:szCs w:val="21"/>
          <w:u w:val="single" w:color="auto"/>
          <w:color w:val="auto"/>
        </w:rPr>
        <w:t>clause (a)</w:t>
      </w:r>
      <w:r>
        <w:rPr>
          <w:rFonts w:ascii="Arial" w:cs="Arial" w:eastAsia="Arial" w:hAnsi="Arial"/>
          <w:sz w:val="21"/>
          <w:szCs w:val="21"/>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Borrowing</w:t>
      </w:r>
      <w:r>
        <w:rPr>
          <w:rFonts w:ascii="Arial" w:cs="Arial" w:eastAsia="Arial" w:hAnsi="Arial"/>
          <w:sz w:val="22"/>
          <w:szCs w:val="22"/>
          <w:color w:val="auto"/>
        </w:rPr>
        <w:t xml:space="preserve">” means a borrowing of a Swing Line Loan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means Bank of America in its capacity as provider of Swing Line Loans, or any successor Swing Line Lender hereunder.</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Loan Notice</w:t>
      </w:r>
      <w:r>
        <w:rPr>
          <w:rFonts w:ascii="Arial" w:cs="Arial" w:eastAsia="Arial" w:hAnsi="Arial"/>
          <w:sz w:val="19"/>
          <w:szCs w:val="19"/>
          <w:color w:val="auto"/>
        </w:rPr>
        <w:t xml:space="preserve">” means a notice of a Swing Line Borrowing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which, if in writing, shall be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Borrowing Agent.</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Sublimit</w:t>
      </w:r>
      <w:r>
        <w:rPr>
          <w:rFonts w:ascii="Arial" w:cs="Arial" w:eastAsia="Arial" w:hAnsi="Arial"/>
          <w:sz w:val="22"/>
          <w:szCs w:val="22"/>
          <w:color w:val="auto"/>
        </w:rPr>
        <w:t>” means an amount equal to the lesser of (a) $50,000,000 and (b) the Aggregate Revolving Commitments. The Swing Line Sublimit is part of, and not in addition to, the Aggregate Revolving Commitments.</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means an Initial Domestic Term Loan, a 2015 Domestic Term Loan or a Singapore Term Loan, as the context may require.</w:t>
      </w:r>
    </w:p>
    <w:p>
      <w:pPr>
        <w:spacing w:after="0" w:line="173" w:lineRule="exact"/>
        <w:rPr>
          <w:sz w:val="20"/>
          <w:szCs w:val="20"/>
          <w:color w:val="auto"/>
        </w:rPr>
      </w:pPr>
    </w:p>
    <w:p>
      <w:pPr>
        <w:jc w:val="both"/>
        <w:ind w:firstLine="648"/>
        <w:spacing w:after="0" w:line="24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Note</w:t>
      </w:r>
      <w:r>
        <w:rPr>
          <w:rFonts w:ascii="Arial" w:cs="Arial" w:eastAsia="Arial" w:hAnsi="Arial"/>
          <w:sz w:val="19"/>
          <w:szCs w:val="19"/>
          <w:color w:val="auto"/>
        </w:rPr>
        <w:t xml:space="preserve">” means, as the context requires, a promissory note made (a) by WFS in favor of an Initial Domestic Term Loan Lender evidencing Initial Domestic Term Loans made by such Initial Domestic Term Loan Lender, substantially in the form of </w:t>
      </w:r>
      <w:r>
        <w:rPr>
          <w:rFonts w:ascii="Arial" w:cs="Arial" w:eastAsia="Arial" w:hAnsi="Arial"/>
          <w:sz w:val="19"/>
          <w:szCs w:val="19"/>
          <w:u w:val="single" w:color="auto"/>
          <w:color w:val="auto"/>
        </w:rPr>
        <w:t>Exhibit D-2</w:t>
      </w:r>
      <w:r>
        <w:rPr>
          <w:rFonts w:ascii="Arial" w:cs="Arial" w:eastAsia="Arial" w:hAnsi="Arial"/>
          <w:sz w:val="19"/>
          <w:szCs w:val="19"/>
          <w:color w:val="auto"/>
        </w:rPr>
        <w:t xml:space="preserve">, (b) by WFS in favor of a 2015 Domestic Term Loan Lender evidencing 2015 Domestic Term Loans made by such 2015 Domestic Term Loan Lender, substantially in the form of </w:t>
      </w:r>
      <w:r>
        <w:rPr>
          <w:rFonts w:ascii="Arial" w:cs="Arial" w:eastAsia="Arial" w:hAnsi="Arial"/>
          <w:sz w:val="19"/>
          <w:szCs w:val="19"/>
          <w:u w:val="single" w:color="auto"/>
          <w:color w:val="auto"/>
        </w:rPr>
        <w:t>Exhibit D-2</w:t>
      </w:r>
      <w:r>
        <w:rPr>
          <w:rFonts w:ascii="Arial" w:cs="Arial" w:eastAsia="Arial" w:hAnsi="Arial"/>
          <w:sz w:val="19"/>
          <w:szCs w:val="19"/>
          <w:color w:val="auto"/>
        </w:rPr>
        <w:t xml:space="preserve"> or (b) by WFS Singapore in favor of a Singapore Term Loan Lender evidencing Singapore Term Loans made by such Singapore Term Loan Lender, substantially in the form of </w:t>
      </w:r>
      <w:r>
        <w:rPr>
          <w:rFonts w:ascii="Arial" w:cs="Arial" w:eastAsia="Arial" w:hAnsi="Arial"/>
          <w:sz w:val="19"/>
          <w:szCs w:val="19"/>
          <w:u w:val="single" w:color="auto"/>
          <w:color w:val="auto"/>
        </w:rPr>
        <w:t>Exhibit D</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3</w:t>
      </w:r>
      <w:r>
        <w:rPr>
          <w:rFonts w:ascii="Arial" w:cs="Arial" w:eastAsia="Arial" w:hAnsi="Arial"/>
          <w:sz w:val="19"/>
          <w:szCs w:val="19"/>
          <w:color w:val="auto"/>
        </w:rPr>
        <w: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means $45,000,000.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86" w:name="page87"/>
    <w:bookmarkEnd w:id="86"/>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Outstandings</w:t>
      </w:r>
      <w:r>
        <w:rPr>
          <w:rFonts w:ascii="Arial" w:cs="Arial" w:eastAsia="Arial" w:hAnsi="Arial"/>
          <w:sz w:val="19"/>
          <w:szCs w:val="19"/>
          <w:color w:val="auto"/>
        </w:rPr>
        <w:t>” means the aggregate Outstanding Amount of all Loans and all L/C-BA Obligations.</w:t>
      </w:r>
    </w:p>
    <w:p>
      <w:pPr>
        <w:spacing w:after="0" w:line="24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Outstandings</w:t>
      </w:r>
      <w:r>
        <w:rPr>
          <w:rFonts w:ascii="Arial" w:cs="Arial" w:eastAsia="Arial" w:hAnsi="Arial"/>
          <w:sz w:val="22"/>
          <w:szCs w:val="22"/>
          <w:color w:val="auto"/>
        </w:rPr>
        <w:t>” means the aggregate Outstanding Amount of all Revolving Loans, Swing Line Loans and L/C-BA Obligations.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means, with respect to a Loan, its character as a Base Rate Loan or a Eurodollar Rate Loan.</w:t>
      </w:r>
    </w:p>
    <w:p>
      <w:pPr>
        <w:spacing w:after="0" w:line="21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UCC</w:t>
      </w:r>
      <w:r>
        <w:rPr>
          <w:rFonts w:ascii="Arial" w:cs="Arial" w:eastAsia="Arial" w:hAnsi="Arial"/>
          <w:sz w:val="21"/>
          <w:szCs w:val="21"/>
          <w:color w:val="auto"/>
        </w:rPr>
        <w:t xml:space="preserve">” means the Uniform Commercial Code as in effect in the State of New York;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UCP</w:t>
      </w:r>
      <w:r>
        <w:rPr>
          <w:rFonts w:ascii="Arial" w:cs="Arial" w:eastAsia="Arial" w:hAnsi="Arial"/>
          <w:sz w:val="22"/>
          <w:szCs w:val="22"/>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186"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Undisclosed Administration</w:t>
      </w:r>
      <w:r>
        <w:rPr>
          <w:rFonts w:ascii="Arial" w:cs="Arial" w:eastAsia="Arial" w:hAnsi="Arial"/>
          <w:sz w:val="22"/>
          <w:szCs w:val="22"/>
          <w:color w:val="auto"/>
        </w:rPr>
        <w:t>” means, with respect to a Lender, the appointment of an administrator, provisional liquidator, conservator, receiver, trustee, custodian or other similar official by a Governmental Authority under or based on the law in the country where such Lender is subject to home jurisdiction supervision if applicable law requires that such appointment not be publicly disclosed.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2.03(d)(i)</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Unrestricted Subsidiary</w:t>
      </w:r>
      <w:r>
        <w:rPr>
          <w:rFonts w:ascii="Arial" w:cs="Arial" w:eastAsia="Arial" w:hAnsi="Arial"/>
          <w:sz w:val="21"/>
          <w:szCs w:val="21"/>
          <w:color w:val="auto"/>
        </w:rPr>
        <w:t>” means each Subsidiary designated as an Unrestricted Subsidiary by WFS (and approved by the Administrative Agent, which approval shall not be unreasonably withheld or delayed).</w:t>
      </w:r>
    </w:p>
    <w:p>
      <w:pPr>
        <w:spacing w:after="0" w:line="15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Defaulting Lender</w:t>
      </w:r>
      <w:r>
        <w:rPr>
          <w:rFonts w:ascii="Arial" w:cs="Arial" w:eastAsia="Arial" w:hAnsi="Arial"/>
          <w:sz w:val="19"/>
          <w:szCs w:val="19"/>
          <w:color w:val="auto"/>
        </w:rPr>
        <w:t xml:space="preserve">” means a Domestic Term Loan Lender or a Singapore Term Loan Lender that is a Defaulting Lender solely by virtue of such Lender’s parent having taken an action, or become subject to a proceeding or appointment, that is described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“Defaulting Lender”.</w:t>
      </w:r>
    </w:p>
    <w:p>
      <w:pPr>
        <w:spacing w:after="0" w:line="134"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Securities</w:t>
      </w:r>
      <w:r>
        <w:rPr>
          <w:rFonts w:ascii="Arial" w:cs="Arial" w:eastAsia="Arial" w:hAnsi="Arial"/>
          <w:sz w:val="19"/>
          <w:szCs w:val="19"/>
          <w:color w:val="auto"/>
        </w:rPr>
        <w:t>” means Equity Interests issued by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WFS</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WFS Europe</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87" w:name="page88"/>
    <w:bookmarkEnd w:id="87"/>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WFS Singapore</w:t>
      </w:r>
      <w:r>
        <w:rPr>
          <w:rFonts w:ascii="Arial" w:cs="Arial" w:eastAsia="Arial" w:hAnsi="Arial"/>
          <w:sz w:val="22"/>
          <w:szCs w:val="22"/>
          <w:color w:val="auto"/>
        </w:rPr>
        <w:t>” has the meaning specified in the introductory paragraph hereto.</w:t>
      </w:r>
    </w:p>
    <w:p>
      <w:pPr>
        <w:spacing w:after="0" w:line="207" w:lineRule="exact"/>
        <w:rPr>
          <w:sz w:val="20"/>
          <w:szCs w:val="20"/>
          <w:color w:val="auto"/>
        </w:rPr>
      </w:pPr>
    </w:p>
    <w:p>
      <w:pPr>
        <w:jc w:val="both"/>
        <w:ind w:left="4"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WFS Working Capital Guarantee</w:t>
      </w:r>
      <w:r>
        <w:rPr>
          <w:rFonts w:ascii="Arial" w:cs="Arial" w:eastAsia="Arial" w:hAnsi="Arial"/>
          <w:sz w:val="22"/>
          <w:szCs w:val="22"/>
          <w:color w:val="auto"/>
        </w:rPr>
        <w:t>” means a guarantee by WFS of either (a) receivables owed by any Person (other than WFS or any of its Subsidiaries) to an Unrestricted Subsidiary or (b) payables owed by an Unrestricted Subsidiary to any Person (other than WFS or any of its Subsidiaries) or (c) such other arrangement as may be approved by the Administrative Agent.</w:t>
      </w:r>
    </w:p>
    <w:p>
      <w:pPr>
        <w:spacing w:after="0" w:line="179" w:lineRule="exact"/>
        <w:rPr>
          <w:sz w:val="20"/>
          <w:szCs w:val="20"/>
          <w:color w:val="auto"/>
        </w:rPr>
      </w:pPr>
    </w:p>
    <w:p>
      <w:pPr>
        <w:ind w:left="24" w:firstLine="648"/>
        <w:spacing w:after="0" w:line="256" w:lineRule="auto"/>
        <w:rPr>
          <w:sz w:val="20"/>
          <w:szCs w:val="20"/>
          <w:color w:val="auto"/>
        </w:rPr>
      </w:pPr>
      <w:r>
        <w:rPr>
          <w:rFonts w:ascii="Arial" w:cs="Arial" w:eastAsia="Arial" w:hAnsi="Arial"/>
          <w:sz w:val="22"/>
          <w:szCs w:val="22"/>
          <w:b w:val="1"/>
          <w:bCs w:val="1"/>
          <w:color w:val="auto"/>
        </w:rPr>
        <w:t>1.03 Other Interpretive Provisions</w:t>
      </w:r>
      <w:r>
        <w:rPr>
          <w:rFonts w:ascii="Arial" w:cs="Arial" w:eastAsia="Arial" w:hAnsi="Arial"/>
          <w:sz w:val="22"/>
          <w:szCs w:val="22"/>
          <w:color w:val="auto"/>
        </w:rPr>
        <w:t>. With reference to this Agreement and each other Loan Document,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herein or in such other Loan Document:</w:t>
      </w:r>
    </w:p>
    <w:p>
      <w:pPr>
        <w:spacing w:after="0" w:line="169" w:lineRule="exact"/>
        <w:rPr>
          <w:sz w:val="20"/>
          <w:szCs w:val="20"/>
          <w:color w:val="auto"/>
        </w:rPr>
      </w:pPr>
    </w:p>
    <w:p>
      <w:pPr>
        <w:jc w:val="both"/>
        <w:ind w:left="4" w:right="20" w:firstLine="645"/>
        <w:spacing w:after="0" w:line="269" w:lineRule="auto"/>
        <w:tabs>
          <w:tab w:leader="none" w:pos="1297"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3" w:lineRule="exact"/>
        <w:rPr>
          <w:rFonts w:ascii="Arial" w:cs="Arial" w:eastAsia="Arial" w:hAnsi="Arial"/>
          <w:sz w:val="19"/>
          <w:szCs w:val="19"/>
          <w:color w:val="auto"/>
        </w:rPr>
      </w:pPr>
    </w:p>
    <w:p>
      <w:pPr>
        <w:jc w:val="both"/>
        <w:ind w:left="4" w:hanging="4"/>
        <w:spacing w:after="0" w:line="271" w:lineRule="auto"/>
        <w:tabs>
          <w:tab w:leader="none" w:pos="337"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reference herein to any Person shall be construed to include such Person’s successors and assigns, (iii) the words “</w:t>
      </w:r>
      <w:r>
        <w:rPr>
          <w:rFonts w:ascii="Arial" w:cs="Arial" w:eastAsia="Arial" w:hAnsi="Arial"/>
          <w:sz w:val="19"/>
          <w:szCs w:val="19"/>
          <w:u w:val="single" w:color="auto"/>
          <w:color w:val="auto"/>
        </w:rPr>
        <w:t>hereto</w:t>
      </w:r>
      <w:r>
        <w:rPr>
          <w:rFonts w:ascii="Arial" w:cs="Arial" w:eastAsia="Arial" w:hAnsi="Arial"/>
          <w:sz w:val="19"/>
          <w:szCs w:val="19"/>
          <w:color w:val="auto"/>
        </w:rPr>
        <w:t>,”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161" w:lineRule="exact"/>
        <w:rPr>
          <w:rFonts w:ascii="Arial" w:cs="Arial" w:eastAsia="Arial" w:hAnsi="Arial"/>
          <w:sz w:val="19"/>
          <w:szCs w:val="19"/>
          <w:color w:val="auto"/>
        </w:rPr>
      </w:pPr>
    </w:p>
    <w:p>
      <w:pPr>
        <w:jc w:val="both"/>
        <w:ind w:left="4" w:right="20" w:firstLine="645"/>
        <w:spacing w:after="0"/>
        <w:tabs>
          <w:tab w:leader="none" w:pos="1309" w:val="left"/>
        </w:tabs>
        <w:numPr>
          <w:ilvl w:val="1"/>
          <w:numId w:val="35"/>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w:t>
      </w:r>
      <w:r>
        <w:rPr>
          <w:rFonts w:ascii="Arial" w:cs="Arial" w:eastAsia="Arial" w:hAnsi="Arial"/>
          <w:sz w:val="22"/>
          <w:szCs w:val="22"/>
          <w:u w:val="single" w:color="auto"/>
          <w:color w:val="auto"/>
        </w:rPr>
        <w:t>from</w:t>
      </w:r>
      <w:r>
        <w:rPr>
          <w:rFonts w:ascii="Arial" w:cs="Arial" w:eastAsia="Arial" w:hAnsi="Arial"/>
          <w:sz w:val="22"/>
          <w:szCs w:val="22"/>
          <w:color w:val="auto"/>
        </w:rPr>
        <w:t>” means “</w:t>
      </w:r>
      <w:r>
        <w:rPr>
          <w:rFonts w:ascii="Arial" w:cs="Arial" w:eastAsia="Arial" w:hAnsi="Arial"/>
          <w:sz w:val="22"/>
          <w:szCs w:val="22"/>
          <w:u w:val="single" w:color="auto"/>
          <w:color w:val="auto"/>
        </w:rPr>
        <w:t>from and including</w:t>
      </w:r>
      <w:r>
        <w:rPr>
          <w:rFonts w:ascii="Arial" w:cs="Arial" w:eastAsia="Arial" w:hAnsi="Arial"/>
          <w:sz w:val="22"/>
          <w:szCs w:val="22"/>
          <w:color w:val="auto"/>
        </w:rPr>
        <w:t>;” the words “</w:t>
      </w:r>
      <w:r>
        <w:rPr>
          <w:rFonts w:ascii="Arial" w:cs="Arial" w:eastAsia="Arial" w:hAnsi="Arial"/>
          <w:sz w:val="22"/>
          <w:szCs w:val="22"/>
          <w:u w:val="single" w:color="auto"/>
          <w:color w:val="auto"/>
        </w:rPr>
        <w:t>to</w:t>
      </w:r>
      <w:r>
        <w:rPr>
          <w:rFonts w:ascii="Arial" w:cs="Arial" w:eastAsia="Arial" w:hAnsi="Arial"/>
          <w:sz w:val="22"/>
          <w:szCs w:val="22"/>
          <w:color w:val="auto"/>
        </w:rPr>
        <w:t>” and “</w:t>
      </w:r>
      <w:r>
        <w:rPr>
          <w:rFonts w:ascii="Arial" w:cs="Arial" w:eastAsia="Arial" w:hAnsi="Arial"/>
          <w:sz w:val="22"/>
          <w:szCs w:val="22"/>
          <w:u w:val="single" w:color="auto"/>
          <w:color w:val="auto"/>
        </w:rPr>
        <w:t>until</w:t>
      </w:r>
      <w:r>
        <w:rPr>
          <w:rFonts w:ascii="Arial" w:cs="Arial" w:eastAsia="Arial" w:hAnsi="Arial"/>
          <w:sz w:val="22"/>
          <w:szCs w:val="22"/>
          <w:color w:val="auto"/>
        </w:rPr>
        <w:t>” each mean “</w:t>
      </w:r>
      <w:r>
        <w:rPr>
          <w:rFonts w:ascii="Arial" w:cs="Arial" w:eastAsia="Arial" w:hAnsi="Arial"/>
          <w:sz w:val="22"/>
          <w:szCs w:val="22"/>
          <w:u w:val="single" w:color="auto"/>
          <w:color w:val="auto"/>
        </w:rPr>
        <w:t>to but excluding</w:t>
      </w:r>
      <w:r>
        <w:rPr>
          <w:rFonts w:ascii="Arial" w:cs="Arial" w:eastAsia="Arial" w:hAnsi="Arial"/>
          <w:sz w:val="22"/>
          <w:szCs w:val="22"/>
          <w:color w:val="auto"/>
        </w:rPr>
        <w:t>;” and the word “</w:t>
      </w:r>
      <w:r>
        <w:rPr>
          <w:rFonts w:ascii="Arial" w:cs="Arial" w:eastAsia="Arial" w:hAnsi="Arial"/>
          <w:sz w:val="22"/>
          <w:szCs w:val="22"/>
          <w:u w:val="single" w:color="auto"/>
          <w:color w:val="auto"/>
        </w:rPr>
        <w:t>through</w:t>
      </w:r>
      <w:r>
        <w:rPr>
          <w:rFonts w:ascii="Arial" w:cs="Arial" w:eastAsia="Arial" w:hAnsi="Arial"/>
          <w:sz w:val="22"/>
          <w:szCs w:val="22"/>
          <w:color w:val="auto"/>
        </w:rPr>
        <w:t>” means “</w:t>
      </w:r>
      <w:r>
        <w:rPr>
          <w:rFonts w:ascii="Arial" w:cs="Arial" w:eastAsia="Arial" w:hAnsi="Arial"/>
          <w:sz w:val="22"/>
          <w:szCs w:val="22"/>
          <w:u w:val="single" w:color="auto"/>
          <w:color w:val="auto"/>
        </w:rPr>
        <w:t>to and including</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4" w:right="20" w:firstLine="645"/>
        <w:spacing w:after="0" w:line="251" w:lineRule="auto"/>
        <w:tabs>
          <w:tab w:leader="none" w:pos="1297" w:val="left"/>
        </w:tabs>
        <w:numPr>
          <w:ilvl w:val="1"/>
          <w:numId w:val="35"/>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67"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Accounting Terms</w:t>
      </w:r>
      <w:r>
        <w:rPr>
          <w:rFonts w:ascii="Arial" w:cs="Arial" w:eastAsia="Arial" w:hAnsi="Arial"/>
          <w:sz w:val="19"/>
          <w:szCs w:val="19"/>
          <w:color w:val="auto"/>
        </w:rPr>
        <w:t>.</w:t>
      </w:r>
    </w:p>
    <w:p>
      <w:pPr>
        <w:spacing w:after="0" w:line="212" w:lineRule="exact"/>
        <w:rPr>
          <w:sz w:val="20"/>
          <w:szCs w:val="20"/>
          <w:color w:val="auto"/>
        </w:rPr>
      </w:pPr>
    </w:p>
    <w:p>
      <w:pPr>
        <w:jc w:val="both"/>
        <w:ind w:left="4" w:right="20" w:firstLine="645"/>
        <w:spacing w:after="0" w:line="238" w:lineRule="auto"/>
        <w:tabs>
          <w:tab w:leader="none" w:pos="1297"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88" w:name="page89"/>
    <w:bookmarkEnd w:id="88"/>
    <w:p>
      <w:pPr>
        <w:jc w:val="both"/>
        <w:ind w:right="20"/>
        <w:spacing w:after="0" w:line="249" w:lineRule="auto"/>
        <w:rPr>
          <w:sz w:val="20"/>
          <w:szCs w:val="20"/>
          <w:color w:val="auto"/>
        </w:rPr>
      </w:pPr>
      <w:r>
        <w:rPr>
          <w:rFonts w:ascii="Arial" w:cs="Arial" w:eastAsia="Arial" w:hAnsi="Arial"/>
          <w:sz w:val="21"/>
          <w:szCs w:val="21"/>
          <w:color w:val="auto"/>
        </w:rPr>
        <w:t xml:space="preserve">manner consistent with that used in preparing the Audited Financial Statements,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as otherwise specifically prescribed herein. Notwithstanding the foregoing, for purposes of determining compliance with any covenant (including the computation of any financial covenant) contained herein, Indebtedness of WFS and its Restricted Subsidiaries shall be deemed to be carried at 100% of the outstanding principal amount thereof, and the effects of FASB ASC 825 and FASB ASC 470-20 on financial liabilities shall be disregarded.</w:t>
      </w:r>
    </w:p>
    <w:p>
      <w:pPr>
        <w:spacing w:after="0" w:line="179" w:lineRule="exact"/>
        <w:rPr>
          <w:sz w:val="20"/>
          <w:szCs w:val="20"/>
          <w:color w:val="auto"/>
        </w:rPr>
      </w:pPr>
    </w:p>
    <w:p>
      <w:pPr>
        <w:jc w:val="both"/>
        <w:ind w:firstLine="645"/>
        <w:spacing w:after="0" w:line="274" w:lineRule="auto"/>
        <w:tabs>
          <w:tab w:leader="none" w:pos="1305"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the Borrowing Agent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58" w:lineRule="exact"/>
        <w:rPr>
          <w:rFonts w:ascii="Arial" w:cs="Arial" w:eastAsia="Arial" w:hAnsi="Arial"/>
          <w:sz w:val="19"/>
          <w:szCs w:val="19"/>
          <w:color w:val="auto"/>
        </w:rPr>
      </w:pPr>
    </w:p>
    <w:p>
      <w:pPr>
        <w:jc w:val="both"/>
        <w:ind w:firstLine="645"/>
        <w:spacing w:after="0" w:line="249" w:lineRule="auto"/>
        <w:tabs>
          <w:tab w:leader="none" w:pos="1293"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Consolidation of Variable Interest Entities</w:t>
      </w:r>
      <w:r>
        <w:rPr>
          <w:rFonts w:ascii="Arial" w:cs="Arial" w:eastAsia="Arial" w:hAnsi="Arial"/>
          <w:sz w:val="21"/>
          <w:szCs w:val="21"/>
          <w:color w:val="auto"/>
        </w:rPr>
        <w:t>. All references herein to consolidated financial statements of WFS and its Subsidiaries or to the determination of any amount for WFS and its Subsidiaries or WFS and its Restricted Subsidiaries on a consolidated basis or any similar reference shall, in each case, be deemed to include each variable interest entity that WFS is required to consolidate pursuant to FASB ASC 810 as if such variable interest entity were a Subsidiary as defined herein.</w:t>
      </w:r>
    </w:p>
    <w:p>
      <w:pPr>
        <w:spacing w:after="0" w:line="173" w:lineRule="exact"/>
        <w:rPr>
          <w:sz w:val="20"/>
          <w:szCs w:val="20"/>
          <w:color w:val="auto"/>
        </w:rPr>
      </w:pPr>
    </w:p>
    <w:p>
      <w:pPr>
        <w:jc w:val="both"/>
        <w:ind w:left="20" w:right="20" w:firstLine="648"/>
        <w:spacing w:after="0" w:line="254" w:lineRule="auto"/>
        <w:rPr>
          <w:sz w:val="20"/>
          <w:szCs w:val="20"/>
          <w:color w:val="auto"/>
        </w:rPr>
      </w:pPr>
      <w:r>
        <w:rPr>
          <w:rFonts w:ascii="Arial" w:cs="Arial" w:eastAsia="Arial" w:hAnsi="Arial"/>
          <w:sz w:val="21"/>
          <w:szCs w:val="21"/>
          <w:b w:val="1"/>
          <w:bCs w:val="1"/>
          <w:color w:val="auto"/>
        </w:rPr>
        <w:t>1.05 Rounding</w:t>
      </w:r>
      <w:r>
        <w:rPr>
          <w:rFonts w:ascii="Arial" w:cs="Arial" w:eastAsia="Arial" w:hAnsi="Arial"/>
          <w:sz w:val="21"/>
          <w:szCs w:val="21"/>
          <w:color w:val="auto"/>
        </w:rPr>
        <w:t>. Any financial ratios required to be maintained by the Borrowers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6" w:lineRule="exact"/>
        <w:rPr>
          <w:sz w:val="20"/>
          <w:szCs w:val="20"/>
          <w:color w:val="auto"/>
        </w:rPr>
      </w:pPr>
    </w:p>
    <w:p>
      <w:pPr>
        <w:jc w:val="both"/>
        <w:ind w:left="20" w:firstLine="648"/>
        <w:spacing w:after="0" w:line="256" w:lineRule="auto"/>
        <w:rPr>
          <w:sz w:val="20"/>
          <w:szCs w:val="20"/>
          <w:color w:val="auto"/>
        </w:rPr>
      </w:pPr>
      <w:r>
        <w:rPr>
          <w:rFonts w:ascii="Arial" w:cs="Arial" w:eastAsia="Arial" w:hAnsi="Arial"/>
          <w:sz w:val="22"/>
          <w:szCs w:val="22"/>
          <w:b w:val="1"/>
          <w:bCs w:val="1"/>
          <w:color w:val="auto"/>
        </w:rPr>
        <w:t>1.06 Times of Day</w:t>
      </w:r>
      <w:r>
        <w:rPr>
          <w:rFonts w:ascii="Arial" w:cs="Arial" w:eastAsia="Arial" w:hAnsi="Arial"/>
          <w:sz w:val="22"/>
          <w:szCs w:val="22"/>
          <w:color w:val="auto"/>
        </w:rPr>
        <w:t>. Unless otherwise specified, all references herein to times of day shall be references</w:t>
      </w:r>
      <w:r>
        <w:rPr>
          <w:rFonts w:ascii="Arial" w:cs="Arial" w:eastAsia="Arial" w:hAnsi="Arial"/>
          <w:sz w:val="22"/>
          <w:szCs w:val="22"/>
          <w:b w:val="1"/>
          <w:bCs w:val="1"/>
          <w:color w:val="auto"/>
        </w:rPr>
        <w:t xml:space="preserve"> </w:t>
      </w:r>
      <w:r>
        <w:rPr>
          <w:rFonts w:ascii="Arial" w:cs="Arial" w:eastAsia="Arial" w:hAnsi="Arial"/>
          <w:sz w:val="22"/>
          <w:szCs w:val="22"/>
          <w:color w:val="auto"/>
        </w:rPr>
        <w:t>to Eastern time (daylight or standard, as applicable).</w:t>
      </w:r>
    </w:p>
    <w:p>
      <w:pPr>
        <w:spacing w:after="0" w:line="163" w:lineRule="exact"/>
        <w:rPr>
          <w:sz w:val="20"/>
          <w:szCs w:val="20"/>
          <w:color w:val="auto"/>
        </w:rPr>
      </w:pPr>
    </w:p>
    <w:p>
      <w:pPr>
        <w:jc w:val="both"/>
        <w:ind w:left="20" w:firstLine="648"/>
        <w:spacing w:after="0" w:line="249" w:lineRule="auto"/>
        <w:rPr>
          <w:sz w:val="20"/>
          <w:szCs w:val="20"/>
          <w:color w:val="auto"/>
        </w:rPr>
      </w:pPr>
      <w:r>
        <w:rPr>
          <w:rFonts w:ascii="Arial" w:cs="Arial" w:eastAsia="Arial" w:hAnsi="Arial"/>
          <w:sz w:val="21"/>
          <w:szCs w:val="21"/>
          <w:b w:val="1"/>
          <w:bCs w:val="1"/>
          <w:color w:val="auto"/>
        </w:rPr>
        <w:t>1.07 Letter of Credit Amounts</w:t>
      </w:r>
      <w:r>
        <w:rPr>
          <w:rFonts w:ascii="Arial" w:cs="Arial" w:eastAsia="Arial" w:hAnsi="Arial"/>
          <w:sz w:val="21"/>
          <w:szCs w:val="21"/>
          <w:color w:val="auto"/>
        </w:rPr>
        <w:t>. Unless otherwise specified herein, the amount of a Letter of Credit 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time shall be deemed to be the stated amount of such Letter of Credit in effect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1"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22"/>
          <w:szCs w:val="22"/>
          <w:b w:val="1"/>
          <w:bCs w:val="1"/>
          <w:color w:val="auto"/>
        </w:rPr>
        <w:t>1.08 Adjustments for Material Acquisitions and Dispositions</w:t>
      </w:r>
      <w:r>
        <w:rPr>
          <w:rFonts w:ascii="Arial" w:cs="Arial" w:eastAsia="Arial" w:hAnsi="Arial"/>
          <w:sz w:val="22"/>
          <w:szCs w:val="22"/>
          <w:color w:val="auto"/>
        </w:rPr>
        <w:t>. For each period of four fiscal quarters</w:t>
      </w:r>
      <w:r>
        <w:rPr>
          <w:rFonts w:ascii="Arial" w:cs="Arial" w:eastAsia="Arial" w:hAnsi="Arial"/>
          <w:sz w:val="22"/>
          <w:szCs w:val="22"/>
          <w:b w:val="1"/>
          <w:bCs w:val="1"/>
          <w:color w:val="auto"/>
        </w:rPr>
        <w:t xml:space="preserve"> </w:t>
      </w:r>
      <w:r>
        <w:rPr>
          <w:rFonts w:ascii="Arial" w:cs="Arial" w:eastAsia="Arial" w:hAnsi="Arial"/>
          <w:sz w:val="22"/>
          <w:szCs w:val="22"/>
          <w:color w:val="auto"/>
        </w:rPr>
        <w:t>ending following the date of any Material Acquisition or Material Disposition consummated after the Closing Date, for purposes of determining the Consolidated Total Leverage Ratio, the Consolidated Senior Leverage Ratio and Consolidated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89" w:name="page90"/>
    <w:bookmarkEnd w:id="89"/>
    <w:p>
      <w:pPr>
        <w:jc w:val="both"/>
        <w:ind w:left="20"/>
        <w:spacing w:after="0" w:line="277" w:lineRule="auto"/>
        <w:rPr>
          <w:sz w:val="20"/>
          <w:szCs w:val="20"/>
          <w:color w:val="auto"/>
        </w:rPr>
      </w:pPr>
      <w:r>
        <w:rPr>
          <w:rFonts w:ascii="Arial" w:cs="Arial" w:eastAsia="Arial" w:hAnsi="Arial"/>
          <w:sz w:val="19"/>
          <w:szCs w:val="19"/>
          <w:color w:val="auto"/>
        </w:rPr>
        <w:t>Coverage Ratio, the consolidated results of operations of WFS and its Restricted Subsidiaries shall include the results of operations of the Person or assets subject to such Material Acquisition or exclude the results of operations of the Person or assets subject to such Material Disposition, as the case may be, on a historical pro forma basis to the extent information in sufficient detail concerning such historical results of such Person or assets is reasonably available, and which amounts shall include only adjustments reasonably satisfactory to Administrative Agent and shall not include any synergies resulting from such Material Acquisition or adjustments resulting from such Material Disposition other than those permitted pursuant to Regulation S-X of the SEC.</w:t>
      </w:r>
    </w:p>
    <w:p>
      <w:pPr>
        <w:spacing w:after="0" w:line="147" w:lineRule="exact"/>
        <w:rPr>
          <w:sz w:val="20"/>
          <w:szCs w:val="20"/>
          <w:color w:val="auto"/>
        </w:rPr>
      </w:pPr>
    </w:p>
    <w:p>
      <w:pPr>
        <w:ind w:left="660" w:right="1840" w:firstLine="1154"/>
        <w:spacing w:after="0" w:line="438" w:lineRule="auto"/>
        <w:rPr>
          <w:sz w:val="20"/>
          <w:szCs w:val="20"/>
          <w:color w:val="auto"/>
        </w:rPr>
      </w:pPr>
      <w:r>
        <w:rPr>
          <w:rFonts w:ascii="Arial" w:cs="Arial" w:eastAsia="Arial" w:hAnsi="Arial"/>
          <w:sz w:val="22"/>
          <w:szCs w:val="22"/>
          <w:b w:val="1"/>
          <w:bCs w:val="1"/>
          <w:color w:val="auto"/>
        </w:rPr>
        <w:t>ARTICLE II. THE COMMITMENTS AND CREDIT EXTENSIONS 2.01 Loans</w:t>
      </w:r>
      <w:r>
        <w:rPr>
          <w:rFonts w:ascii="Arial" w:cs="Arial" w:eastAsia="Arial" w:hAnsi="Arial"/>
          <w:sz w:val="22"/>
          <w:szCs w:val="22"/>
          <w:color w:val="auto"/>
        </w:rPr>
        <w:t>.</w:t>
      </w:r>
    </w:p>
    <w:p>
      <w:pPr>
        <w:spacing w:after="0" w:line="1" w:lineRule="exact"/>
        <w:rPr>
          <w:sz w:val="20"/>
          <w:szCs w:val="20"/>
          <w:color w:val="auto"/>
        </w:rPr>
      </w:pPr>
    </w:p>
    <w:p>
      <w:pPr>
        <w:jc w:val="both"/>
        <w:ind w:firstLine="645"/>
        <w:spacing w:after="0" w:line="234" w:lineRule="auto"/>
        <w:tabs>
          <w:tab w:leader="none" w:pos="1293"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Initial Domestic Term Loan Borrowing</w:t>
      </w:r>
      <w:r>
        <w:rPr>
          <w:rFonts w:ascii="Arial" w:cs="Arial" w:eastAsia="Arial" w:hAnsi="Arial"/>
          <w:sz w:val="22"/>
          <w:szCs w:val="22"/>
          <w:color w:val="auto"/>
        </w:rPr>
        <w:t xml:space="preserve">. Each Initial Domestic Term Loan Lender (as defined in the Existing Credit Agreement) severally agreed to make, and has made under the Existing Credit Agreement, a single loan to WFS in an aggregate amount equal to $200,000,000. As of the Amendment No. 1 Effective Date, the Initial Domestic Term Loan Borrowing consists of Initial Domestic Term Loans made by the Initial Domestic Term Loan Lenders in accordance with their respective Pro Rata Share, as of the Amendment No. 1 Effective Date, of the Initial Domestic Term Loan Facility. Amounts borrowed under this </w:t>
      </w:r>
      <w:r>
        <w:rPr>
          <w:rFonts w:ascii="Arial" w:cs="Arial" w:eastAsia="Arial" w:hAnsi="Arial"/>
          <w:sz w:val="22"/>
          <w:szCs w:val="22"/>
          <w:u w:val="single" w:color="auto"/>
          <w:color w:val="auto"/>
        </w:rPr>
        <w:t>Section 2.01(a)(i)</w:t>
      </w:r>
      <w:r>
        <w:rPr>
          <w:rFonts w:ascii="Arial" w:cs="Arial" w:eastAsia="Arial" w:hAnsi="Arial"/>
          <w:sz w:val="22"/>
          <w:szCs w:val="22"/>
          <w:color w:val="auto"/>
        </w:rPr>
        <w:t xml:space="preserve"> and repaid or prepaid may not be reborrowed. Initial Domestic Term Loans may be Base Rate Loans or Eurodollar Rate Loans, as further provided herein.</w:t>
      </w:r>
    </w:p>
    <w:p>
      <w:pPr>
        <w:spacing w:after="0" w:line="187" w:lineRule="exact"/>
        <w:rPr>
          <w:rFonts w:ascii="Arial" w:cs="Arial" w:eastAsia="Arial" w:hAnsi="Arial"/>
          <w:sz w:val="22"/>
          <w:szCs w:val="22"/>
          <w:color w:val="auto"/>
        </w:rPr>
      </w:pPr>
    </w:p>
    <w:p>
      <w:pPr>
        <w:jc w:val="both"/>
        <w:ind w:left="800" w:firstLine="655"/>
        <w:spacing w:after="0" w:line="275" w:lineRule="auto"/>
        <w:tabs>
          <w:tab w:leader="none" w:pos="2144"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Singapore Term Loan Borrowing</w:t>
      </w:r>
      <w:r>
        <w:rPr>
          <w:rFonts w:ascii="Arial" w:cs="Arial" w:eastAsia="Arial" w:hAnsi="Arial"/>
          <w:sz w:val="19"/>
          <w:szCs w:val="19"/>
          <w:color w:val="auto"/>
        </w:rPr>
        <w:t xml:space="preserve">. Each Singapore Term Loan Lender severally agreed to make, and has made under the Existing Credit Agreement, a single loan to WFS Singapore in an amount equal to such Singapore Term Loan Lender’s Singapore Term Loan Commitment. As of the Amendment No. 1 Effective Date, the Singapore Term Loan Borrowing consists of Singapore Term Loans made simultaneously by the Singapore Term Loan Lenders in accordance with their respective Pro Rata Share, as of the Amendment No. 1 Effective Date, of the Singapore Term Loan Facility. Amounts borrowed under this </w:t>
      </w:r>
      <w:r>
        <w:rPr>
          <w:rFonts w:ascii="Arial" w:cs="Arial" w:eastAsia="Arial" w:hAnsi="Arial"/>
          <w:sz w:val="19"/>
          <w:szCs w:val="19"/>
          <w:u w:val="single" w:color="auto"/>
          <w:color w:val="auto"/>
        </w:rPr>
        <w:t>Section 2.01(a)(ii)</w:t>
      </w:r>
      <w:r>
        <w:rPr>
          <w:rFonts w:ascii="Arial" w:cs="Arial" w:eastAsia="Arial" w:hAnsi="Arial"/>
          <w:sz w:val="19"/>
          <w:szCs w:val="19"/>
          <w:color w:val="auto"/>
        </w:rPr>
        <w:t xml:space="preserve"> and repaid or prepaid may not be reborrowed. Singapore Term Loans may be Base Rate Loans or Eurodollar Rate Loans, as further provided herein.</w:t>
      </w:r>
    </w:p>
    <w:p>
      <w:pPr>
        <w:spacing w:after="0" w:line="158" w:lineRule="exact"/>
        <w:rPr>
          <w:rFonts w:ascii="Arial" w:cs="Arial" w:eastAsia="Arial" w:hAnsi="Arial"/>
          <w:sz w:val="19"/>
          <w:szCs w:val="19"/>
          <w:color w:val="auto"/>
        </w:rPr>
      </w:pPr>
    </w:p>
    <w:p>
      <w:pPr>
        <w:jc w:val="both"/>
        <w:ind w:left="800" w:firstLine="655"/>
        <w:spacing w:after="0" w:line="233" w:lineRule="auto"/>
        <w:tabs>
          <w:tab w:leader="none" w:pos="2164"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2015 Domestic Term Loan Borrowing</w:t>
      </w:r>
      <w:r>
        <w:rPr>
          <w:rFonts w:ascii="Arial" w:cs="Arial" w:eastAsia="Arial" w:hAnsi="Arial"/>
          <w:sz w:val="22"/>
          <w:szCs w:val="22"/>
          <w:color w:val="auto"/>
        </w:rPr>
        <w:t xml:space="preserve">. Subject to the terms and conditions set forth herein, each 2015 Domestic Term Loan Lender severally agrees to make a single loan to WFS on the Amendment No. 1 Effective Date in an amount equal to such 2015 Domestic Term Loan Lender’s 2015 Domestic Term Loan Commitment. The 2015 Domestic Term Loan Borrowing shall consist of 2015 Domestic Term Loans made simultaneously by the 2015 Domestic Term Loan Lenders in accordance with their respective Pro Rata Share, as of the Amendment No. 1 Effective Date, of the 2015 Domestic Term Loan Facility. Amounts borrowed under this </w:t>
      </w:r>
      <w:r>
        <w:rPr>
          <w:rFonts w:ascii="Arial" w:cs="Arial" w:eastAsia="Arial" w:hAnsi="Arial"/>
          <w:sz w:val="22"/>
          <w:szCs w:val="22"/>
          <w:u w:val="single" w:color="auto"/>
          <w:color w:val="auto"/>
        </w:rPr>
        <w:t>Section 2.01(a)(iii)</w:t>
      </w:r>
      <w:r>
        <w:rPr>
          <w:rFonts w:ascii="Arial" w:cs="Arial" w:eastAsia="Arial" w:hAnsi="Arial"/>
          <w:sz w:val="22"/>
          <w:szCs w:val="22"/>
          <w:color w:val="auto"/>
        </w:rPr>
        <w:t xml:space="preserve"> and repaid or prepaid may not be reborrowed. 2015 Domestic Term Loans may be Base Rate Loans or Eurodollar Rate Loans, as further provided herein.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90" w:name="page91"/>
    <w:bookmarkEnd w:id="90"/>
    <w:p>
      <w:pPr>
        <w:jc w:val="both"/>
        <w:ind w:firstLine="645"/>
        <w:spacing w:after="0" w:line="272" w:lineRule="auto"/>
        <w:tabs>
          <w:tab w:leader="none" w:pos="150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Revolving Borrowings</w:t>
      </w:r>
      <w:r>
        <w:rPr>
          <w:rFonts w:ascii="Arial" w:cs="Arial" w:eastAsia="Arial" w:hAnsi="Arial"/>
          <w:sz w:val="19"/>
          <w:szCs w:val="19"/>
          <w:color w:val="auto"/>
        </w:rPr>
        <w:t>. Subject to the terms and conditions set forth herein, each Revolving Lender severally agrees to make loans in Dollars (each such loan, a “</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to the Borrowers from time to time, on any Business Day during the Availability Period, in an aggregate amount not to exceed at any time outstanding the amount of such Revolving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Revolving Borrowing, (i) the Total Revolving Outstandings shall not exceed the Aggregate Revolving Commitments; and (ii) the aggregate Outstanding Amount of the Revolving Loans of any Revolving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Revolving Percentage of the Outstanding Amount of all L/C-BA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Revolving Percentage of the Outstanding Amount of all Swing Line Loans shall not exceed such Revolving Lender’s Revolving Commitment. Within the limits of each Revolving Lender’s Commitment, and subject to the other terms and conditions hereof, the Borrowers may 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Revolving Loans may be Base Rate Loans or Eurodollar Rate Loans, as further provided herein.</w:t>
      </w:r>
    </w:p>
    <w:p>
      <w:pPr>
        <w:spacing w:after="0" w:line="15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Borrowings, Conversions and Continuations of Loans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69" w:lineRule="auto"/>
        <w:tabs>
          <w:tab w:leader="none" w:pos="1293"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Each Borrowing, each conversion of Loans from one Type to the other, and each continuation of Eurodollar Rate Loans shall be made upon the Borrowing Agent’s (in the case of Revolving Loans and Domestic Term Loans) or WFS Singapore’s (in the case of Singapore Term Loans) irrevocable notice to the Administrative Agent, which may be given by (i) telephone or (ii) a Committed Loan Notice; provided that any telephonic notice must be confirmed promptly by delivery to the Administrative Agent of a Committed Loan Notice. Each such Committed Loan Notice must be received by the Administrative Agent not later than 11:00 a.m. (A) three Business Days prior to the requested date of any Borrowing of, conversion to or continuation of Eurodollar Rate Loans or of any conversion of Eurodollar Rate Loans to Base Rate Loans, and (B) on the requested date of any Borrowing of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Borrowing Agent or WFS Singapore, as applicable, wishes to request Eurodollar Rate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(x) the Administrative Agent shall give prompt notice to the Appropriate Lenders of such request and determine whether the requested Interest Period is acceptable to all of them and (y) not later than 11:00 a.m., three Business Days before the requested date of such Borrowing, conversion or continuation, the Administrative Agent shall notify the Borrowing Agent or WFS Singapore, as applicable (which notice may be by telephone) whether or not the requested Interest Period has been consented to by all the Appropriate Lenders. Each Borrowing of, conversion to or continuation of Eurodollar Rate Loans shall be in a principal amount of $5,000,000 or a whole multiple of $1,000,000 in excess thereof. Except as provided in </w:t>
      </w:r>
      <w:r>
        <w:rPr>
          <w:rFonts w:ascii="Arial" w:cs="Arial" w:eastAsia="Arial" w:hAnsi="Arial"/>
          <w:sz w:val="19"/>
          <w:szCs w:val="19"/>
          <w:u w:val="single" w:color="auto"/>
          <w:color w:val="auto"/>
        </w:rPr>
        <w:t>Sections 2.03(d)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2.04(c)</w:t>
      </w:r>
      <w:r>
        <w:rPr>
          <w:rFonts w:ascii="Arial" w:cs="Arial" w:eastAsia="Arial" w:hAnsi="Arial"/>
          <w:sz w:val="19"/>
          <w:szCs w:val="19"/>
          <w:color w:val="auto"/>
        </w:rPr>
        <w:t>, each Borrowing of or conversion to Base Rate Loans shall be in a principal amount of $500,000 or a whole multiple of $100,000 in excess thereof. Each Committed Loan Notice for Revolving Loans or Domestic Term Loans shall specify (i) the applicable Facility and whether the Borrowing Agent is requesting a Borrowing, a conversion of Loans from one Type to the other, as the case may be, under such Facility, or a continuation of Eurodollar Rate Loans, (ii) the requested date of the Borrowing, conversion or continuation, as the case may be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91" w:name="page92"/>
    <w:bookmarkEnd w:id="91"/>
    <w:p>
      <w:pPr>
        <w:jc w:val="both"/>
        <w:ind w:left="4" w:hanging="4"/>
        <w:spacing w:after="0" w:line="273" w:lineRule="auto"/>
        <w:tabs>
          <w:tab w:leader="none" w:pos="383"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principal amount of Loans to be borrowed, converted or continued, (iv) the Type of Loans to be borrowed or to which existing Loans are to be converted, and (v) if applicable, the duration of the Interest Period with respect thereto. Each Committed Loan Notice for Singapore Term Loans (whether telephonic or written) shall specify</w:t>
      </w:r>
    </w:p>
    <w:p>
      <w:pPr>
        <w:spacing w:after="0" w:line="1" w:lineRule="exact"/>
        <w:rPr>
          <w:rFonts w:ascii="Arial" w:cs="Arial" w:eastAsia="Arial" w:hAnsi="Arial"/>
          <w:sz w:val="19"/>
          <w:szCs w:val="19"/>
          <w:color w:val="auto"/>
        </w:rPr>
      </w:pPr>
    </w:p>
    <w:p>
      <w:pPr>
        <w:jc w:val="both"/>
        <w:ind w:left="4" w:right="20" w:hanging="4"/>
        <w:spacing w:after="0" w:line="270" w:lineRule="auto"/>
        <w:tabs>
          <w:tab w:leader="none" w:pos="266" w:val="left"/>
        </w:tabs>
        <w:numPr>
          <w:ilvl w:val="0"/>
          <w:numId w:val="42"/>
        </w:numPr>
        <w:rPr>
          <w:rFonts w:ascii="Arial" w:cs="Arial" w:eastAsia="Arial" w:hAnsi="Arial"/>
          <w:sz w:val="19"/>
          <w:szCs w:val="19"/>
          <w:color w:val="auto"/>
        </w:rPr>
      </w:pPr>
      <w:r>
        <w:rPr>
          <w:rFonts w:ascii="Arial" w:cs="Arial" w:eastAsia="Arial" w:hAnsi="Arial"/>
          <w:sz w:val="19"/>
          <w:szCs w:val="19"/>
          <w:color w:val="auto"/>
        </w:rPr>
        <w:t>whether WFS Singapore is requesting a conversion of Loans from one Type to the other, as the case may be, or a continuation of Eurodollar Rate Loans, (ii) the requested date of the conversion or continuation, as the case may be (which shall be a Business Day), (iii) the principal amount of Loans to be converted or continued, (iv) the Type of Loans to be borrowed or to which existing Loans are to be converted, and (v) if applicable, the duration of the Interest Period with respect thereto. If the Borrowing Agent or WFS Singapore, as applicable, fails to specify a Type of Loan in a Committed Loan Notice or if the Borrowing Agent or WFS Singapore, as applicable,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Borrowing Agent or WFS Singapore, as applicable,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 w:firstLine="645"/>
        <w:spacing w:after="0" w:line="269" w:lineRule="auto"/>
        <w:tabs>
          <w:tab w:leader="none" w:pos="1309"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Following receipt of a Committed Loan Notice for a Facility, the Administrative Agent shall promptly notify each Appropriate Lender of the amount of its Applicable Percentage under such Facility of the applicable Loans, and if no timely notice of a conversion or continuation is provided by the Borrowing Agent or WFS Singapore, as applicable, the Administrative Agent shall notify each Appropriate Lender of the details of any automatic conversion to Base Rate Loans described in the preceding subsection. In the case of a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the Administrative Agent shall make all funds so received available to the Borrowing Agent in like funds as received by the Administrative Agent either by</w:t>
      </w:r>
    </w:p>
    <w:p>
      <w:pPr>
        <w:ind w:left="264" w:hanging="264"/>
        <w:spacing w:after="0"/>
        <w:tabs>
          <w:tab w:leader="none" w:pos="264" w:val="left"/>
        </w:tabs>
        <w:numPr>
          <w:ilvl w:val="0"/>
          <w:numId w:val="43"/>
        </w:numPr>
        <w:rPr>
          <w:rFonts w:ascii="Arial" w:cs="Arial" w:eastAsia="Arial" w:hAnsi="Arial"/>
          <w:sz w:val="19"/>
          <w:szCs w:val="19"/>
          <w:color w:val="auto"/>
        </w:rPr>
      </w:pPr>
      <w:r>
        <w:rPr>
          <w:rFonts w:ascii="Arial" w:cs="Arial" w:eastAsia="Arial" w:hAnsi="Arial"/>
          <w:sz w:val="19"/>
          <w:szCs w:val="19"/>
          <w:color w:val="auto"/>
        </w:rPr>
        <w:t>crediting the account of the Borrowing Agent on the books of Bank of America with the amount of such funds or</w:t>
      </w:r>
    </w:p>
    <w:p>
      <w:pPr>
        <w:spacing w:after="0" w:line="24" w:lineRule="exact"/>
        <w:rPr>
          <w:rFonts w:ascii="Arial" w:cs="Arial" w:eastAsia="Arial" w:hAnsi="Arial"/>
          <w:sz w:val="19"/>
          <w:szCs w:val="19"/>
          <w:color w:val="auto"/>
        </w:rPr>
      </w:pPr>
    </w:p>
    <w:p>
      <w:pPr>
        <w:jc w:val="both"/>
        <w:ind w:left="4" w:right="20" w:hanging="4"/>
        <w:spacing w:after="0" w:line="277" w:lineRule="auto"/>
        <w:tabs>
          <w:tab w:leader="none" w:pos="33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wire transfer of such funds, in each case in accordance with instructions provided to (and reasonably acceptable to) the Administrative Agent by the Borrowing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on the date the Committed Loan Notice with respect to a Revolving Borrowing is given by the Borrowing Agent, there are L/C-BA Borrowings outstanding, then the proceeds of such Revolving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L/C-BA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applicable Borrower as provided above.</w:t>
      </w:r>
    </w:p>
    <w:p>
      <w:pPr>
        <w:spacing w:after="0" w:line="152" w:lineRule="exact"/>
        <w:rPr>
          <w:rFonts w:ascii="Arial" w:cs="Arial" w:eastAsia="Arial" w:hAnsi="Arial"/>
          <w:sz w:val="19"/>
          <w:szCs w:val="19"/>
          <w:color w:val="auto"/>
        </w:rPr>
      </w:pPr>
    </w:p>
    <w:p>
      <w:pPr>
        <w:jc w:val="both"/>
        <w:ind w:left="4" w:firstLine="645"/>
        <w:spacing w:after="0" w:line="238" w:lineRule="auto"/>
        <w:tabs>
          <w:tab w:leader="none" w:pos="1297" w:val="left"/>
        </w:tabs>
        <w:numPr>
          <w:ilvl w:val="1"/>
          <w:numId w:val="44"/>
        </w:numPr>
        <w:rPr>
          <w:rFonts w:ascii="Arial" w:cs="Arial" w:eastAsia="Arial" w:hAnsi="Arial"/>
          <w:sz w:val="22"/>
          <w:szCs w:val="22"/>
          <w:color w:val="auto"/>
        </w:rPr>
      </w:pPr>
      <w:r>
        <w:rPr>
          <w:rFonts w:ascii="Arial" w:cs="Arial" w:eastAsia="Arial" w:hAnsi="Arial"/>
          <w:sz w:val="22"/>
          <w:szCs w:val="22"/>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Facility Lenders.</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4" w:right="879" w:bottom="1440" w:gutter="0" w:footer="0" w:header="0"/>
        </w:sectPr>
      </w:pPr>
    </w:p>
    <w:bookmarkStart w:id="92" w:name="page93"/>
    <w:bookmarkEnd w:id="92"/>
    <w:p>
      <w:pPr>
        <w:jc w:val="both"/>
        <w:ind w:firstLine="645"/>
        <w:spacing w:after="0" w:line="249" w:lineRule="auto"/>
        <w:tabs>
          <w:tab w:leader="none" w:pos="1508"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Administrative Agent shall promptly notify the Borrowing Agent and the Appropriate Lenders of the interest rate applicable to any Interest Period for Eurodollar Rate Loans upon determination of such interest rate. At any time that Base Rate Loans are outstanding, the Administrative Agent shall notify the Borrowing Agent and the Appropriate Lenders of any change in Bank of America’s prime rate used in determining the Base Rate promptly following the public announcement of such change.</w:t>
      </w:r>
    </w:p>
    <w:p>
      <w:pPr>
        <w:spacing w:after="0" w:line="179" w:lineRule="exact"/>
        <w:rPr>
          <w:rFonts w:ascii="Arial" w:cs="Arial" w:eastAsia="Arial" w:hAnsi="Arial"/>
          <w:sz w:val="21"/>
          <w:szCs w:val="21"/>
          <w:color w:val="auto"/>
        </w:rPr>
      </w:pPr>
    </w:p>
    <w:p>
      <w:pPr>
        <w:jc w:val="both"/>
        <w:ind w:right="20" w:firstLine="645"/>
        <w:spacing w:after="0" w:line="279" w:lineRule="auto"/>
        <w:tabs>
          <w:tab w:leader="none" w:pos="1293" w:val="left"/>
        </w:tabs>
        <w:numPr>
          <w:ilvl w:val="0"/>
          <w:numId w:val="45"/>
        </w:numPr>
        <w:rPr>
          <w:rFonts w:ascii="Arial" w:cs="Arial" w:eastAsia="Arial" w:hAnsi="Arial"/>
          <w:sz w:val="19"/>
          <w:szCs w:val="19"/>
          <w:color w:val="auto"/>
        </w:rPr>
      </w:pPr>
      <w:r>
        <w:rPr>
          <w:rFonts w:ascii="Arial" w:cs="Arial" w:eastAsia="Arial" w:hAnsi="Arial"/>
          <w:sz w:val="19"/>
          <w:szCs w:val="19"/>
          <w:color w:val="auto"/>
        </w:rPr>
        <w:t>(i) After giving effect to all Domestic Term Loan Borrowings, all Singapore Term Loan Borrowings, all conversions of Term Loans from one Type to the other, and all continuations of Term Loans as the same Type, there shall not be more than five (5) Interest Periods in effect in respect of each of the Domestic Term Loan Facilities and the Singapore Term Loan Facility, and (ii) after giving effect to all Revolving Borrowings, all conversions of Revolving Loans from one Type to the other, and all continuations of Revolving Loans as the same Type, there shall not be more than five (5) Interest Periods in effect in respect of the Revolving Credit Facility.</w:t>
      </w:r>
    </w:p>
    <w:p>
      <w:pPr>
        <w:spacing w:after="0" w:line="14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color w:val="auto"/>
        </w:rPr>
        <w:t>Letters of Credit</w:t>
      </w:r>
      <w:r>
        <w:rPr>
          <w:rFonts w:ascii="Arial" w:cs="Arial" w:eastAsia="Arial" w:hAnsi="Arial"/>
          <w:sz w:val="19"/>
          <w:szCs w:val="19"/>
          <w:color w:val="auto"/>
        </w:rPr>
        <w:t>.</w:t>
      </w:r>
    </w:p>
    <w:p>
      <w:pPr>
        <w:spacing w:after="0" w:line="212" w:lineRule="exact"/>
        <w:rPr>
          <w:sz w:val="20"/>
          <w:szCs w:val="20"/>
          <w:color w:val="auto"/>
        </w:rPr>
      </w:pPr>
    </w:p>
    <w:p>
      <w:pPr>
        <w:ind w:left="1280" w:hanging="635"/>
        <w:spacing w:after="0"/>
        <w:tabs>
          <w:tab w:leader="none" w:pos="12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Letter of Credit–BA Commitment.</w:t>
      </w:r>
    </w:p>
    <w:p>
      <w:pPr>
        <w:spacing w:after="0" w:line="206" w:lineRule="exact"/>
        <w:rPr>
          <w:rFonts w:ascii="Arial" w:cs="Arial" w:eastAsia="Arial" w:hAnsi="Arial"/>
          <w:sz w:val="22"/>
          <w:szCs w:val="22"/>
          <w:color w:val="auto"/>
        </w:rPr>
      </w:pPr>
    </w:p>
    <w:p>
      <w:pPr>
        <w:jc w:val="both"/>
        <w:ind w:left="800" w:firstLine="655"/>
        <w:spacing w:after="0" w:line="269" w:lineRule="auto"/>
        <w:tabs>
          <w:tab w:leader="none" w:pos="2111"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(A) the L/C-BA Issuer agrees, in reliance upon the agreements of the Revolving Lenders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(1) from time to time on any Business Day during the period from the Closing Date until the Maturity Date, to issue Letters of Credit and Clean BAs for the account of any Borrower or a Restricted Subsidiary, and to amend or extend Letters of Credit previously issued by it, in accordance with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(2) to honor drawings under the Letters of Credit and to make payments under Bankers’ Acceptances; and (3) with respect to Acceptance Credits, to create L/C Issued BAs in accordance with the terms thereof and hereof, and (B) the Revolving Lenders severally agree to participate in Letters of Credit and Bankers’ Acceptances issued for the account of the applicable Borrower or applicable Restricted Subsidiary and any drawings or payments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after giving effect to any L/C-BA Credit Extension, (x) the Total Revolving Outstandings shall not exceed the Aggregate Revolving Commitments, (y) the aggregate Outstanding Amount of the Revolving Loans of any Revolving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Revolving Percentage of the Outstanding Amount of all L/C-BA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Revolving Percentage of the Outstanding Amount of all Swing Line Loans shall not exceed such Revolving Lender’s Commitment, and (z) the Outstanding Amount of the L/C-BA Obligations shall not exceed the L/C-BA Sublimit and (B) as to Clean BAs and Acceptance Credits, the Bankers’ Acceptance created or to be created thereunder shall be an eligible bankers’ acceptance under Section 13 of the Federal Reserve Act (12 U.S. C. §372). Each request by the Borrowing Agent for the issuance (or amendment, as applicable) of a Letter of Credit or Bankers’ Acceptance, each of which shall identify the Borrower or Restricted Subsidiary for whose account such Letter of Credit or Bankers’ Acceptance is to be issued, shall be deemed to be a representation by the Borrowing Agent (on behalf of itself and the applicable Borrower or Restricted Subsidiary) that the L/C-BA Credit Extension so requested complies with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93" w:name="page94"/>
    <w:bookmarkEnd w:id="93"/>
    <w:p>
      <w:pPr>
        <w:jc w:val="both"/>
        <w:ind w:left="260" w:right="20"/>
        <w:spacing w:after="0" w:line="277" w:lineRule="auto"/>
        <w:rPr>
          <w:sz w:val="20"/>
          <w:szCs w:val="20"/>
          <w:color w:val="auto"/>
        </w:rPr>
      </w:pPr>
      <w:r>
        <w:rPr>
          <w:rFonts w:ascii="Arial" w:cs="Arial" w:eastAsia="Arial" w:hAnsi="Arial"/>
          <w:sz w:val="19"/>
          <w:szCs w:val="19"/>
          <w:color w:val="auto"/>
        </w:rPr>
        <w:t>the conditions set forth in the proviso to the preceding sentence. Within the foregoing limits, and subject to the terms and conditions hereof, the Borrowers’ ability to obtain Letters of Credit and Bankers’ Acceptances shall be fully revolving, and accordingly the Borrowers may, during the foregoing period, obtain Letters of Credit and Bankers’ Acceptances to replace Letters of Credit that have expired or that have been drawn upon and reimbursed and Bankers’ Acceptances that have matured and been reimbursed. All Existing Letters of Credit shall be deemed to have been issued pursuant hereto, and from and after the Closing Date shall be subject to and governed by the terms and conditions hereof.</w:t>
      </w:r>
    </w:p>
    <w:p>
      <w:pPr>
        <w:spacing w:after="0" w:line="153" w:lineRule="exact"/>
        <w:rPr>
          <w:sz w:val="20"/>
          <w:szCs w:val="20"/>
          <w:color w:val="auto"/>
        </w:rPr>
      </w:pPr>
    </w:p>
    <w:p>
      <w:pPr>
        <w:ind w:left="1620" w:hanging="705"/>
        <w:spacing w:after="0"/>
        <w:tabs>
          <w:tab w:leader="none" w:pos="16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L/C-BA Issuer shall not issue any Letter of Credit or Bankers’ Acceptance, if:</w:t>
      </w:r>
    </w:p>
    <w:p>
      <w:pPr>
        <w:spacing w:after="0" w:line="206" w:lineRule="exact"/>
        <w:rPr>
          <w:rFonts w:ascii="Arial" w:cs="Arial" w:eastAsia="Arial" w:hAnsi="Arial"/>
          <w:sz w:val="22"/>
          <w:szCs w:val="22"/>
          <w:color w:val="auto"/>
        </w:rPr>
      </w:pPr>
    </w:p>
    <w:p>
      <w:pPr>
        <w:jc w:val="both"/>
        <w:ind w:left="760" w:right="20" w:firstLine="641"/>
        <w:spacing w:after="0"/>
        <w:tabs>
          <w:tab w:leader="none" w:pos="2086"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2.03(b)(iii)</w:t>
      </w:r>
      <w:r>
        <w:rPr>
          <w:rFonts w:ascii="Arial" w:cs="Arial" w:eastAsia="Arial" w:hAnsi="Arial"/>
          <w:sz w:val="22"/>
          <w:szCs w:val="22"/>
          <w:color w:val="auto"/>
        </w:rPr>
        <w:t>, the expiry date of such requested Letter of Credit would occur more than twelve months after the date of issuance or last extension unless the Required Revolving Lenders have approved such expiry date;</w:t>
      </w:r>
    </w:p>
    <w:p>
      <w:pPr>
        <w:spacing w:after="0" w:line="186" w:lineRule="exact"/>
        <w:rPr>
          <w:rFonts w:ascii="Arial" w:cs="Arial" w:eastAsia="Arial" w:hAnsi="Arial"/>
          <w:sz w:val="22"/>
          <w:szCs w:val="22"/>
          <w:color w:val="auto"/>
        </w:rPr>
      </w:pPr>
    </w:p>
    <w:p>
      <w:pPr>
        <w:jc w:val="both"/>
        <w:ind w:left="760" w:right="20" w:firstLine="641"/>
        <w:spacing w:after="0"/>
        <w:tabs>
          <w:tab w:leader="none" w:pos="20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maturity date of any Bankers’ Acceptance would occur earlier than 30 or later than 90 days from date of issuance, unless the Required Revolving Lenders have approved such maturity date;</w:t>
      </w:r>
    </w:p>
    <w:p>
      <w:pPr>
        <w:spacing w:after="0" w:line="186" w:lineRule="exact"/>
        <w:rPr>
          <w:rFonts w:ascii="Arial" w:cs="Arial" w:eastAsia="Arial" w:hAnsi="Arial"/>
          <w:sz w:val="22"/>
          <w:szCs w:val="22"/>
          <w:color w:val="auto"/>
        </w:rPr>
      </w:pPr>
    </w:p>
    <w:p>
      <w:pPr>
        <w:jc w:val="both"/>
        <w:ind w:left="760" w:right="20" w:firstLine="641"/>
        <w:spacing w:after="0" w:line="238" w:lineRule="auto"/>
        <w:tabs>
          <w:tab w:leader="none" w:pos="207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or the maturity date of any Bankers’ Acceptance (including any L/C Issued BA issued under a Letter of Credit), would occur after the Maturity Date, unless all the Revolving Lenders have approved such expiry date or maturity date, as applicable; or</w:t>
      </w:r>
    </w:p>
    <w:p>
      <w:pPr>
        <w:spacing w:after="0" w:line="185" w:lineRule="exact"/>
        <w:rPr>
          <w:rFonts w:ascii="Arial" w:cs="Arial" w:eastAsia="Arial" w:hAnsi="Arial"/>
          <w:sz w:val="22"/>
          <w:szCs w:val="22"/>
          <w:color w:val="auto"/>
        </w:rPr>
      </w:pPr>
    </w:p>
    <w:p>
      <w:pPr>
        <w:ind w:left="2080" w:hanging="679"/>
        <w:spacing w:after="0"/>
        <w:tabs>
          <w:tab w:leader="none" w:pos="2080" w:val="left"/>
        </w:tabs>
        <w:numPr>
          <w:ilvl w:val="1"/>
          <w:numId w:val="47"/>
        </w:numPr>
        <w:rPr>
          <w:rFonts w:ascii="Arial" w:cs="Arial" w:eastAsia="Arial" w:hAnsi="Arial"/>
          <w:sz w:val="19"/>
          <w:szCs w:val="19"/>
          <w:color w:val="auto"/>
        </w:rPr>
      </w:pPr>
      <w:r>
        <w:rPr>
          <w:rFonts w:ascii="Arial" w:cs="Arial" w:eastAsia="Arial" w:hAnsi="Arial"/>
          <w:sz w:val="19"/>
          <w:szCs w:val="19"/>
          <w:color w:val="auto"/>
        </w:rPr>
        <w:t>such Letter of Credit or Bankers’ Acceptance is to be denominated in a currency other</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than Dollars.</w:t>
      </w:r>
    </w:p>
    <w:p>
      <w:pPr>
        <w:spacing w:after="0" w:line="188" w:lineRule="exact"/>
        <w:rPr>
          <w:rFonts w:ascii="Arial" w:cs="Arial" w:eastAsia="Arial" w:hAnsi="Arial"/>
          <w:sz w:val="19"/>
          <w:szCs w:val="19"/>
          <w:color w:val="auto"/>
        </w:rPr>
      </w:pPr>
    </w:p>
    <w:p>
      <w:pPr>
        <w:ind w:left="260" w:right="20" w:firstLine="655"/>
        <w:spacing w:after="0" w:line="251" w:lineRule="auto"/>
        <w:tabs>
          <w:tab w:leader="none" w:pos="162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L/C-BA Issuer shall not be under any obligation to issue any Letter of Credit or Bankers’ Acceptance if:</w:t>
      </w:r>
    </w:p>
    <w:p>
      <w:pPr>
        <w:spacing w:after="0" w:line="173" w:lineRule="exact"/>
        <w:rPr>
          <w:rFonts w:ascii="Arial" w:cs="Arial" w:eastAsia="Arial" w:hAnsi="Arial"/>
          <w:sz w:val="22"/>
          <w:szCs w:val="22"/>
          <w:color w:val="auto"/>
        </w:rPr>
      </w:pPr>
    </w:p>
    <w:p>
      <w:pPr>
        <w:jc w:val="both"/>
        <w:ind w:left="760" w:firstLine="641"/>
        <w:spacing w:after="0" w:line="273" w:lineRule="auto"/>
        <w:tabs>
          <w:tab w:leader="none" w:pos="2086"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L/C-BA Issuer from issuing such Letter of Credit or Bankers’ Acceptance, or any Law applicable to the L/C-BA Issuer or any request or directive (whether or not having the force of law) from any Governmental Authority with jurisdiction over the L/C-BA Issuer shall prohibit, or request that the L/C-BA Issuer refrain from, the issuance of letters of credit or related bankers’ acceptances generally or such Letter of Credit or Bankers’ Acceptance in particular or shall impose upon the L/C-BA Issuer with respect to such Letter of Credit or Bankers’ Acceptance any restriction, reserve or capital requirement (for which the L/C-BA Issuer is not otherwise compensated hereunder) not in effect on the Closing Date, or shall impose upon the L/C-BA Issuer any unreimbursed loss, cost or expense which was not applicable on the Closing Date and, in each case, which the L/C-BA Issuer in good faith deems material to it;</w:t>
      </w:r>
    </w:p>
    <w:p>
      <w:pPr>
        <w:spacing w:after="0" w:line="15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94" w:name="page95"/>
    <w:bookmarkEnd w:id="94"/>
    <w:p>
      <w:pPr>
        <w:jc w:val="both"/>
        <w:ind w:left="760" w:firstLine="641"/>
        <w:spacing w:after="0" w:line="238" w:lineRule="auto"/>
        <w:tabs>
          <w:tab w:leader="none" w:pos="2304"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the issuance of such Letter of Credit or Bankers’ Acceptance would violate one or more policies of the L/C-BA Issuer, or the creation of such Bankers’ Acceptance would cause the L/C-BA Issuer to exceed the maximum amount of outstanding bankers’ acceptances permitted by applicable law;</w:t>
      </w:r>
    </w:p>
    <w:p>
      <w:pPr>
        <w:spacing w:after="0" w:line="185" w:lineRule="exact"/>
        <w:rPr>
          <w:rFonts w:ascii="Arial" w:cs="Arial" w:eastAsia="Arial" w:hAnsi="Arial"/>
          <w:sz w:val="22"/>
          <w:szCs w:val="22"/>
          <w:color w:val="auto"/>
        </w:rPr>
      </w:pPr>
    </w:p>
    <w:p>
      <w:pPr>
        <w:ind w:left="760" w:firstLine="641"/>
        <w:spacing w:after="0" w:line="274" w:lineRule="auto"/>
        <w:tabs>
          <w:tab w:leader="none" w:pos="2074" w:val="left"/>
        </w:tabs>
        <w:numPr>
          <w:ilvl w:val="2"/>
          <w:numId w:val="48"/>
        </w:numPr>
        <w:rPr>
          <w:rFonts w:ascii="Arial" w:cs="Arial" w:eastAsia="Arial" w:hAnsi="Arial"/>
          <w:sz w:val="21"/>
          <w:szCs w:val="21"/>
          <w:color w:val="auto"/>
        </w:rPr>
      </w:pPr>
      <w:r>
        <w:rPr>
          <w:rFonts w:ascii="Arial" w:cs="Arial" w:eastAsia="Arial" w:hAnsi="Arial"/>
          <w:sz w:val="21"/>
          <w:szCs w:val="21"/>
          <w:color w:val="auto"/>
        </w:rPr>
        <w:t>except as otherwise agreed by the Administrative Agent and the L/C-BA Issuer, such Letter of Credit or Bankers’ Acceptance is in an initial stated amount less than $5,000;</w:t>
      </w:r>
    </w:p>
    <w:p>
      <w:pPr>
        <w:spacing w:after="0" w:line="150" w:lineRule="exact"/>
        <w:rPr>
          <w:rFonts w:ascii="Arial" w:cs="Arial" w:eastAsia="Arial" w:hAnsi="Arial"/>
          <w:sz w:val="21"/>
          <w:szCs w:val="21"/>
          <w:color w:val="auto"/>
        </w:rPr>
      </w:pPr>
    </w:p>
    <w:p>
      <w:pPr>
        <w:jc w:val="both"/>
        <w:ind w:left="760" w:right="20" w:firstLine="641"/>
        <w:spacing w:after="0" w:line="234" w:lineRule="auto"/>
        <w:tabs>
          <w:tab w:leader="none" w:pos="2086" w:val="left"/>
        </w:tabs>
        <w:numPr>
          <w:ilvl w:val="2"/>
          <w:numId w:val="48"/>
        </w:numPr>
        <w:rPr>
          <w:rFonts w:ascii="Arial" w:cs="Arial" w:eastAsia="Arial" w:hAnsi="Arial"/>
          <w:sz w:val="22"/>
          <w:szCs w:val="22"/>
          <w:color w:val="auto"/>
        </w:rPr>
      </w:pPr>
      <w:r>
        <w:rPr>
          <w:rFonts w:ascii="Arial" w:cs="Arial" w:eastAsia="Arial" w:hAnsi="Arial"/>
          <w:sz w:val="22"/>
          <w:szCs w:val="22"/>
          <w:color w:val="auto"/>
        </w:rPr>
        <w:t xml:space="preserve">any Revolving Lender is at that time a Defaulting Lender, unless the L/C-BA Issuer has entered into arrangements, including the delivery of Cash Collateral, satisfactory to the L/C-BA Issuer (in its sole discretion) with the Borrowers or such Defaulting Lender to eliminate the L/C-BA Issuer’s Fronting Exposure (after giving effect to </w:t>
      </w:r>
      <w:r>
        <w:rPr>
          <w:rFonts w:ascii="Arial" w:cs="Arial" w:eastAsia="Arial" w:hAnsi="Arial"/>
          <w:sz w:val="22"/>
          <w:szCs w:val="22"/>
          <w:u w:val="single" w:color="auto"/>
          <w:color w:val="auto"/>
        </w:rPr>
        <w:t>Section 2.16(a)(iv)</w:t>
      </w:r>
      <w:r>
        <w:rPr>
          <w:rFonts w:ascii="Arial" w:cs="Arial" w:eastAsia="Arial" w:hAnsi="Arial"/>
          <w:sz w:val="22"/>
          <w:szCs w:val="22"/>
          <w:color w:val="auto"/>
        </w:rPr>
        <w:t>) with respect to such Defaulting Lender arising from either the Letter of Credit then proposed to be issued or that Letter of Credit and all other L/C-BA Obligations as to which the L/C-BA Issuer has Fronting Exposure, as it may elect in its sole discretion;</w:t>
      </w:r>
    </w:p>
    <w:p>
      <w:pPr>
        <w:spacing w:after="0" w:line="191" w:lineRule="exact"/>
        <w:rPr>
          <w:rFonts w:ascii="Arial" w:cs="Arial" w:eastAsia="Arial" w:hAnsi="Arial"/>
          <w:sz w:val="22"/>
          <w:szCs w:val="22"/>
          <w:color w:val="auto"/>
        </w:rPr>
      </w:pPr>
    </w:p>
    <w:p>
      <w:pPr>
        <w:ind w:left="760" w:right="20" w:firstLine="641"/>
        <w:spacing w:after="0" w:line="251" w:lineRule="auto"/>
        <w:tabs>
          <w:tab w:leader="none" w:pos="2076" w:val="left"/>
        </w:tabs>
        <w:numPr>
          <w:ilvl w:val="2"/>
          <w:numId w:val="48"/>
        </w:numPr>
        <w:rPr>
          <w:rFonts w:ascii="Arial" w:cs="Arial" w:eastAsia="Arial" w:hAnsi="Arial"/>
          <w:sz w:val="22"/>
          <w:szCs w:val="22"/>
          <w:color w:val="auto"/>
        </w:rPr>
      </w:pPr>
      <w:r>
        <w:rPr>
          <w:rFonts w:ascii="Arial" w:cs="Arial" w:eastAsia="Arial" w:hAnsi="Arial"/>
          <w:sz w:val="22"/>
          <w:szCs w:val="22"/>
          <w:color w:val="auto"/>
        </w:rPr>
        <w:t xml:space="preserve">such Bankers’ Acceptance is to be used for a purpose other than as described in the last sentence of </w:t>
      </w:r>
      <w:r>
        <w:rPr>
          <w:rFonts w:ascii="Arial" w:cs="Arial" w:eastAsia="Arial" w:hAnsi="Arial"/>
          <w:sz w:val="22"/>
          <w:szCs w:val="22"/>
          <w:u w:val="single" w:color="auto"/>
          <w:color w:val="auto"/>
        </w:rPr>
        <w:t>Section 2.03(c)(i)</w:t>
      </w:r>
      <w:r>
        <w:rPr>
          <w:rFonts w:ascii="Arial" w:cs="Arial" w:eastAsia="Arial" w:hAnsi="Arial"/>
          <w:sz w:val="22"/>
          <w:szCs w:val="22"/>
          <w:color w:val="auto"/>
        </w:rPr>
        <w:t>; or</w:t>
      </w:r>
    </w:p>
    <w:p>
      <w:pPr>
        <w:spacing w:after="0" w:line="173" w:lineRule="exact"/>
        <w:rPr>
          <w:rFonts w:ascii="Arial" w:cs="Arial" w:eastAsia="Arial" w:hAnsi="Arial"/>
          <w:sz w:val="22"/>
          <w:szCs w:val="22"/>
          <w:color w:val="auto"/>
        </w:rPr>
      </w:pPr>
    </w:p>
    <w:p>
      <w:pPr>
        <w:ind w:left="760" w:right="20" w:firstLine="641"/>
        <w:spacing w:after="0" w:line="251" w:lineRule="auto"/>
        <w:tabs>
          <w:tab w:leader="none" w:pos="2064"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the Letter of Credit contains any provisions for automatic reinstatement of the stated amount after any drawing thereunder.</w:t>
      </w:r>
    </w:p>
    <w:p>
      <w:pPr>
        <w:spacing w:after="0" w:line="173" w:lineRule="exact"/>
        <w:rPr>
          <w:rFonts w:ascii="Arial" w:cs="Arial" w:eastAsia="Arial" w:hAnsi="Arial"/>
          <w:sz w:val="22"/>
          <w:szCs w:val="22"/>
          <w:color w:val="auto"/>
        </w:rPr>
      </w:pPr>
    </w:p>
    <w:p>
      <w:pPr>
        <w:jc w:val="both"/>
        <w:ind w:left="260" w:right="20" w:firstLine="655"/>
        <w:spacing w:after="0"/>
        <w:tabs>
          <w:tab w:leader="none" w:pos="161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L/C-BA Issuer shall not amend any Letter of Credit or Bankers’ Acceptance if the L/C-BA Issuer would not be permitted at such time to issue such Letter of Credit or Bankers’ Acceptance in its amended form under the terms hereof.</w:t>
      </w:r>
    </w:p>
    <w:p>
      <w:pPr>
        <w:spacing w:after="0" w:line="186" w:lineRule="exact"/>
        <w:rPr>
          <w:rFonts w:ascii="Arial" w:cs="Arial" w:eastAsia="Arial" w:hAnsi="Arial"/>
          <w:sz w:val="22"/>
          <w:szCs w:val="22"/>
          <w:color w:val="auto"/>
        </w:rPr>
      </w:pPr>
    </w:p>
    <w:p>
      <w:pPr>
        <w:jc w:val="both"/>
        <w:ind w:left="260" w:firstLine="655"/>
        <w:spacing w:after="0" w:line="236" w:lineRule="auto"/>
        <w:tabs>
          <w:tab w:leader="none" w:pos="1565"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L/C-BA Issuer shall not be under any obligation to amend any Letter of Credit or Bankers’ Acceptance if (A) the L/C-BA Issuer would have no obligation at such time to issue such Letter of Credit or Bankers’ Acceptance in its amended form under the terms hereof, or (B) the beneficiary of such Letter of Credit or Bankers’ Acceptance does not accept the proposed amendment to such Letter of Credit or Bankers’ Acceptance.</w:t>
      </w:r>
    </w:p>
    <w:p>
      <w:pPr>
        <w:spacing w:after="0" w:line="187" w:lineRule="exact"/>
        <w:rPr>
          <w:rFonts w:ascii="Arial" w:cs="Arial" w:eastAsia="Arial" w:hAnsi="Arial"/>
          <w:sz w:val="22"/>
          <w:szCs w:val="22"/>
          <w:color w:val="auto"/>
        </w:rPr>
      </w:pPr>
    </w:p>
    <w:p>
      <w:pPr>
        <w:jc w:val="both"/>
        <w:ind w:left="260" w:right="20" w:firstLine="655"/>
        <w:spacing w:after="0" w:line="246" w:lineRule="auto"/>
        <w:tabs>
          <w:tab w:leader="none" w:pos="1612" w:val="left"/>
        </w:tabs>
        <w:numPr>
          <w:ilvl w:val="1"/>
          <w:numId w:val="49"/>
        </w:numPr>
        <w:rPr>
          <w:rFonts w:ascii="Arial" w:cs="Arial" w:eastAsia="Arial" w:hAnsi="Arial"/>
          <w:sz w:val="21"/>
          <w:szCs w:val="21"/>
          <w:color w:val="auto"/>
        </w:rPr>
      </w:pPr>
      <w:r>
        <w:rPr>
          <w:rFonts w:ascii="Arial" w:cs="Arial" w:eastAsia="Arial" w:hAnsi="Arial"/>
          <w:sz w:val="21"/>
          <w:szCs w:val="21"/>
          <w:color w:val="auto"/>
        </w:rPr>
        <w:t xml:space="preserve">The L/C-BA Issuer shall act on behalf of the Revolving Lenders with respect to any Letters of Credit or Bankers’ Acceptance issued by it and the documents associated therewith, and the L/C-BA Issuer shall have all of the benefits and immunities (A) provided to the Administrative Agent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with respect to any acts taken or omissions suffered by the L/C-BA Issuer in connection with Letters of Credit and Bankers’ Acceptances issued by it or proposed to be issued by it and Issuer Documents pertaining to such Letters of Credit and Bankers’ Acceptances as fully as if the term “Administrative Agent” as used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included the L/C-BA Issuer with respect to such acts or omissions, and (B) as additionally provided herein with respect to the L/C-BA Issuer.</w:t>
      </w:r>
    </w:p>
    <w:p>
      <w:pPr>
        <w:spacing w:after="0" w:line="180" w:lineRule="exact"/>
        <w:rPr>
          <w:rFonts w:ascii="Arial" w:cs="Arial" w:eastAsia="Arial" w:hAnsi="Arial"/>
          <w:sz w:val="21"/>
          <w:szCs w:val="21"/>
          <w:color w:val="auto"/>
        </w:rPr>
      </w:pPr>
    </w:p>
    <w:p>
      <w:pPr>
        <w:ind w:left="760" w:hanging="655"/>
        <w:spacing w:after="0"/>
        <w:tabs>
          <w:tab w:leader="none" w:pos="7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Procedures for Issuance and Amendment of Letters of Credit; Auto-Extension Letters of Credit.</w:t>
      </w:r>
    </w:p>
    <w:p>
      <w:pPr>
        <w:spacing w:after="0" w:line="21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95" w:name="page96"/>
    <w:bookmarkEnd w:id="95"/>
    <w:p>
      <w:pPr>
        <w:jc w:val="both"/>
        <w:ind w:left="260" w:firstLine="655"/>
        <w:spacing w:after="0" w:line="269" w:lineRule="auto"/>
        <w:tabs>
          <w:tab w:leader="none" w:pos="1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the Borrowing Agent delivered to the L/C-BA Issuer which, in the case of a Letter of Credit to be issued, shall be the L/C-BA Issuer as selected by the Borrowing Agent (with a copy to the Administrative Agent) in the form of a Letter of Credit Application, appropriately completed and signed by a Responsible Officer of the Borrowing Agent. Such Letter of Credit Application must be received by the L/C-BA Issuer and the Administrative Agent not later than 11:00 a.m. at least one Business Day (or such later date and time as the Administrative Agent and the L/C-BA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L/C-BA Issuer: (A) the proposed issuance date of the requested Letter of Credit (which shall be a Business Day); (B) the applicable Borrower or Restricted Subsidiary on whose account the Letter of Credit is being issued (which, in the absence of any such designation, shall be the Borrowing Agent); (C) the amount thereof; (D) the expiry date thereof; (E) the name and address of the beneficiary thereof; (F) the documents to be presented by such beneficiary in case of any drawing thereunder; (G) the full text of any certificate to be presented by such beneficiary in case of any drawing thereunder; (H) the purpose and nature of the requested Letter of Credit; and (I) such other matters as the L/C-BA Issuer may reasonably require. In the case of a request for an amendment of any outstanding Letter of Credit, such Letter of Credit Application shall specify in form and detail satisfactory to the L/C-BA Issuer (A) the Letter of Credit to be amended; (B) the proposed date of amendment thereof (which shall be a Business Day); (C) the nature of the proposed amendment; and (D) such other matters as the L/C-BA Issuer may reasonably require. Additionally, the Borrowing Agent shall, and shall cause any other applicable Borrower or Restricted Subsidiary to, furnish to the L/C-BA Issuer and the Administrative Agent such other documents and information pertaining to such requested Letter of Credit issuance or amendment, including any Issuer Documents, as the L/C-BA Issuer or the Administrative Agent may reasonably require.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260" w:firstLine="655"/>
        <w:spacing w:after="0" w:line="272" w:lineRule="auto"/>
        <w:tabs>
          <w:tab w:leader="none" w:pos="1604"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L/C-BA Issuer will confirm with the Administrative Agent (by telephone or in writing) that the Administrative Agent has received a copy of such Letter of Credit Application from the Borrowing Agent and, if not, the L/C-BA Issuer will provide the Administrative Agent with a copy thereof. Unless the L/C-BA Issuer has received written notice from any Revolving Lender, the Administrative Agent or the Borrowing Agent, at least one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then, subject to the terms and conditions hereof, the L/C-BA Issuer shall, on the requested date, issue a Letter of Credit for the account of the applicable Borrower (or the applicable Restricted Subsidiary) or enter into the applicable amendment, as the case may be, in each case in accordance with the L/C-BA Issuer’s usual and customary business practices. Immediately upon the issuance of each Letter of Credit, each Revolving Lender shall be deemed to, and hereby irrevocably and unconditionally agrees to, purchase from the L/C-BA Issuer a risk participation in such</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96" w:name="page97"/>
    <w:bookmarkEnd w:id="96"/>
    <w:p>
      <w:pPr>
        <w:ind w:left="260" w:right="20"/>
        <w:spacing w:after="0" w:line="251" w:lineRule="auto"/>
        <w:rPr>
          <w:sz w:val="20"/>
          <w:szCs w:val="20"/>
          <w:color w:val="auto"/>
        </w:rPr>
      </w:pPr>
      <w:r>
        <w:rPr>
          <w:rFonts w:ascii="Arial" w:cs="Arial" w:eastAsia="Arial" w:hAnsi="Arial"/>
          <w:sz w:val="22"/>
          <w:szCs w:val="22"/>
          <w:color w:val="auto"/>
        </w:rPr>
        <w:t>Letter of Credit in an amount equal to the product of such Revolving Lender’s Applicable Revolving Percentage times the amount of such Letter of Credit.</w:t>
      </w:r>
    </w:p>
    <w:p>
      <w:pPr>
        <w:spacing w:after="0" w:line="174" w:lineRule="exact"/>
        <w:rPr>
          <w:sz w:val="20"/>
          <w:szCs w:val="20"/>
          <w:color w:val="auto"/>
        </w:rPr>
      </w:pPr>
    </w:p>
    <w:p>
      <w:pPr>
        <w:jc w:val="both"/>
        <w:ind w:left="260" w:right="20" w:firstLine="655"/>
        <w:spacing w:after="0" w:line="270" w:lineRule="auto"/>
        <w:tabs>
          <w:tab w:leader="none" w:pos="1624" w:val="left"/>
        </w:tabs>
        <w:numPr>
          <w:ilvl w:val="1"/>
          <w:numId w:val="52"/>
        </w:numPr>
        <w:rPr>
          <w:rFonts w:ascii="Arial" w:cs="Arial" w:eastAsia="Arial" w:hAnsi="Arial"/>
          <w:sz w:val="19"/>
          <w:szCs w:val="19"/>
          <w:color w:val="auto"/>
        </w:rPr>
      </w:pPr>
      <w:r>
        <w:rPr>
          <w:rFonts w:ascii="Arial" w:cs="Arial" w:eastAsia="Arial" w:hAnsi="Arial"/>
          <w:sz w:val="19"/>
          <w:szCs w:val="19"/>
          <w:color w:val="auto"/>
        </w:rPr>
        <w:t>If the Borrowing Agent so requests in any applicable Letter of Credit Application, the L/C-BA Issuer may, in its sole and absolute discretion, agree to issue a standby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L/C-BA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w:t>
      </w:r>
      <w:r>
        <w:rPr>
          <w:rFonts w:ascii="Arial" w:cs="Arial" w:eastAsia="Arial" w:hAnsi="Arial"/>
          <w:sz w:val="19"/>
          <w:szCs w:val="19"/>
          <w:color w:val="auto"/>
        </w:rPr>
        <w:t xml:space="preserve">e”) in each such twelve-month period to be agreed upon at the time such Letter of Credit is issued. Unless otherwise directed by the L/C-BA Issuer, neither the Borrowing Agent nor the applicable Borrower (or applicable Restricted Subsidiary) shall be required to make a specific request to the L/C-BA Issuer for any such extension. Once an Auto-Extension Letter of Credit has been issued, the Revolving Lenders shall be deemed to have authorized (but may not require) the L/C-BA Issuer to permit the extension of such Letter of Credit at any time to an expiry date not later than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L/C-BA Issuer shall not permit any such extension if (A) the L/C-BA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 on or before the day that is seven (7) Business Days before the Non-Extension Notice Date (1) from the Administrative Agent that the Required Revolving Lenders have elected not to permit such extension or (2) from the Administrative Agent, any Revolving Lender, the Borrowing Agent or the Borrowers (or applicable Restricted Subsidiary) for whose account the Letter of Credit was issued that one or more of the applicable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and in each such case directing the L/C-BA Issuer not to permit such extension.</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left="260" w:firstLine="655"/>
        <w:spacing w:after="0" w:line="287" w:lineRule="auto"/>
        <w:tabs>
          <w:tab w:leader="none" w:pos="1612" w:val="left"/>
        </w:tabs>
        <w:numPr>
          <w:ilvl w:val="1"/>
          <w:numId w:val="52"/>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L/C-BA Issuer will also deliver to the Borrowing Agent (for further delivery to the applicable Borrower or Restricted Subsidiary) and the Administrative Agent a true and complete copy of such Letter of Credit or amendment.</w:t>
      </w:r>
    </w:p>
    <w:p>
      <w:pPr>
        <w:spacing w:after="0" w:line="143" w:lineRule="exact"/>
        <w:rPr>
          <w:rFonts w:ascii="Arial" w:cs="Arial" w:eastAsia="Arial" w:hAnsi="Arial"/>
          <w:sz w:val="19"/>
          <w:szCs w:val="19"/>
          <w:color w:val="auto"/>
        </w:rPr>
      </w:pPr>
    </w:p>
    <w:p>
      <w:pPr>
        <w:ind w:left="740" w:hanging="635"/>
        <w:spacing w:after="0"/>
        <w:tabs>
          <w:tab w:leader="none" w:pos="7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Procedure for Issuance of Clean Bankers’ Acceptances.</w:t>
      </w:r>
    </w:p>
    <w:p>
      <w:pPr>
        <w:spacing w:after="0" w:line="206" w:lineRule="exact"/>
        <w:rPr>
          <w:rFonts w:ascii="Arial" w:cs="Arial" w:eastAsia="Arial" w:hAnsi="Arial"/>
          <w:sz w:val="22"/>
          <w:szCs w:val="22"/>
          <w:color w:val="auto"/>
        </w:rPr>
      </w:pPr>
    </w:p>
    <w:p>
      <w:pPr>
        <w:jc w:val="both"/>
        <w:ind w:left="260" w:firstLine="655"/>
        <w:spacing w:after="0" w:line="247" w:lineRule="auto"/>
        <w:tabs>
          <w:tab w:leader="none" w:pos="1571" w:val="left"/>
        </w:tabs>
        <w:numPr>
          <w:ilvl w:val="1"/>
          <w:numId w:val="53"/>
        </w:numPr>
        <w:rPr>
          <w:rFonts w:ascii="Arial" w:cs="Arial" w:eastAsia="Arial" w:hAnsi="Arial"/>
          <w:sz w:val="21"/>
          <w:szCs w:val="21"/>
          <w:color w:val="auto"/>
        </w:rPr>
      </w:pPr>
      <w:r>
        <w:rPr>
          <w:rFonts w:ascii="Arial" w:cs="Arial" w:eastAsia="Arial" w:hAnsi="Arial"/>
          <w:sz w:val="21"/>
          <w:szCs w:val="21"/>
          <w:color w:val="auto"/>
        </w:rPr>
        <w:t>Each Clean Bankers’ Acceptance shall be issued upon the request of the Borrowing Agent delivered to the L/C-BA Issuer (with a copy to the Administrative Agent) in the form of a Bankers’ Acceptance Request, appropriately completed and signed by a Responsible Officer of the Borrowing Agent. Bankers’ Acceptances Requests may be delivered and accepted electronically. Such Bankers’ Acceptance Request must be received by the L/C-BA Issuer and the Administrative Agent not later than 2:00 p.m. (or such later date and time as the L/C-BA Issuer may agree in a particular instance in its sole discretion) of the proposed issuance date. Each Bankers’</w:t>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97" w:name="page98"/>
    <w:bookmarkEnd w:id="97"/>
    <w:p>
      <w:pPr>
        <w:jc w:val="both"/>
        <w:ind w:left="260" w:right="20"/>
        <w:spacing w:after="0" w:line="273" w:lineRule="auto"/>
        <w:rPr>
          <w:sz w:val="20"/>
          <w:szCs w:val="20"/>
          <w:color w:val="auto"/>
        </w:rPr>
      </w:pPr>
      <w:r>
        <w:rPr>
          <w:rFonts w:ascii="Arial" w:cs="Arial" w:eastAsia="Arial" w:hAnsi="Arial"/>
          <w:sz w:val="19"/>
          <w:szCs w:val="19"/>
          <w:color w:val="auto"/>
        </w:rPr>
        <w:t>Acceptance Request shall specify in form and detail satisfactory to the L/C-BA Issuer: (A) the proposed issuance date of the requested Clean Bankers’ Acceptance (which shall be a Business Day); (B) the amount thereof; (C) the expiry date thereof; (D) the shipping information; (E) a description of the fuel; and</w:t>
      </w:r>
    </w:p>
    <w:p>
      <w:pPr>
        <w:spacing w:after="0" w:line="2" w:lineRule="exact"/>
        <w:rPr>
          <w:sz w:val="20"/>
          <w:szCs w:val="20"/>
          <w:color w:val="auto"/>
        </w:rPr>
      </w:pPr>
    </w:p>
    <w:p>
      <w:pPr>
        <w:jc w:val="both"/>
        <w:ind w:left="260" w:right="20" w:firstLine="7"/>
        <w:spacing w:after="0" w:line="233" w:lineRule="auto"/>
        <w:tabs>
          <w:tab w:leader="none" w:pos="603" w:val="left"/>
        </w:tabs>
        <w:numPr>
          <w:ilvl w:val="1"/>
          <w:numId w:val="54"/>
        </w:numPr>
        <w:rPr>
          <w:rFonts w:ascii="Arial" w:cs="Arial" w:eastAsia="Arial" w:hAnsi="Arial"/>
          <w:sz w:val="22"/>
          <w:szCs w:val="22"/>
          <w:color w:val="auto"/>
        </w:rPr>
      </w:pPr>
      <w:r>
        <w:rPr>
          <w:rFonts w:ascii="Arial" w:cs="Arial" w:eastAsia="Arial" w:hAnsi="Arial"/>
          <w:sz w:val="22"/>
          <w:szCs w:val="22"/>
          <w:color w:val="auto"/>
        </w:rPr>
        <w:t>such other matters as the L/C-BA Issuer may reasonably require. Each Clean Bankers’ Acceptance shall be in a minimum increment $50,000, shall be endorsed in blank, shall cover the purchase or sale of fuel, the payment of freight or the financing of insurance, port charges and advances on purchases, shall mature on a Business Day up to ninety (90) days after the date thereof, and shall not be payable prior to its stated maturity date.</w:t>
      </w:r>
    </w:p>
    <w:p>
      <w:pPr>
        <w:spacing w:after="0" w:line="185" w:lineRule="exact"/>
        <w:rPr>
          <w:rFonts w:ascii="Arial" w:cs="Arial" w:eastAsia="Arial" w:hAnsi="Arial"/>
          <w:sz w:val="22"/>
          <w:szCs w:val="22"/>
          <w:color w:val="auto"/>
        </w:rPr>
      </w:pPr>
    </w:p>
    <w:p>
      <w:pPr>
        <w:jc w:val="both"/>
        <w:ind w:left="260" w:right="20" w:firstLine="655"/>
        <w:spacing w:after="0" w:line="244" w:lineRule="auto"/>
        <w:tabs>
          <w:tab w:leader="none" w:pos="1604" w:val="left"/>
        </w:tabs>
        <w:numPr>
          <w:ilvl w:val="2"/>
          <w:numId w:val="54"/>
        </w:numPr>
        <w:rPr>
          <w:rFonts w:ascii="Arial" w:cs="Arial" w:eastAsia="Arial" w:hAnsi="Arial"/>
          <w:sz w:val="21"/>
          <w:szCs w:val="21"/>
          <w:color w:val="auto"/>
        </w:rPr>
      </w:pPr>
      <w:r>
        <w:rPr>
          <w:rFonts w:ascii="Arial" w:cs="Arial" w:eastAsia="Arial" w:hAnsi="Arial"/>
          <w:sz w:val="21"/>
          <w:szCs w:val="21"/>
          <w:color w:val="auto"/>
        </w:rPr>
        <w:t>Promptly after receipt of any Bankers’ Acceptance Request, the L/C-BA Issuer will confirm with the Administrative Agent (by telephone or in writing) that the Administrative Agent has received a copy of such Bankers’ Acceptance Request from the Borrowing Agent and, if not, the L/C-BA Issuer will provide the Administrative Agent with a copy thereof. Upon receipt by the L/C-BA Issuer of confirmation from the Administrative Agent that the requested issuance is permitted in accordance with the terms hereof, then, subject to the terms and conditions hereof, the L/C-BA Issuer shall, on the requested date, issue a Clean Bankers’ Acceptance for the account of the applicable Borrower or Restricted Subsidiary, in each case in accordance with the L/C-BA Issuer’s usual and customary business practices. Immediately upon the issuance of each Clean Bankers’ Acceptance, each Revolving Lender shall be deemed to, and hereby irrevocably and unconditionally agrees to, purchase from the L/C-BA Issuer a risk participation in such Clean Bankers’ Acceptance in an amount equal to the product of such Revolving Lender’s Applicable Revolving Percentage times the amount of such Clean Bankers’ Acceptance.</w:t>
      </w:r>
    </w:p>
    <w:p>
      <w:pPr>
        <w:spacing w:after="0" w:line="184" w:lineRule="exact"/>
        <w:rPr>
          <w:rFonts w:ascii="Arial" w:cs="Arial" w:eastAsia="Arial" w:hAnsi="Arial"/>
          <w:sz w:val="21"/>
          <w:szCs w:val="21"/>
          <w:color w:val="auto"/>
        </w:rPr>
      </w:pPr>
    </w:p>
    <w:p>
      <w:pPr>
        <w:jc w:val="both"/>
        <w:ind w:left="260" w:right="20" w:firstLine="655"/>
        <w:spacing w:after="0" w:line="234" w:lineRule="auto"/>
        <w:tabs>
          <w:tab w:leader="none" w:pos="1624" w:val="left"/>
        </w:tabs>
        <w:numPr>
          <w:ilvl w:val="2"/>
          <w:numId w:val="54"/>
        </w:numPr>
        <w:rPr>
          <w:rFonts w:ascii="Arial" w:cs="Arial" w:eastAsia="Arial" w:hAnsi="Arial"/>
          <w:sz w:val="22"/>
          <w:szCs w:val="22"/>
          <w:color w:val="auto"/>
        </w:rPr>
      </w:pPr>
      <w:r>
        <w:rPr>
          <w:rFonts w:ascii="Arial" w:cs="Arial" w:eastAsia="Arial" w:hAnsi="Arial"/>
          <w:sz w:val="22"/>
          <w:szCs w:val="22"/>
          <w:color w:val="auto"/>
        </w:rPr>
        <w:t xml:space="preserve">In the event that the L/C-BA Issuer presents a draft on a matured Clean Bankers’ Acceptance for payment and the applicable Borrower or Restricted Subsidiary, at the time of such presentment, does not have funds on deposit in its account at the Administrative Agent sufficient to pay the entire amount of the draft (including any charges or expenses paid or incurred by the L/C-BA Issuer in connection with such draft), the Administrative Agent shall deem this to be an Unreimbursed Amount and proceed in accordance with the provisions of </w:t>
      </w:r>
      <w:r>
        <w:rPr>
          <w:rFonts w:ascii="Arial" w:cs="Arial" w:eastAsia="Arial" w:hAnsi="Arial"/>
          <w:sz w:val="22"/>
          <w:szCs w:val="22"/>
          <w:u w:val="single" w:color="auto"/>
          <w:color w:val="auto"/>
        </w:rPr>
        <w:t>Section 2.03(d)(iii)</w:t>
      </w:r>
      <w:r>
        <w:rPr>
          <w:rFonts w:ascii="Arial" w:cs="Arial" w:eastAsia="Arial" w:hAnsi="Arial"/>
          <w:sz w:val="22"/>
          <w:szCs w:val="22"/>
          <w:color w:val="auto"/>
        </w:rPr>
        <w:t xml:space="preserve"> which relate to a Bankers’ Acceptance not paid on maturity.</w:t>
      </w:r>
    </w:p>
    <w:p>
      <w:pPr>
        <w:spacing w:after="0" w:line="191" w:lineRule="exact"/>
        <w:rPr>
          <w:rFonts w:ascii="Arial" w:cs="Arial" w:eastAsia="Arial" w:hAnsi="Arial"/>
          <w:sz w:val="22"/>
          <w:szCs w:val="22"/>
          <w:color w:val="auto"/>
        </w:rPr>
      </w:pPr>
    </w:p>
    <w:p>
      <w:pPr>
        <w:ind w:left="760" w:hanging="655"/>
        <w:spacing w:after="0"/>
        <w:tabs>
          <w:tab w:leader="none" w:pos="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Drawings and Reimbursements; Funding of Participations.</w:t>
      </w:r>
    </w:p>
    <w:p>
      <w:pPr>
        <w:spacing w:after="0" w:line="206" w:lineRule="exact"/>
        <w:rPr>
          <w:rFonts w:ascii="Arial" w:cs="Arial" w:eastAsia="Arial" w:hAnsi="Arial"/>
          <w:sz w:val="22"/>
          <w:szCs w:val="22"/>
          <w:color w:val="auto"/>
        </w:rPr>
      </w:pPr>
    </w:p>
    <w:p>
      <w:pPr>
        <w:jc w:val="both"/>
        <w:ind w:left="260" w:firstLine="655"/>
        <w:spacing w:after="0" w:line="245" w:lineRule="auto"/>
        <w:tabs>
          <w:tab w:leader="none" w:pos="1571" w:val="left"/>
        </w:tabs>
        <w:numPr>
          <w:ilvl w:val="2"/>
          <w:numId w:val="55"/>
        </w:numPr>
        <w:rPr>
          <w:rFonts w:ascii="Arial" w:cs="Arial" w:eastAsia="Arial" w:hAnsi="Arial"/>
          <w:sz w:val="21"/>
          <w:szCs w:val="21"/>
          <w:color w:val="auto"/>
        </w:rPr>
      </w:pPr>
      <w:r>
        <w:rPr>
          <w:rFonts w:ascii="Arial" w:cs="Arial" w:eastAsia="Arial" w:hAnsi="Arial"/>
          <w:sz w:val="21"/>
          <w:szCs w:val="21"/>
          <w:color w:val="auto"/>
        </w:rPr>
        <w:t>Upon receipt from the beneficiary of any Letter of Credit of any notice of a drawing or, with respect to any Acceptance Credit, presentation of documents under such Letter of Credit, or any presentation for payment of a Bankers’ Acceptance, the L/C-BA Issuer shall notify the Borrowing Agent (for itself and the applicable Borrower) and the Administrative Agent thereof. Not later than 12:00 noon on the date of any payment by an L/C-BA Issuer under a Letter of Credit or Bankers’ Acceptance (each such date, an “</w:t>
      </w:r>
      <w:r>
        <w:rPr>
          <w:rFonts w:ascii="Arial" w:cs="Arial" w:eastAsia="Arial" w:hAnsi="Arial"/>
          <w:sz w:val="21"/>
          <w:szCs w:val="21"/>
          <w:u w:val="single" w:color="auto"/>
          <w:color w:val="auto"/>
        </w:rPr>
        <w:t>Honor Date</w:t>
      </w:r>
      <w:r>
        <w:rPr>
          <w:rFonts w:ascii="Arial" w:cs="Arial" w:eastAsia="Arial" w:hAnsi="Arial"/>
          <w:sz w:val="21"/>
          <w:szCs w:val="21"/>
          <w:color w:val="auto"/>
        </w:rPr>
        <w:t xml:space="preserve">”), the applicable Borrower shall reimburse the L/C-BA Issuer in an amount equal to the amount of such drawing or Bankers’ Acceptance,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WFS Europe and WFS Singapore shall have no reimbursement obligations in connection with Letters of Credit or Bankers’</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98" w:name="page99"/>
    <w:bookmarkEnd w:id="98"/>
    <w:p>
      <w:pPr>
        <w:jc w:val="both"/>
        <w:ind w:left="260"/>
        <w:spacing w:after="0" w:line="272" w:lineRule="auto"/>
        <w:rPr>
          <w:sz w:val="20"/>
          <w:szCs w:val="20"/>
          <w:color w:val="auto"/>
        </w:rPr>
      </w:pPr>
      <w:r>
        <w:rPr>
          <w:rFonts w:ascii="Arial" w:cs="Arial" w:eastAsia="Arial" w:hAnsi="Arial"/>
          <w:sz w:val="19"/>
          <w:szCs w:val="19"/>
          <w:color w:val="auto"/>
        </w:rPr>
        <w:t>Acceptances issued solely for the account of WFS or any Domestic Subsidiary. If the applicable Borrower fails to so reimburse the L/C-BA Issuer by such time, the L/C-BA Issuer shall promptly notify the Administrative Agent thereof, and the Administrative Agent shall promptly thereafter notify each Revolving Lender of the Honor Date, the amount of the unreimbursed drawing (the “</w:t>
      </w:r>
      <w:r>
        <w:rPr>
          <w:rFonts w:ascii="Arial" w:cs="Arial" w:eastAsia="Arial" w:hAnsi="Arial"/>
          <w:sz w:val="19"/>
          <w:szCs w:val="19"/>
          <w:u w:val="single" w:color="auto"/>
          <w:color w:val="auto"/>
        </w:rPr>
        <w:t>Unreimbursed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and the amount of such Revolving Lender’s Applicable Revolving Percentage thereof. In such event, the Borrowing Agent shall be deemed to have requested on behalf of such applicable Borrower a Revolving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Aggregate Revolving Commitments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Any notice given by the L/C-BA Issuer or the Administrative Agent pursuant to this </w:t>
      </w:r>
      <w:r>
        <w:rPr>
          <w:rFonts w:ascii="Arial" w:cs="Arial" w:eastAsia="Arial" w:hAnsi="Arial"/>
          <w:sz w:val="19"/>
          <w:szCs w:val="19"/>
          <w:u w:val="single" w:color="auto"/>
          <w:color w:val="auto"/>
        </w:rPr>
        <w:t>Section 2.03(d)(i)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58" w:lineRule="exact"/>
        <w:rPr>
          <w:sz w:val="20"/>
          <w:szCs w:val="20"/>
          <w:color w:val="auto"/>
        </w:rPr>
      </w:pPr>
    </w:p>
    <w:p>
      <w:pPr>
        <w:jc w:val="both"/>
        <w:ind w:left="260" w:firstLine="655"/>
        <w:spacing w:after="0" w:line="277" w:lineRule="auto"/>
        <w:tabs>
          <w:tab w:leader="none" w:pos="1604"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Each Revolving Lender shall upon any notice pursuant to </w:t>
      </w:r>
      <w:r>
        <w:rPr>
          <w:rFonts w:ascii="Arial" w:cs="Arial" w:eastAsia="Arial" w:hAnsi="Arial"/>
          <w:sz w:val="19"/>
          <w:szCs w:val="19"/>
          <w:u w:val="single" w:color="auto"/>
          <w:color w:val="auto"/>
        </w:rPr>
        <w:t>Section 2.03(d)(i)</w:t>
      </w:r>
      <w:r>
        <w:rPr>
          <w:rFonts w:ascii="Arial" w:cs="Arial" w:eastAsia="Arial" w:hAnsi="Arial"/>
          <w:sz w:val="19"/>
          <w:szCs w:val="19"/>
          <w:color w:val="auto"/>
        </w:rPr>
        <w:t xml:space="preserve"> make funds available to the Administrative Agent for the account of the L/C-BA Issuer at the Administrative Agent’s Office in an amount equal to its Applicable Revolving Percentage of the Unreimbursed Amount not later than 2:00 p.m. on the Business Day specified in such notice by the Administrative Agent, whereupon, subject to the provisions of </w:t>
      </w:r>
      <w:r>
        <w:rPr>
          <w:rFonts w:ascii="Arial" w:cs="Arial" w:eastAsia="Arial" w:hAnsi="Arial"/>
          <w:sz w:val="19"/>
          <w:szCs w:val="19"/>
          <w:u w:val="single" w:color="auto"/>
          <w:color w:val="auto"/>
        </w:rPr>
        <w:t>Section 2.03(d)(iii)</w:t>
      </w:r>
      <w:r>
        <w:rPr>
          <w:rFonts w:ascii="Arial" w:cs="Arial" w:eastAsia="Arial" w:hAnsi="Arial"/>
          <w:sz w:val="19"/>
          <w:szCs w:val="19"/>
          <w:color w:val="auto"/>
        </w:rPr>
        <w:t>, each Revolving Lender that so makes funds available shall be deemed to have made a Base Rate Loan to the applicable Borrower in such amount. The Administrative Agent shall remit the funds so received to the L/C-BA Issuer.</w:t>
      </w:r>
    </w:p>
    <w:p>
      <w:pPr>
        <w:spacing w:after="0" w:line="152" w:lineRule="exact"/>
        <w:rPr>
          <w:rFonts w:ascii="Arial" w:cs="Arial" w:eastAsia="Arial" w:hAnsi="Arial"/>
          <w:sz w:val="19"/>
          <w:szCs w:val="19"/>
          <w:color w:val="auto"/>
        </w:rPr>
      </w:pPr>
    </w:p>
    <w:p>
      <w:pPr>
        <w:jc w:val="both"/>
        <w:ind w:left="260" w:firstLine="655"/>
        <w:spacing w:after="0" w:line="245" w:lineRule="auto"/>
        <w:tabs>
          <w:tab w:leader="none" w:pos="1624"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With respect to any Unreimbursed Amount that is not fully refinanced by a Revolving Borrowing of Base Rate Loans because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cannot be satisfied or for any other reason, the applicable Borrower shall be deemed to have incurred from the L/C-BA Issuer an L/C-BA Borrowing in the amount of the Unreimbursed Amount that is not so refinanced, which L/C-BA Borrowing shall be due and payable on demand (together with interest) and shall bear interest at the Default Rate. In such event, each Revolving Lender’s payment to the Administrative Agent for the account of the L/C-BA Issuer pursuant to </w:t>
      </w:r>
      <w:r>
        <w:rPr>
          <w:rFonts w:ascii="Arial" w:cs="Arial" w:eastAsia="Arial" w:hAnsi="Arial"/>
          <w:sz w:val="21"/>
          <w:szCs w:val="21"/>
          <w:u w:val="single" w:color="auto"/>
          <w:color w:val="auto"/>
        </w:rPr>
        <w:t>Section 2.03(d)(ii)</w:t>
      </w:r>
      <w:r>
        <w:rPr>
          <w:rFonts w:ascii="Arial" w:cs="Arial" w:eastAsia="Arial" w:hAnsi="Arial"/>
          <w:sz w:val="21"/>
          <w:szCs w:val="21"/>
          <w:color w:val="auto"/>
        </w:rPr>
        <w:t xml:space="preserve"> shall be deemed payment in respect of its participation in such L/C-BA Borrowing and shall constitute an L/C-BA Advance from such Revolving Lender in satisfaction of its participation obligation under this </w:t>
      </w:r>
      <w:r>
        <w:rPr>
          <w:rFonts w:ascii="Arial" w:cs="Arial" w:eastAsia="Arial" w:hAnsi="Arial"/>
          <w:sz w:val="21"/>
          <w:szCs w:val="21"/>
          <w:u w:val="single" w:color="auto"/>
          <w:color w:val="auto"/>
        </w:rPr>
        <w:t>Section 2.03</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left="260" w:right="20" w:firstLine="655"/>
        <w:spacing w:after="0" w:line="287" w:lineRule="auto"/>
        <w:tabs>
          <w:tab w:leader="none" w:pos="161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Until each Revolving Lender funds its Revolving Loan or L/C-BA Advance pursuant to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to reimburse the L/C-BA Issuer for any amount drawn under any Letter of Credit or payments made on any Bankers’ Acceptance, interest in respect of such Revolving Lender’s Applicable Revolving Percentage of such amount shall be solely for the account of the L/C-BA Issuer.</w:t>
      </w:r>
    </w:p>
    <w:p>
      <w:pPr>
        <w:spacing w:after="0" w:line="143" w:lineRule="exact"/>
        <w:rPr>
          <w:rFonts w:ascii="Arial" w:cs="Arial" w:eastAsia="Arial" w:hAnsi="Arial"/>
          <w:sz w:val="19"/>
          <w:szCs w:val="19"/>
          <w:color w:val="auto"/>
        </w:rPr>
      </w:pPr>
    </w:p>
    <w:p>
      <w:pPr>
        <w:ind w:left="260" w:firstLine="655"/>
        <w:spacing w:after="0" w:line="251" w:lineRule="auto"/>
        <w:tabs>
          <w:tab w:leader="none" w:pos="1565"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Revolving Lender’s obligation to make Revolving Loans or L/C-BA Advances to reimburse the L/C-BA Issuer for amounts drawn under Letters of</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99" w:name="page100"/>
    <w:bookmarkEnd w:id="99"/>
    <w:p>
      <w:pPr>
        <w:jc w:val="both"/>
        <w:ind w:left="260"/>
        <w:spacing w:after="0" w:line="273" w:lineRule="auto"/>
        <w:rPr>
          <w:sz w:val="20"/>
          <w:szCs w:val="20"/>
          <w:color w:val="auto"/>
        </w:rPr>
      </w:pPr>
      <w:r>
        <w:rPr>
          <w:rFonts w:ascii="Arial" w:cs="Arial" w:eastAsia="Arial" w:hAnsi="Arial"/>
          <w:sz w:val="19"/>
          <w:szCs w:val="19"/>
          <w:color w:val="auto"/>
        </w:rPr>
        <w:t xml:space="preserve">Credit and payments made on Bankers’ Acceptances, as contemplated by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Revolving Lender may have against the L/C-BA Issuer, any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Revolving Lender’s obligation to make Revolving Loans pursuant to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the Borrowing Agent of a Committed Loan Notice). 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no such making of an L/C-BA Advance shall relieve or otherwise impair the joint and several obligation of the Borrowers to reimburse the L/C-BA Issuer for the amount of any payment made by the L/C-BA Issuer under any Letter of Credit or Bankers’ Acceptance, together with interest as provided herein.</w:t>
      </w:r>
    </w:p>
    <w:p>
      <w:pPr>
        <w:spacing w:after="0" w:line="157" w:lineRule="exact"/>
        <w:rPr>
          <w:sz w:val="20"/>
          <w:szCs w:val="20"/>
          <w:color w:val="auto"/>
        </w:rPr>
      </w:pPr>
    </w:p>
    <w:p>
      <w:pPr>
        <w:jc w:val="both"/>
        <w:ind w:left="260" w:firstLine="655"/>
        <w:spacing w:after="0" w:line="271" w:lineRule="auto"/>
        <w:tabs>
          <w:tab w:leader="none" w:pos="1612"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If any Revolving Lender fails to make available to the Administrative Agent for the account of the L/C-BA Issuer any amount required to be paid by such Revolving Lender pursuant to the foregoing provisions of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2.03(d)(ii)</w:t>
      </w:r>
      <w:r>
        <w:rPr>
          <w:rFonts w:ascii="Arial" w:cs="Arial" w:eastAsia="Arial" w:hAnsi="Arial"/>
          <w:sz w:val="19"/>
          <w:szCs w:val="19"/>
          <w:color w:val="auto"/>
        </w:rPr>
        <w:t xml:space="preserve">, the L/C-BA Issuer shall be entitled to recover from such Revolving Lender (acting through the Administrative Agent), on demand, such amount with interest thereon for the period from the date such payment is required to the date on which such payment is immediately available to the L/C-BA Issuer at a rate per annum equal to the greater of the Federal Funds Rate and a rate determined by the L/C-BA Issuer in accordance with banking industry rules on interbank compensation, plus any administrative, processing or similar fees customarily charged by the L/C-BA Issuer in connection with the foregoing. If such Revolving Lender pays such amount (with interest and fees as aforesaid), the amount so paid shall constitute such Revolving Lender’s Revolving Loan included in the relevant Borrowing or L/C-BA Advance in respect of the relevant L/C-BA Borrowing, as the case may be. A certificate of the L/C-BA Issuer submitted to any Revolving Lender (through the Administrative Agent) with respect to any amounts owing under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shall be conclusive absent manifest error.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740" w:hanging="635"/>
        <w:spacing w:after="0"/>
        <w:tabs>
          <w:tab w:leader="none" w:pos="7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Repayment of Participations.</w:t>
      </w:r>
    </w:p>
    <w:p>
      <w:pPr>
        <w:spacing w:after="0" w:line="206" w:lineRule="exact"/>
        <w:rPr>
          <w:rFonts w:ascii="Arial" w:cs="Arial" w:eastAsia="Arial" w:hAnsi="Arial"/>
          <w:sz w:val="22"/>
          <w:szCs w:val="22"/>
          <w:color w:val="auto"/>
        </w:rPr>
      </w:pPr>
    </w:p>
    <w:p>
      <w:pPr>
        <w:jc w:val="both"/>
        <w:ind w:left="260" w:right="20" w:firstLine="655"/>
        <w:spacing w:after="0" w:line="246" w:lineRule="auto"/>
        <w:tabs>
          <w:tab w:leader="none" w:pos="1571"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At any time after the L/C-BA Issuer has made a payment under any Letter of Credit or Bankers’ Acceptance and has received from any Revolving Lender such Revolving Lender’s L/C-BA Advance in respect of such payment in accordance with </w:t>
      </w:r>
      <w:r>
        <w:rPr>
          <w:rFonts w:ascii="Arial" w:cs="Arial" w:eastAsia="Arial" w:hAnsi="Arial"/>
          <w:sz w:val="21"/>
          <w:szCs w:val="21"/>
          <w:u w:val="single" w:color="auto"/>
          <w:color w:val="auto"/>
        </w:rPr>
        <w:t>Section 2.03(d)</w:t>
      </w:r>
      <w:r>
        <w:rPr>
          <w:rFonts w:ascii="Arial" w:cs="Arial" w:eastAsia="Arial" w:hAnsi="Arial"/>
          <w:sz w:val="21"/>
          <w:szCs w:val="21"/>
          <w:color w:val="auto"/>
        </w:rPr>
        <w:t>, if the Administrative Agent receives for the account of the L/C-BA Issuer any payment in respect of the related Unreimbursed Amount or interest thereon (whether directly from the Borrowing Agent, the applicable Borrower or otherwise, including proceeds of Cash Collateral applied thereto by the Administrative Agent), the Administrative Agent will distribute to such Revolving Lender its Applicable Revolving Percentage thereof in the same funds as those received by the Administrative Agent.</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100" w:name="page101"/>
    <w:bookmarkEnd w:id="100"/>
    <w:p>
      <w:pPr>
        <w:jc w:val="both"/>
        <w:ind w:left="800" w:right="20" w:firstLine="655"/>
        <w:spacing w:after="0" w:line="245" w:lineRule="auto"/>
        <w:tabs>
          <w:tab w:leader="none" w:pos="2320"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If any payment received by the Administrative Agent for the account of the L/C-BA Issuer pursuant to </w:t>
      </w:r>
      <w:r>
        <w:rPr>
          <w:rFonts w:ascii="Arial" w:cs="Arial" w:eastAsia="Arial" w:hAnsi="Arial"/>
          <w:sz w:val="21"/>
          <w:szCs w:val="21"/>
          <w:u w:val="single" w:color="auto"/>
          <w:color w:val="auto"/>
        </w:rPr>
        <w:t>Section 2.03(d)(i)</w:t>
      </w:r>
      <w:r>
        <w:rPr>
          <w:rFonts w:ascii="Arial" w:cs="Arial" w:eastAsia="Arial" w:hAnsi="Arial"/>
          <w:sz w:val="21"/>
          <w:szCs w:val="21"/>
          <w:color w:val="auto"/>
        </w:rPr>
        <w:t xml:space="preserve"> is required to be returned under any of the circumstances described in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(including pursuant to any settlement entered into by the L/C-BA Issuer in its discretion), each Revolving Lender shall pay to the Administrative Agent for the account of the L/C-BA Issuer its Applicable Revolving Percentage thereof on demand of the Administrative Agent, plus interest thereon from the date of such demand to the date such amount is returned by such Revolving Lender, at a rate per annum equal to the Federal Funds Rate from time to time in effect. The obligations of the Revolving Lenders under this clause shall survive the payment in full of the Obligations and the termination of this Agreement.</w:t>
      </w:r>
    </w:p>
    <w:p>
      <w:pPr>
        <w:spacing w:after="0" w:line="185" w:lineRule="exact"/>
        <w:rPr>
          <w:rFonts w:ascii="Arial" w:cs="Arial" w:eastAsia="Arial" w:hAnsi="Arial"/>
          <w:sz w:val="21"/>
          <w:szCs w:val="21"/>
          <w:color w:val="auto"/>
        </w:rPr>
      </w:pPr>
    </w:p>
    <w:p>
      <w:pPr>
        <w:jc w:val="both"/>
        <w:ind w:right="20" w:firstLine="645"/>
        <w:spacing w:after="0" w:line="282" w:lineRule="auto"/>
        <w:tabs>
          <w:tab w:leader="none" w:pos="131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the joint and several obligation of the applicable Borrower (and, pursuant to this Agreement or any other Loan Document, any other Borrower) to reimburse the L/C-BA Issuer for each drawing under each Letter of Credit and each payment under any Bankers’ Acceptance, and to repay each L/C-BA Borrowing shall be absolute, unconditional and irrevocable, and shall be paid strictly in accordance with the terms of this Agreement under all circumstances, including the following:</w:t>
      </w:r>
    </w:p>
    <w:p>
      <w:pPr>
        <w:spacing w:after="0" w:line="147" w:lineRule="exact"/>
        <w:rPr>
          <w:rFonts w:ascii="Arial" w:cs="Arial" w:eastAsia="Arial" w:hAnsi="Arial"/>
          <w:sz w:val="19"/>
          <w:szCs w:val="19"/>
          <w:color w:val="auto"/>
        </w:rPr>
      </w:pPr>
    </w:p>
    <w:p>
      <w:pPr>
        <w:ind w:left="800" w:right="20" w:firstLine="655"/>
        <w:spacing w:after="0" w:line="251" w:lineRule="auto"/>
        <w:tabs>
          <w:tab w:leader="none" w:pos="2111"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any lack of validity or enforceability of such Letter of Credit or Bankers’ Acceptance, this Agreement, or any other Loan Document;</w:t>
      </w:r>
    </w:p>
    <w:p>
      <w:pPr>
        <w:spacing w:after="0" w:line="173" w:lineRule="exact"/>
        <w:rPr>
          <w:sz w:val="20"/>
          <w:szCs w:val="20"/>
          <w:color w:val="auto"/>
        </w:rPr>
      </w:pPr>
    </w:p>
    <w:p>
      <w:pPr>
        <w:jc w:val="both"/>
        <w:ind w:left="800" w:firstLine="655"/>
        <w:spacing w:after="0" w:line="279" w:lineRule="auto"/>
        <w:tabs>
          <w:tab w:leader="none" w:pos="2144"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existence of any claim, counterclaim, setoff, defense or other right that any Borrower or any Restricted Subsidiary may have at any time against any beneficiary or any transferee of such Letter of Credit or Bankers’ Acceptance (or any Person for whom any such beneficiary or any such transferee may be acting), the L/C-BA Issuer or any other Person, whether in connection with this Agreement, the transactions contemplated hereby or by such Letter of Credit or payment on such Bankers’ Acceptance or any agreement or instrument relating thereto, or any unrelated transaction;</w:t>
      </w:r>
    </w:p>
    <w:p>
      <w:pPr>
        <w:spacing w:after="0" w:line="150" w:lineRule="exact"/>
        <w:rPr>
          <w:rFonts w:ascii="Arial" w:cs="Arial" w:eastAsia="Arial" w:hAnsi="Arial"/>
          <w:sz w:val="19"/>
          <w:szCs w:val="19"/>
          <w:color w:val="auto"/>
        </w:rPr>
      </w:pPr>
    </w:p>
    <w:p>
      <w:pPr>
        <w:jc w:val="both"/>
        <w:ind w:left="800" w:right="20" w:firstLine="655"/>
        <w:spacing w:after="0" w:line="236" w:lineRule="auto"/>
        <w:tabs>
          <w:tab w:leader="none" w:pos="216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or Bankers’ Acceptance proving to be forged, fraudulent, invalid or insufficient in any respect or any statement therein being untrue or inaccurate in any respect; or any loss or delay in the transmission or otherwise of any document required in order to make a drawing under such Letter of Credit or Bankers’ Acceptance;</w:t>
      </w:r>
    </w:p>
    <w:p>
      <w:pPr>
        <w:spacing w:after="0" w:line="187" w:lineRule="exact"/>
        <w:rPr>
          <w:rFonts w:ascii="Arial" w:cs="Arial" w:eastAsia="Arial" w:hAnsi="Arial"/>
          <w:sz w:val="22"/>
          <w:szCs w:val="22"/>
          <w:color w:val="auto"/>
        </w:rPr>
      </w:pPr>
    </w:p>
    <w:p>
      <w:pPr>
        <w:jc w:val="both"/>
        <w:ind w:left="800" w:right="20" w:firstLine="655"/>
        <w:spacing w:after="0"/>
        <w:tabs>
          <w:tab w:leader="none" w:pos="2152" w:val="left"/>
        </w:tabs>
        <w:numPr>
          <w:ilvl w:val="0"/>
          <w:numId w:val="61"/>
        </w:numPr>
        <w:rPr>
          <w:rFonts w:ascii="Arial" w:cs="Arial" w:eastAsia="Arial" w:hAnsi="Arial"/>
          <w:sz w:val="22"/>
          <w:szCs w:val="22"/>
          <w:color w:val="auto"/>
        </w:rPr>
      </w:pPr>
      <w:r>
        <w:rPr>
          <w:rFonts w:ascii="Arial" w:cs="Arial" w:eastAsia="Arial" w:hAnsi="Arial"/>
          <w:sz w:val="22"/>
          <w:szCs w:val="22"/>
          <w:color w:val="auto"/>
        </w:rPr>
        <w:t>waiver by the L/C-BA Issuer of any requirement that exists for the L/C-BA Issuer’s protection and not the protection of the Borrower or any waiver by the L/C-BA Issuer which does not in fact materially prejudice the Borrower;</w:t>
      </w:r>
    </w:p>
    <w:p>
      <w:pPr>
        <w:spacing w:after="0" w:line="186" w:lineRule="exact"/>
        <w:rPr>
          <w:rFonts w:ascii="Arial" w:cs="Arial" w:eastAsia="Arial" w:hAnsi="Arial"/>
          <w:sz w:val="22"/>
          <w:szCs w:val="22"/>
          <w:color w:val="auto"/>
        </w:rPr>
      </w:pPr>
    </w:p>
    <w:p>
      <w:pPr>
        <w:ind w:left="800" w:right="20" w:firstLine="655"/>
        <w:spacing w:after="0" w:line="251" w:lineRule="auto"/>
        <w:tabs>
          <w:tab w:leader="none" w:pos="2105" w:val="left"/>
        </w:tabs>
        <w:numPr>
          <w:ilvl w:val="0"/>
          <w:numId w:val="61"/>
        </w:numPr>
        <w:rPr>
          <w:rFonts w:ascii="Arial" w:cs="Arial" w:eastAsia="Arial" w:hAnsi="Arial"/>
          <w:sz w:val="22"/>
          <w:szCs w:val="22"/>
          <w:color w:val="auto"/>
        </w:rPr>
      </w:pPr>
      <w:r>
        <w:rPr>
          <w:rFonts w:ascii="Arial" w:cs="Arial" w:eastAsia="Arial" w:hAnsi="Arial"/>
          <w:sz w:val="22"/>
          <w:szCs w:val="22"/>
          <w:color w:val="auto"/>
        </w:rPr>
        <w:t>honor of a demand for payment presented electronically even if such Letter of Credit or Bankers’ Acceptance requires that demand be in the form of a draft;</w:t>
      </w:r>
    </w:p>
    <w:p>
      <w:pPr>
        <w:spacing w:after="0" w:line="173" w:lineRule="exact"/>
        <w:rPr>
          <w:rFonts w:ascii="Arial" w:cs="Arial" w:eastAsia="Arial" w:hAnsi="Arial"/>
          <w:sz w:val="22"/>
          <w:szCs w:val="22"/>
          <w:color w:val="auto"/>
        </w:rPr>
      </w:pPr>
    </w:p>
    <w:p>
      <w:pPr>
        <w:jc w:val="both"/>
        <w:ind w:left="800" w:right="20" w:firstLine="655"/>
        <w:spacing w:after="0"/>
        <w:tabs>
          <w:tab w:leader="none" w:pos="2152"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payment made by the L/C-BA Issuer in respect of an otherwise complying item presented after the date specified as the expiration date of, or the date by which documents must be received under such Letter of Credit or Bankers’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01" w:name="page102"/>
    <w:bookmarkEnd w:id="101"/>
    <w:p>
      <w:pPr>
        <w:ind w:left="804"/>
        <w:spacing w:after="0"/>
        <w:rPr>
          <w:sz w:val="20"/>
          <w:szCs w:val="20"/>
          <w:color w:val="auto"/>
        </w:rPr>
      </w:pPr>
      <w:r>
        <w:rPr>
          <w:rFonts w:ascii="Arial" w:cs="Arial" w:eastAsia="Arial" w:hAnsi="Arial"/>
          <w:sz w:val="19"/>
          <w:szCs w:val="19"/>
          <w:color w:val="auto"/>
        </w:rPr>
        <w:t>Acceptance if presentation after such date is authorized by the UCC, the ISP or the UCP, as applicable;</w:t>
      </w:r>
    </w:p>
    <w:p>
      <w:pPr>
        <w:spacing w:after="0" w:line="241" w:lineRule="exact"/>
        <w:rPr>
          <w:sz w:val="20"/>
          <w:szCs w:val="20"/>
          <w:color w:val="auto"/>
        </w:rPr>
      </w:pPr>
    </w:p>
    <w:p>
      <w:pPr>
        <w:jc w:val="both"/>
        <w:ind w:left="804" w:firstLine="655"/>
        <w:spacing w:after="0" w:line="277" w:lineRule="auto"/>
        <w:tabs>
          <w:tab w:leader="none" w:pos="217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payment by the L/C-BA Issuer under such Letter of Credit or Bankers’ Acceptance against presentation of a draft or certificate that does not strictly comply with the terms of such Letter of Credit or Bankers’ Acceptance; or any payment made by the L/C-BA Issuer under such Letter of Credit or Bankers’ Acceptance to any Person purporting to be a trustee in bankruptcy, debtor-in-possession, assignee for the benefit of creditors, liquidator, receiver or other representative of or successor to any beneficiary or any transferee of such Letter of Credit or Bankers’ Acceptance, including any arising in connection with any proceeding under any Debtor Relief Law; or</w:t>
      </w:r>
    </w:p>
    <w:p>
      <w:pPr>
        <w:spacing w:after="0" w:line="152" w:lineRule="exact"/>
        <w:rPr>
          <w:rFonts w:ascii="Arial" w:cs="Arial" w:eastAsia="Arial" w:hAnsi="Arial"/>
          <w:sz w:val="19"/>
          <w:szCs w:val="19"/>
          <w:color w:val="auto"/>
        </w:rPr>
      </w:pPr>
    </w:p>
    <w:p>
      <w:pPr>
        <w:jc w:val="both"/>
        <w:ind w:left="804" w:right="20" w:firstLine="655"/>
        <w:spacing w:after="0"/>
        <w:tabs>
          <w:tab w:leader="none" w:pos="2208"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other circumstance or happening whatsoever, whether or not similar to any of the foregoing, including any other circumstance that might otherwise constitute a defense available to, or a discharge of, any Borrower or any Restricted Subsidiary.</w:t>
      </w:r>
    </w:p>
    <w:p>
      <w:pPr>
        <w:spacing w:after="0" w:line="186" w:lineRule="exact"/>
        <w:rPr>
          <w:sz w:val="20"/>
          <w:szCs w:val="20"/>
          <w:color w:val="auto"/>
        </w:rPr>
      </w:pPr>
    </w:p>
    <w:p>
      <w:pPr>
        <w:jc w:val="both"/>
        <w:ind w:left="4" w:firstLine="648"/>
        <w:spacing w:after="0" w:line="235" w:lineRule="auto"/>
        <w:rPr>
          <w:sz w:val="20"/>
          <w:szCs w:val="20"/>
          <w:color w:val="auto"/>
        </w:rPr>
      </w:pPr>
      <w:r>
        <w:rPr>
          <w:rFonts w:ascii="Arial" w:cs="Arial" w:eastAsia="Arial" w:hAnsi="Arial"/>
          <w:sz w:val="22"/>
          <w:szCs w:val="22"/>
          <w:color w:val="auto"/>
        </w:rPr>
        <w:t>Each of the Borrowing Agent and the applicable Borrower shall promptly examine a copy of each Letter of Credit and each amendment thereto, and each Bankers’ Acceptance, that is delivered to it and, in the event of any claim of noncompliance with the Borrowing Agent’s instructions or other irregularity, the Borrowing Agent or the applicable Borrower will immediately notify the L/C-BA Issuer. Each of the applicable Borrower and the Borrowing Agent shall be conclusively deemed to have waived any such claim against any L/C-BA Issuer and its correspondents unless such notice is given as aforesaid.</w:t>
      </w:r>
    </w:p>
    <w:p>
      <w:pPr>
        <w:spacing w:after="0" w:line="188" w:lineRule="exact"/>
        <w:rPr>
          <w:sz w:val="20"/>
          <w:szCs w:val="20"/>
          <w:color w:val="auto"/>
        </w:rPr>
      </w:pPr>
    </w:p>
    <w:p>
      <w:pPr>
        <w:jc w:val="both"/>
        <w:ind w:left="4" w:firstLine="645"/>
        <w:spacing w:after="0" w:line="268" w:lineRule="auto"/>
        <w:tabs>
          <w:tab w:leader="none" w:pos="1309"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Role of L/C-BA Issuer</w:t>
      </w:r>
      <w:r>
        <w:rPr>
          <w:rFonts w:ascii="Arial" w:cs="Arial" w:eastAsia="Arial" w:hAnsi="Arial"/>
          <w:sz w:val="19"/>
          <w:szCs w:val="19"/>
          <w:color w:val="auto"/>
        </w:rPr>
        <w:t xml:space="preserve">. Each Revolving Lender and each of the Borrowers agree that, in paying any drawing under a Letter of Credit or making any payment under a Bankers’ Acceptance, the L/C-BA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L/C-BA Issuer, the Administrative Agent, any of their respective Related Parties nor any correspondent, participant or assignee of the L/C-BA Issuer shall be liable to any Revolving Lender for (i) any action taken or omitted in connection herewith at the request or with the approval of the Revolving Lenders or the Required Revolving Lenders, as applicable; (ii) any action taken or omitted in the absence of gross negligence or willful misconduct; or (iii) the due execution, effectiveness, validity or enforceability of any document or instrument related to any Letter of Credit, Bankers’ Acceptance or Issuer Document. 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the Borrowers hereby jointly and severally assume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shall not, preclude the Borrowers’ pursuing such rights and remedies as any of them may have against the beneficiary or transferee at law or under any other agreement. None of the L/C-BA Issuer, the Administrative Agent, any of their respective Related Parties nor any correspondent, participant or assignee of the L/C-BA Issuer shall be liable or responsible for any of the matters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w:t>
      </w:r>
    </w:p>
    <w:p>
      <w:pPr>
        <w:spacing w:after="0" w:line="3" w:lineRule="exact"/>
        <w:rPr>
          <w:rFonts w:ascii="Arial" w:cs="Arial" w:eastAsia="Arial" w:hAnsi="Arial"/>
          <w:sz w:val="19"/>
          <w:szCs w:val="19"/>
          <w:color w:val="auto"/>
        </w:rPr>
      </w:pPr>
    </w:p>
    <w:p>
      <w:pPr>
        <w:jc w:val="both"/>
        <w:ind w:left="4" w:right="20" w:hanging="4"/>
        <w:spacing w:after="0" w:line="234" w:lineRule="auto"/>
        <w:tabs>
          <w:tab w:leader="none" w:pos="517" w:val="left"/>
        </w:tabs>
        <w:numPr>
          <w:ilvl w:val="0"/>
          <w:numId w:val="64"/>
        </w:numPr>
        <w:rPr>
          <w:rFonts w:ascii="Arial" w:cs="Arial" w:eastAsia="Arial" w:hAnsi="Arial"/>
          <w:sz w:val="22"/>
          <w:szCs w:val="22"/>
          <w:u w:val="single" w:color="auto"/>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2.03(f)</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anything in such clauses to the contrary notwithstanding, the Borrowers or Restricted Subsidiaries for whose benefit such Letter of Credit or Bankers’ Acceptance was issued may have a claim against the</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02" w:name="page103"/>
    <w:bookmarkEnd w:id="102"/>
    <w:p>
      <w:pPr>
        <w:jc w:val="both"/>
        <w:spacing w:after="0" w:line="244" w:lineRule="auto"/>
        <w:rPr>
          <w:sz w:val="20"/>
          <w:szCs w:val="20"/>
          <w:color w:val="auto"/>
        </w:rPr>
      </w:pPr>
      <w:r>
        <w:rPr>
          <w:rFonts w:ascii="Arial" w:cs="Arial" w:eastAsia="Arial" w:hAnsi="Arial"/>
          <w:sz w:val="21"/>
          <w:szCs w:val="21"/>
          <w:color w:val="auto"/>
        </w:rPr>
        <w:t>L/C-BA Issuer, and the L/C-BA Issuer may be liable to such Borrower or Restricted Subsidiary, to the extent, but only to the extent, of any direct, as opposed to consequential or exemplary, damages suffered by such Borrower or Restricted Subsidiary which such Borrower or Restricted Subsidiary proves were caused by the L/C-BA Issuer’s willful misconduct or gross negligence or the L/C-BA Issuer’s willful failure to pay under any Letter of Credit after the presentation to it by the beneficiary of a sight draft and certificate(s) strictly complying with the terms and conditions of a Letter of Credit or to honor any Bankers’ Acceptance presented for payment in strict compliance with its terms and conditions. In furtherance and not in limitation of the foregoing, the L/C-BA Issuer may accept documents that appear on their face to be in order, without responsibility for further investigation, regardless of any notice or information to the contrary, and the L/C-BA Issuer shall not be responsible for the validity or sufficiency of any instrument transferring or assigning or purporting to transfer or assign a Letter of Credit or Bankers’ Acceptance or the rights or benefits thereunder or proceeds thereof, in whole or in part, which may prove to be invalid or ineffective for any reason.</w:t>
      </w:r>
    </w:p>
    <w:p>
      <w:pPr>
        <w:spacing w:after="0" w:line="188" w:lineRule="exact"/>
        <w:rPr>
          <w:sz w:val="20"/>
          <w:szCs w:val="20"/>
          <w:color w:val="auto"/>
        </w:rPr>
      </w:pPr>
    </w:p>
    <w:p>
      <w:pPr>
        <w:jc w:val="both"/>
        <w:ind w:firstLine="645"/>
        <w:spacing w:after="0" w:line="238" w:lineRule="auto"/>
        <w:tabs>
          <w:tab w:leader="none" w:pos="130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Applicability of ISP and UCP</w:t>
      </w:r>
      <w:r>
        <w:rPr>
          <w:rFonts w:ascii="Arial" w:cs="Arial" w:eastAsia="Arial" w:hAnsi="Arial"/>
          <w:sz w:val="22"/>
          <w:szCs w:val="22"/>
          <w:color w:val="auto"/>
        </w:rPr>
        <w:t>. Unless otherwise expressly agreed by the L/C-BA Issuer and the Borrowing Agent when a Letter of Credit is issued (including any such agreement applicable to an Existing Letter of Credit), (i) the rules of the ISP shall apply to each standby Letter of Credit, and (ii) the rules of the UCP shall apply to each commercial Letter of Credit.</w:t>
      </w:r>
    </w:p>
    <w:p>
      <w:pPr>
        <w:spacing w:after="0" w:line="185" w:lineRule="exact"/>
        <w:rPr>
          <w:rFonts w:ascii="Arial" w:cs="Arial" w:eastAsia="Arial" w:hAnsi="Arial"/>
          <w:sz w:val="22"/>
          <w:szCs w:val="22"/>
          <w:color w:val="auto"/>
        </w:rPr>
      </w:pPr>
    </w:p>
    <w:p>
      <w:pPr>
        <w:jc w:val="both"/>
        <w:ind w:firstLine="645"/>
        <w:spacing w:after="0" w:line="268" w:lineRule="auto"/>
        <w:tabs>
          <w:tab w:leader="none" w:pos="131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Borrowers shall pay to the Administrative Agent for the account of each Revolving Lender in accordance with its Applicable Revolving Percentage a Letter of Credit fee (the “</w:t>
      </w:r>
      <w:r>
        <w:rPr>
          <w:rFonts w:ascii="Arial" w:cs="Arial" w:eastAsia="Arial" w:hAnsi="Arial"/>
          <w:sz w:val="19"/>
          <w:szCs w:val="19"/>
          <w:u w:val="single" w:color="auto"/>
          <w:color w:val="auto"/>
        </w:rPr>
        <w:t>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Fee</w:t>
      </w:r>
      <w:r>
        <w:rPr>
          <w:rFonts w:ascii="Arial" w:cs="Arial" w:eastAsia="Arial" w:hAnsi="Arial"/>
          <w:sz w:val="19"/>
          <w:szCs w:val="19"/>
          <w:color w:val="auto"/>
        </w:rPr>
        <w:t xml:space="preserve">”) (i) for each commercial Letter of Credit equal to 0.250% per annum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and (ii) for each standby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any Letter of Credit Fees otherwise payable for the account of a Defaulting Lender with respect to any Letter of Credit as to which such Defaulting Lender has not provided Cash Collateral satisfactory to the L/C-BA Issuer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be payable, to the maximum extent permitted by applicable Law, to the other Revolving Lenders in accordance with the upward adjustments in their respective Applicable Revolving Percentages allocable to such Letter of Credit pursuant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with the balance of such fee, if any, payable to the L/C-BA Issuer for its own account.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standby Letter of Credit shall be computed and</w:t>
      </w:r>
    </w:p>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 Notwithstanding the foregoing, WFS Europe and WFS Singapore shall have no obligation to pay any Letter of Credit Fee in connection with Letters of Credit issued solely for the account of WFS or any Domestic Subsidiary.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03" w:name="page104"/>
    <w:bookmarkEnd w:id="103"/>
    <w:p>
      <w:pPr>
        <w:jc w:val="both"/>
        <w:ind w:firstLine="645"/>
        <w:spacing w:after="0" w:line="271" w:lineRule="auto"/>
        <w:tabs>
          <w:tab w:leader="none" w:pos="146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BA Fees</w:t>
      </w:r>
      <w:r>
        <w:rPr>
          <w:rFonts w:ascii="Arial" w:cs="Arial" w:eastAsia="Arial" w:hAnsi="Arial"/>
          <w:sz w:val="19"/>
          <w:szCs w:val="19"/>
          <w:color w:val="auto"/>
        </w:rPr>
        <w:t>. The Borrowers shall pay to the Administrative Agent for the account of each Revolving Lender in accordance with its Applicable Revolving Percentage a Bankers’ Acceptance fee (the “</w:t>
      </w:r>
      <w:r>
        <w:rPr>
          <w:rFonts w:ascii="Arial" w:cs="Arial" w:eastAsia="Arial" w:hAnsi="Arial"/>
          <w:sz w:val="19"/>
          <w:szCs w:val="19"/>
          <w:u w:val="single" w:color="auto"/>
          <w:color w:val="auto"/>
        </w:rPr>
        <w:t>BA Fee</w:t>
      </w:r>
      <w:r>
        <w:rPr>
          <w:rFonts w:ascii="Arial" w:cs="Arial" w:eastAsia="Arial" w:hAnsi="Arial"/>
          <w:sz w:val="19"/>
          <w:szCs w:val="19"/>
          <w:color w:val="auto"/>
        </w:rPr>
        <w:t xml:space="preserve">”) equal to the Bankers’ Acceptance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maximum stated amount of all then outstanding Bankers’ Acceptances. BA Fees shall be (i) due and payable on the first Business Day after the end of each March, June, September and December, commencing with the first such date to occur after the issuance of such Bankers’ Acceptance, on the Maturity Date and thereafter on demand and (ii) computed on a quarterly basis in arrears. If there is any change in the Bankers’ Acceptance Rate or the Applicable Rate for Bankers’ Acceptances during any quarter, the maximum stated amount of all outstanding Bankers’ Acceptances shall be computed and multiplied by the Bankers’ Acceptance Rate or Applicable Rate, as applicable, separately for each period during such quarter that such Bankers’ Acceptance Rate or Applicable Rate, as applicable, was in effect. Notwithstanding anything to the contrary contained herein, upon the request of the Required Revolving Lenders, while any Event of Default exists, all BA Fees shall accrue at the Default Rate. Notwithstanding the foregoing, WFS Europe and WFS Singapore shall have no obligation to pay any BA Fee in connection with Bankers’ Acceptances issued solely for the account of WFS or any Domestic Subsidiary.</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645"/>
        <w:spacing w:after="0" w:line="270" w:lineRule="auto"/>
        <w:tabs>
          <w:tab w:leader="none" w:pos="130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L/C-BA Issuer</w:t>
      </w:r>
      <w:r>
        <w:rPr>
          <w:rFonts w:ascii="Arial" w:cs="Arial" w:eastAsia="Arial" w:hAnsi="Arial"/>
          <w:sz w:val="19"/>
          <w:szCs w:val="19"/>
          <w:color w:val="auto"/>
        </w:rPr>
        <w:t xml:space="preserve">. The Borrowers shall pay directly to the L/C-BA Issuer for its own account a fronting fee (i) with respect to each commercial Letter of Credit or Bankers’ Acceptance, at the rate specified therefor, with respect to Bank of America, in the BofA Fee Letter, computed on the amount of such Letter of Credit or Bankers’ Acceptance, as applicable, and payable upon the issuance thereof, (ii) with respect to any amendment of a commercial Letter of Credit increasing the amount of such Letter of Credit, at a rate separately agreed between the Borrowing Agent and the L/C-BA Issuer, computed on the amount of such increase, and payable upon the effectiveness of such amendment, (iii) with respect to each standby Letter of Credit, at the rate per annum specified with respect to Bank of America, in the BofA Fee Letter, computed on the daily amount available to be drawn under such Letter of Credit on a quarterly basis in arrears. Such fronting fee payable under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2.03(k)</w:t>
      </w:r>
      <w:r>
        <w:rPr>
          <w:rFonts w:ascii="Arial" w:cs="Arial" w:eastAsia="Arial" w:hAnsi="Arial"/>
          <w:sz w:val="19"/>
          <w:szCs w:val="19"/>
          <w:color w:val="auto"/>
        </w:rPr>
        <w:t xml:space="preserv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or Bankers’ Acceptance, as applicable,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In addition, the Borrowers shall pay directly to the L/C-BA Issuer for its own account the customary issuance, presentation, amendment and other processing fees, and other standard costs and charges, of the L/C-BA Issuer relating to letters of credit and bankers’ acceptances as from time to time in effect. Such customary fees and standard costs and charges are due and payable on demand and are nonrefundable. Notwithstanding the foregoing, WFS Europe and WFS Singapore shall have no obligation to pay any fronting fee or customary processing fee (including standard costs and charges) in connection with Letters of Credit or Bankers’ Acceptances issued solely for the account of WFS or any Domestic Subsidiary.</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right="20" w:firstLine="645"/>
        <w:spacing w:after="0" w:line="251" w:lineRule="auto"/>
        <w:tabs>
          <w:tab w:leader="none" w:pos="1311"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04" w:name="page105"/>
    <w:bookmarkEnd w:id="104"/>
    <w:p>
      <w:pPr>
        <w:jc w:val="both"/>
        <w:ind w:left="4" w:firstLine="645"/>
        <w:spacing w:after="0" w:line="245" w:lineRule="auto"/>
        <w:tabs>
          <w:tab w:leader="none" w:pos="1572"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Letters of Credit Issued for Subsidiaries</w:t>
      </w:r>
      <w:r>
        <w:rPr>
          <w:rFonts w:ascii="Arial" w:cs="Arial" w:eastAsia="Arial" w:hAnsi="Arial"/>
          <w:sz w:val="21"/>
          <w:szCs w:val="21"/>
          <w:color w:val="auto"/>
        </w:rPr>
        <w:t>. Notwithstanding that a Letter of Credit or Bankers’ Acceptance issued or outstanding hereunder is in support of any obligations of, or is for the account of, a Restricted Subsidiary, WFS shall be obligated to reimburse the L/C-BA Issuer hereunder for any and all drawings under such Letter of Credit or Bankers’ Acceptance, and WFS Europe and WFS Singapore shall be obligated to reimburse the L/C-BA Issuer hereunder for any and all drawings or payments under each Letter of Credit or Bankers’ Acceptance issued for their own account or for the account of any other Foreign Subsidiary. Each Borrower hereby acknowledges that the issuance of Letters of Credit and/or Bankers’ Acceptances for the account of Restricted Subsidiaries inures to the benefit of the Borrowers, and that the Borrowers’ business derives substantial benefits from the businesses of such Restricted Subsidiaries.</w:t>
      </w:r>
    </w:p>
    <w:p>
      <w:pPr>
        <w:spacing w:after="0" w:line="180"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9"/>
          <w:szCs w:val="19"/>
          <w:b w:val="1"/>
          <w:bCs w:val="1"/>
          <w:color w:val="auto"/>
        </w:rPr>
        <w:t>Swing Line Loans</w:t>
      </w:r>
      <w:r>
        <w:rPr>
          <w:rFonts w:ascii="Arial" w:cs="Arial" w:eastAsia="Arial" w:hAnsi="Arial"/>
          <w:sz w:val="19"/>
          <w:szCs w:val="19"/>
          <w:color w:val="auto"/>
        </w:rPr>
        <w:t>.</w:t>
      </w:r>
    </w:p>
    <w:p>
      <w:pPr>
        <w:spacing w:after="0" w:line="212" w:lineRule="exact"/>
        <w:rPr>
          <w:sz w:val="20"/>
          <w:szCs w:val="20"/>
          <w:color w:val="auto"/>
        </w:rPr>
      </w:pPr>
    </w:p>
    <w:p>
      <w:pPr>
        <w:jc w:val="both"/>
        <w:ind w:left="4" w:firstLine="645"/>
        <w:spacing w:after="0" w:line="270" w:lineRule="auto"/>
        <w:tabs>
          <w:tab w:leader="none" w:pos="1297"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The Swing Line</w:t>
      </w:r>
      <w:r>
        <w:rPr>
          <w:rFonts w:ascii="Arial" w:cs="Arial" w:eastAsia="Arial" w:hAnsi="Arial"/>
          <w:sz w:val="19"/>
          <w:szCs w:val="19"/>
          <w:color w:val="auto"/>
        </w:rPr>
        <w:t xml:space="preserve">. Subject to the terms and conditions set forth herein, the Swing Line Lender, in reliance upon the agreements of the other Revolving Lenders set forth in this </w:t>
      </w:r>
      <w:r>
        <w:rPr>
          <w:rFonts w:ascii="Arial" w:cs="Arial" w:eastAsia="Arial" w:hAnsi="Arial"/>
          <w:sz w:val="19"/>
          <w:szCs w:val="19"/>
          <w:u w:val="single" w:color="auto"/>
          <w:color w:val="auto"/>
        </w:rPr>
        <w:t>Section 2.04</w:t>
      </w:r>
      <w:r>
        <w:rPr>
          <w:rFonts w:ascii="Arial" w:cs="Arial" w:eastAsia="Arial" w:hAnsi="Arial"/>
          <w:sz w:val="19"/>
          <w:szCs w:val="19"/>
          <w:color w:val="auto"/>
        </w:rPr>
        <w:t>, may in its sole discretion make loans (each such loan, a “</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to the Borrowers from time to time on any Business Day during the Availability Period in an aggregate amount not to exceed at any time outstanding the amount of the Swing Line Sublimit, notwithstanding the fact that such Swing Line Loans, when aggregated with the Applicable Revolving Percentage of the Outstanding Amount of Revolving Loans and L/C-BA Obligations of the Swing Line Lender, may exceed the amount of such Revolving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Swing Line Loan, (i) the Total Revolving Outstandings shall not exceed the Aggregate Revolving Commitments, and (ii) the aggregate Outstanding Amount of the Revolving Loans of any Revolving Lender (other than the Swing Line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Revolving Percentage of the Outstanding Amount of all L/C-BA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Revolving Percentage of the Outstanding Amount of all Swing Line Loans shall not exceed such Revolving Lender’s Revolving Commitment,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Each Swing Line Loan shall be a Base Rate Loan.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Applicable Revolving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Swing Line Loan.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4" w:right="20" w:firstLine="645"/>
        <w:spacing w:after="0" w:line="276" w:lineRule="auto"/>
        <w:tabs>
          <w:tab w:leader="none" w:pos="1309"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Each Swing Line Borrowing shall be made upon the Borrowing Agent’s irrevocable notice to the Swing Line Lender and the Administrative Agent, which may be given by (i) telephone or</w:t>
      </w:r>
    </w:p>
    <w:p>
      <w:pPr>
        <w:spacing w:after="0" w:line="1" w:lineRule="exact"/>
        <w:rPr>
          <w:rFonts w:ascii="Arial" w:cs="Arial" w:eastAsia="Arial" w:hAnsi="Arial"/>
          <w:sz w:val="19"/>
          <w:szCs w:val="19"/>
          <w:color w:val="auto"/>
        </w:rPr>
      </w:pPr>
    </w:p>
    <w:p>
      <w:pPr>
        <w:jc w:val="both"/>
        <w:ind w:left="4" w:right="20" w:hanging="4"/>
        <w:spacing w:after="0" w:line="232" w:lineRule="auto"/>
        <w:tabs>
          <w:tab w:leader="none" w:pos="3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Swing Line Loan Notice; provided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(A) the amount to be borrowed, which shall be a minimum of $500,000, and (B) the requested borrowing date, which shall be a Business Day. Promptly after receipt by the Swing Line Lender of any Swing Line Loan Notice, the Swing Line Lender will</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05" w:name="page106"/>
    <w:bookmarkEnd w:id="105"/>
    <w:p>
      <w:pPr>
        <w:jc w:val="both"/>
        <w:ind w:left="4"/>
        <w:spacing w:after="0" w:line="269" w:lineRule="auto"/>
        <w:rPr>
          <w:sz w:val="20"/>
          <w:szCs w:val="20"/>
          <w:color w:val="auto"/>
        </w:rPr>
      </w:pPr>
      <w:r>
        <w:rPr>
          <w:rFonts w:ascii="Arial" w:cs="Arial" w:eastAsia="Arial" w:hAnsi="Arial"/>
          <w:sz w:val="19"/>
          <w:szCs w:val="19"/>
          <w:color w:val="auto"/>
        </w:rPr>
        <w:t xml:space="preserve">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Borrowing Agent at its office either by</w:t>
      </w:r>
    </w:p>
    <w:p>
      <w:pPr>
        <w:spacing w:after="0" w:line="2" w:lineRule="exact"/>
        <w:rPr>
          <w:sz w:val="20"/>
          <w:szCs w:val="20"/>
          <w:color w:val="auto"/>
        </w:rPr>
      </w:pPr>
    </w:p>
    <w:p>
      <w:pPr>
        <w:jc w:val="both"/>
        <w:ind w:left="4" w:hanging="4"/>
        <w:spacing w:after="0" w:line="234" w:lineRule="auto"/>
        <w:tabs>
          <w:tab w:leader="none" w:pos="278" w:val="left"/>
        </w:tabs>
        <w:numPr>
          <w:ilvl w:val="0"/>
          <w:numId w:val="70"/>
        </w:numPr>
        <w:rPr>
          <w:rFonts w:ascii="Arial" w:cs="Arial" w:eastAsia="Arial" w:hAnsi="Arial"/>
          <w:sz w:val="22"/>
          <w:szCs w:val="22"/>
          <w:color w:val="auto"/>
        </w:rPr>
      </w:pPr>
      <w:r>
        <w:rPr>
          <w:rFonts w:ascii="Arial" w:cs="Arial" w:eastAsia="Arial" w:hAnsi="Arial"/>
          <w:sz w:val="22"/>
          <w:szCs w:val="22"/>
          <w:color w:val="auto"/>
        </w:rPr>
        <w:t>crediting the account of the Borrowing Agent on the books of the Swing Line Lender in immediately available funds or (ii) wire transfer of such funds, in each case in accordance with instructions provided to (and reasonably acceptable to) the Administrative Agent by the Borrowing Agent.</w:t>
      </w:r>
    </w:p>
    <w:p>
      <w:pPr>
        <w:spacing w:after="0" w:line="187" w:lineRule="exact"/>
        <w:rPr>
          <w:rFonts w:ascii="Arial" w:cs="Arial" w:eastAsia="Arial" w:hAnsi="Arial"/>
          <w:sz w:val="22"/>
          <w:szCs w:val="22"/>
          <w:color w:val="auto"/>
        </w:rPr>
      </w:pPr>
    </w:p>
    <w:p>
      <w:pPr>
        <w:ind w:left="1284" w:hanging="635"/>
        <w:spacing w:after="0"/>
        <w:tabs>
          <w:tab w:leader="none" w:pos="1284" w:val="left"/>
        </w:tabs>
        <w:numPr>
          <w:ilvl w:val="1"/>
          <w:numId w:val="70"/>
        </w:numPr>
        <w:rPr>
          <w:rFonts w:ascii="Arial" w:cs="Arial" w:eastAsia="Arial" w:hAnsi="Arial"/>
          <w:sz w:val="22"/>
          <w:szCs w:val="22"/>
          <w:color w:val="auto"/>
        </w:rPr>
      </w:pPr>
      <w:r>
        <w:rPr>
          <w:rFonts w:ascii="Arial" w:cs="Arial" w:eastAsia="Arial" w:hAnsi="Arial"/>
          <w:sz w:val="22"/>
          <w:szCs w:val="22"/>
          <w:color w:val="auto"/>
        </w:rPr>
        <w:t>Refinancing of Swing Line Loans.</w:t>
      </w:r>
    </w:p>
    <w:p>
      <w:pPr>
        <w:spacing w:after="0" w:line="206" w:lineRule="exact"/>
        <w:rPr>
          <w:rFonts w:ascii="Arial" w:cs="Arial" w:eastAsia="Arial" w:hAnsi="Arial"/>
          <w:sz w:val="22"/>
          <w:szCs w:val="22"/>
          <w:color w:val="auto"/>
        </w:rPr>
      </w:pPr>
    </w:p>
    <w:p>
      <w:pPr>
        <w:jc w:val="both"/>
        <w:ind w:left="804" w:firstLine="655"/>
        <w:spacing w:after="0" w:line="270" w:lineRule="auto"/>
        <w:tabs>
          <w:tab w:leader="none" w:pos="2115" w:val="left"/>
        </w:tabs>
        <w:numPr>
          <w:ilvl w:val="2"/>
          <w:numId w:val="70"/>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discretion may request, on behalf of the Borrowing Agent (which hereby irrevocably authorizes the Swing Line Lender to so request on its behalf), that each Revolving Lender make a Base Rate Loan in an amount equal to such Revolving Lender’s Applicable Revolving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Swing Line Lender shall furnish the Borrowing Agent with a copy of the applicable Committed Loan Notice promptly after delivering such notice to the Administrative Agent. Each Revolving Lender shall make an amount equal to its Applicable Revolving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Lender that so makes funds available shall be deemed to have made a Base Rate Loan to the Borrowers in such amount. The Administrative Agent shall remit the funds so received to the Swing Line Lender.</w:t>
      </w:r>
    </w:p>
    <w:p>
      <w:pPr>
        <w:spacing w:after="0" w:line="170" w:lineRule="exact"/>
        <w:rPr>
          <w:rFonts w:ascii="Arial" w:cs="Arial" w:eastAsia="Arial" w:hAnsi="Arial"/>
          <w:sz w:val="19"/>
          <w:szCs w:val="19"/>
          <w:color w:val="auto"/>
        </w:rPr>
      </w:pPr>
    </w:p>
    <w:p>
      <w:pPr>
        <w:jc w:val="both"/>
        <w:ind w:left="804" w:firstLine="655"/>
        <w:spacing w:after="0" w:line="248" w:lineRule="auto"/>
        <w:tabs>
          <w:tab w:leader="none" w:pos="2148" w:val="left"/>
        </w:tabs>
        <w:numPr>
          <w:ilvl w:val="2"/>
          <w:numId w:val="70"/>
        </w:numPr>
        <w:rPr>
          <w:rFonts w:ascii="Arial" w:cs="Arial" w:eastAsia="Arial" w:hAnsi="Arial"/>
          <w:sz w:val="21"/>
          <w:szCs w:val="21"/>
          <w:color w:val="auto"/>
        </w:rPr>
      </w:pPr>
      <w:r>
        <w:rPr>
          <w:rFonts w:ascii="Arial" w:cs="Arial" w:eastAsia="Arial" w:hAnsi="Arial"/>
          <w:sz w:val="21"/>
          <w:szCs w:val="21"/>
          <w:color w:val="auto"/>
        </w:rPr>
        <w:t xml:space="preserve">If for any reason any Swing Line Loan cannot be refinanced by such a Revolving Borrowing in accordance with </w:t>
      </w:r>
      <w:r>
        <w:rPr>
          <w:rFonts w:ascii="Arial" w:cs="Arial" w:eastAsia="Arial" w:hAnsi="Arial"/>
          <w:sz w:val="21"/>
          <w:szCs w:val="21"/>
          <w:u w:val="single" w:color="auto"/>
          <w:color w:val="auto"/>
        </w:rPr>
        <w:t>Section 2.04(c)(i)</w:t>
      </w:r>
      <w:r>
        <w:rPr>
          <w:rFonts w:ascii="Arial" w:cs="Arial" w:eastAsia="Arial" w:hAnsi="Arial"/>
          <w:sz w:val="21"/>
          <w:szCs w:val="21"/>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Arial" w:cs="Arial" w:eastAsia="Arial" w:hAnsi="Arial"/>
          <w:sz w:val="21"/>
          <w:szCs w:val="21"/>
          <w:u w:val="single" w:color="auto"/>
          <w:color w:val="auto"/>
        </w:rPr>
        <w:t>Section 2.04(c)(i)</w:t>
      </w:r>
      <w:r>
        <w:rPr>
          <w:rFonts w:ascii="Arial" w:cs="Arial" w:eastAsia="Arial" w:hAnsi="Arial"/>
          <w:sz w:val="21"/>
          <w:szCs w:val="21"/>
          <w:color w:val="auto"/>
        </w:rPr>
        <w:t xml:space="preserve"> shall be deemed payment in respect of such participation.</w:t>
      </w:r>
    </w:p>
    <w:p>
      <w:pPr>
        <w:spacing w:after="0" w:line="17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06" w:name="page107"/>
    <w:bookmarkEnd w:id="106"/>
    <w:p>
      <w:pPr>
        <w:jc w:val="both"/>
        <w:ind w:left="260" w:firstLine="655"/>
        <w:spacing w:after="0" w:line="271" w:lineRule="auto"/>
        <w:tabs>
          <w:tab w:leader="none" w:pos="1840"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If any Revolving Lender fails to make available to the Administrative Agent for the account of the Swing Line Lender any amount required to be paid by such Revolving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Revolving Lender’s Revolving Loan included in the relevant Revolving Borrowing or funded participation in the relevant Swing Line Loan, as the case may be. A certificate of the Swing Line Lender submitted to any Revolving Lender (through the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260" w:firstLine="655"/>
        <w:spacing w:after="0" w:line="245" w:lineRule="auto"/>
        <w:tabs>
          <w:tab w:leader="none" w:pos="1612"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Each Revolving Lender’s obligation to make Revolving Loans or to purchase and fund risk participations in Swing Line Loans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Revolving Lender may have against the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Revolving Lender’s obligation to make Revolving Loans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is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No such funding of risk participations shall relieve or otherwise impair the obligation of the Borrowers to repay Swing Line Loans, together with interest as provided herein.</w:t>
      </w:r>
    </w:p>
    <w:p>
      <w:pPr>
        <w:spacing w:after="0" w:line="181" w:lineRule="exact"/>
        <w:rPr>
          <w:rFonts w:ascii="Arial" w:cs="Arial" w:eastAsia="Arial" w:hAnsi="Arial"/>
          <w:sz w:val="21"/>
          <w:szCs w:val="21"/>
          <w:color w:val="auto"/>
        </w:rPr>
      </w:pPr>
    </w:p>
    <w:p>
      <w:pPr>
        <w:ind w:left="760" w:hanging="655"/>
        <w:spacing w:after="0"/>
        <w:tabs>
          <w:tab w:leader="none" w:pos="7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Repayment of Participations.</w:t>
      </w:r>
    </w:p>
    <w:p>
      <w:pPr>
        <w:spacing w:after="0" w:line="206" w:lineRule="exact"/>
        <w:rPr>
          <w:rFonts w:ascii="Arial" w:cs="Arial" w:eastAsia="Arial" w:hAnsi="Arial"/>
          <w:sz w:val="22"/>
          <w:szCs w:val="22"/>
          <w:color w:val="auto"/>
        </w:rPr>
      </w:pPr>
    </w:p>
    <w:p>
      <w:pPr>
        <w:jc w:val="both"/>
        <w:ind w:left="260" w:right="20" w:firstLine="655"/>
        <w:spacing w:after="0" w:line="252" w:lineRule="auto"/>
        <w:tabs>
          <w:tab w:leader="none" w:pos="1571" w:val="left"/>
        </w:tabs>
        <w:numPr>
          <w:ilvl w:val="1"/>
          <w:numId w:val="72"/>
        </w:numPr>
        <w:rPr>
          <w:rFonts w:ascii="Arial" w:cs="Arial" w:eastAsia="Arial" w:hAnsi="Arial"/>
          <w:sz w:val="21"/>
          <w:szCs w:val="21"/>
          <w:color w:val="auto"/>
        </w:rPr>
      </w:pPr>
      <w:r>
        <w:rPr>
          <w:rFonts w:ascii="Arial" w:cs="Arial" w:eastAsia="Arial" w:hAnsi="Arial"/>
          <w:sz w:val="21"/>
          <w:szCs w:val="21"/>
          <w:color w:val="auto"/>
        </w:rPr>
        <w:t>At any time after any Revolving Lender has purchased and funded a risk participation in a Swing Line Loan, if the Swing Line Lender receives any payment on account of such Swing Line Loan, the Swing Line Lender will distribute to such Revolving Lender its Applicable Revolving Percentage thereof in the same funds as those received by the Swing Line Lender.</w:t>
      </w:r>
    </w:p>
    <w:p>
      <w:pPr>
        <w:spacing w:after="0" w:line="174" w:lineRule="exact"/>
        <w:rPr>
          <w:rFonts w:ascii="Arial" w:cs="Arial" w:eastAsia="Arial" w:hAnsi="Arial"/>
          <w:sz w:val="21"/>
          <w:szCs w:val="21"/>
          <w:color w:val="auto"/>
        </w:rPr>
      </w:pPr>
    </w:p>
    <w:p>
      <w:pPr>
        <w:jc w:val="both"/>
        <w:ind w:left="260" w:right="20" w:firstLine="655"/>
        <w:spacing w:after="0" w:line="247" w:lineRule="auto"/>
        <w:tabs>
          <w:tab w:leader="none" w:pos="1604" w:val="left"/>
        </w:tabs>
        <w:numPr>
          <w:ilvl w:val="1"/>
          <w:numId w:val="72"/>
        </w:numPr>
        <w:rPr>
          <w:rFonts w:ascii="Arial" w:cs="Arial" w:eastAsia="Arial" w:hAnsi="Arial"/>
          <w:sz w:val="21"/>
          <w:szCs w:val="21"/>
          <w:color w:val="auto"/>
        </w:rPr>
      </w:pPr>
      <w:r>
        <w:rPr>
          <w:rFonts w:ascii="Arial" w:cs="Arial" w:eastAsia="Arial" w:hAnsi="Arial"/>
          <w:sz w:val="21"/>
          <w:szCs w:val="21"/>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(including pursuant to any settlement entered into by the Swing Line Lender in its discretion), each Revolving Lender shall pay to the Swing 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w:t>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107" w:name="page108"/>
    <w:bookmarkEnd w:id="107"/>
    <w:p>
      <w:pPr>
        <w:ind w:left="800" w:right="20"/>
        <w:spacing w:after="0" w:line="251" w:lineRule="auto"/>
        <w:rPr>
          <w:sz w:val="20"/>
          <w:szCs w:val="20"/>
          <w:color w:val="auto"/>
        </w:rPr>
      </w:pPr>
      <w:r>
        <w:rPr>
          <w:rFonts w:ascii="Arial" w:cs="Arial" w:eastAsia="Arial" w:hAnsi="Arial"/>
          <w:sz w:val="22"/>
          <w:szCs w:val="22"/>
          <w:color w:val="auto"/>
        </w:rPr>
        <w:t>request of the Swing Line Lender. The obligations of the Revolving Lenders under this clause shall survive the payment in full of the Obligations and the termination of this Agreement.</w:t>
      </w:r>
    </w:p>
    <w:p>
      <w:pPr>
        <w:spacing w:after="0" w:line="174" w:lineRule="exact"/>
        <w:rPr>
          <w:sz w:val="20"/>
          <w:szCs w:val="20"/>
          <w:color w:val="auto"/>
        </w:rPr>
      </w:pPr>
    </w:p>
    <w:p>
      <w:pPr>
        <w:jc w:val="both"/>
        <w:ind w:right="20" w:firstLine="645"/>
        <w:spacing w:after="0" w:line="236" w:lineRule="auto"/>
        <w:tabs>
          <w:tab w:leader="none" w:pos="1293"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Interest for Account of Swing Line Lender</w:t>
      </w:r>
      <w:r>
        <w:rPr>
          <w:rFonts w:ascii="Arial" w:cs="Arial" w:eastAsia="Arial" w:hAnsi="Arial"/>
          <w:sz w:val="22"/>
          <w:szCs w:val="22"/>
          <w:color w:val="auto"/>
        </w:rPr>
        <w:t xml:space="preserve">. The Swing Line Lender shall be responsible for invoicing the Borrowers for interest on the Swing Line Loans. Until each Revolving Lender funds its Base Rate Loan or risk participation pursuant to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to refinance such Revolving Lender’s Applicable Revolving Percentage of any Swing Line Loan, interest in respect of such Applicable Revolving Percentage shall be solely for the account of the Swing Line Lender.</w:t>
      </w:r>
    </w:p>
    <w:p>
      <w:pPr>
        <w:spacing w:after="0" w:line="187" w:lineRule="exact"/>
        <w:rPr>
          <w:rFonts w:ascii="Arial" w:cs="Arial" w:eastAsia="Arial" w:hAnsi="Arial"/>
          <w:sz w:val="22"/>
          <w:szCs w:val="22"/>
          <w:color w:val="auto"/>
        </w:rPr>
      </w:pPr>
    </w:p>
    <w:p>
      <w:pPr>
        <w:ind w:right="20" w:firstLine="645"/>
        <w:spacing w:after="0" w:line="251" w:lineRule="auto"/>
        <w:tabs>
          <w:tab w:leader="none" w:pos="131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Payments Directly to Swing Line Lender</w:t>
      </w:r>
      <w:r>
        <w:rPr>
          <w:rFonts w:ascii="Arial" w:cs="Arial" w:eastAsia="Arial" w:hAnsi="Arial"/>
          <w:sz w:val="22"/>
          <w:szCs w:val="22"/>
          <w:color w:val="auto"/>
        </w:rPr>
        <w:t>. The Borrowers shall make all payments of principal and interest in respect of the Swing Line Loans directly to the Swing Line Lender.</w:t>
      </w:r>
    </w:p>
    <w:p>
      <w:pPr>
        <w:spacing w:after="0" w:line="16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2.05</w:t>
      </w:r>
      <w:r>
        <w:rPr>
          <w:sz w:val="20"/>
          <w:szCs w:val="20"/>
          <w:color w:val="auto"/>
        </w:rPr>
        <w:tab/>
      </w:r>
      <w:r>
        <w:rPr>
          <w:rFonts w:ascii="Arial" w:cs="Arial" w:eastAsia="Arial" w:hAnsi="Arial"/>
          <w:sz w:val="19"/>
          <w:szCs w:val="19"/>
          <w:b w:val="1"/>
          <w:bCs w:val="1"/>
          <w:color w:val="auto"/>
        </w:rPr>
        <w:t>Prepayments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69" w:lineRule="auto"/>
        <w:tabs>
          <w:tab w:leader="none" w:pos="1293"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Borrowers may, upon notice (which notice may be by telephone and immediately confirmed in writing) from the Borrowing Agent to the Administrative Agent, at any time or from time to time voluntarily prepay Term Loans and Revolving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Administrative Agent not later than 11:00 a.m. (A) three Business Days prior to any date of prepayment of Eurodollar Rate Loans and (B) on the date of prepayment of Base Rate Loans; (ii) any prepayment of Eurodollar Rate Loans shall be in a principal amount of $5,000,000 or a whole multiple of $1,000,000 in excess thereof; (iii) any prepayment of Base Rate Loans shall be in a principal amount of $500,000 or a whole multiple of $100,000 in excess thereof or, in each case, if less, the entire principal amount thereof then outstanding; and (iv) subject to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any prepayment of Term Loans shall be applied to the Singapore Term Loans, the Initial Domestic Term Loans and the 2015 Domestic Term Loans on a pro rata basis, based upon the Outstanding Amounts thereof. Each such notice shall specify the date and amount of such prepayment, whether the Loans to be repaid are Term Loans or Revolving Loans and the Type(s) of Loans to be prepaid and, if Eurodollar Rate Loans are to be prepaid, the Interest Period(s) of such Loans, and shall be in a form approved by the Administrative Agent (including any form on an electronic platform or electronic transmission system as shall be approved by the Administrative Agent), appropriately completed and signed by a Responsible Officer of the Borrowing Agent. The Administrative Agent will promptly notify each Lender of its receipt of each such notice, and of the amount of such Lender’s ratable portion of such prepayment (based upon such Lenders’ Applicable Percentage in respect of the relevant Facility). If such notice is given by the Borrowing Agent, the Borrowers shall make such prepayment and the payment amount specified in such notice shall be due and payable on the date specified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the case of a prepayment in anticipation of a refinancing of all or a portion of a Facility, any such notice may state that it is conditioned upon the effectiveness of other credit facilities, in which case such notice may be revoked by the Borrowing Agent (by notice to the Administrative Agent on or prior to the specified date) if such condition is not satisfied. Any prepayment of a Eurodollar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Each prepayment of the outstanding Term Loans pursuant to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shall be applied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08" w:name="page109"/>
    <w:bookmarkEnd w:id="108"/>
    <w:p>
      <w:pPr>
        <w:jc w:val="both"/>
        <w:ind w:right="20"/>
        <w:spacing w:after="0" w:line="241" w:lineRule="auto"/>
        <w:rPr>
          <w:sz w:val="20"/>
          <w:szCs w:val="20"/>
          <w:color w:val="auto"/>
        </w:rPr>
      </w:pPr>
      <w:r>
        <w:rPr>
          <w:rFonts w:ascii="Arial" w:cs="Arial" w:eastAsia="Arial" w:hAnsi="Arial"/>
          <w:sz w:val="22"/>
          <w:szCs w:val="22"/>
          <w:color w:val="auto"/>
        </w:rPr>
        <w:t xml:space="preserve">the principal repayment installments thereof in inverse order of maturity. Subject to </w:t>
      </w:r>
      <w:r>
        <w:rPr>
          <w:rFonts w:ascii="Arial" w:cs="Arial" w:eastAsia="Arial" w:hAnsi="Arial"/>
          <w:sz w:val="22"/>
          <w:szCs w:val="22"/>
          <w:u w:val="single" w:color="auto"/>
          <w:color w:val="auto"/>
        </w:rPr>
        <w:t>Section 2.16</w:t>
      </w:r>
      <w:r>
        <w:rPr>
          <w:rFonts w:ascii="Arial" w:cs="Arial" w:eastAsia="Arial" w:hAnsi="Arial"/>
          <w:sz w:val="22"/>
          <w:szCs w:val="22"/>
          <w:color w:val="auto"/>
        </w:rPr>
        <w:t>, each such prepayment shall be applied to the Loans of the Lenders in accordance with their respective Applicable Percentages in respect of the relevant Facilities.</w:t>
      </w:r>
    </w:p>
    <w:p>
      <w:pPr>
        <w:spacing w:after="0" w:line="184" w:lineRule="exact"/>
        <w:rPr>
          <w:sz w:val="20"/>
          <w:szCs w:val="20"/>
          <w:color w:val="auto"/>
        </w:rPr>
      </w:pPr>
    </w:p>
    <w:p>
      <w:pPr>
        <w:jc w:val="both"/>
        <w:ind w:firstLine="645"/>
        <w:spacing w:after="0" w:line="245" w:lineRule="auto"/>
        <w:tabs>
          <w:tab w:leader="none" w:pos="1305"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The Borrowers may, upon notice from the Borrowing Agent to the Swing Line Lender (with a copy to the Administrative Agent), at any time or from time to time, voluntarily prepay Swing Line Loans in whole or in part without premium or penalty;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and shall be in a form approved by the Administrative Agent (including any form on an electronic platform or electronic transmission system as shall be approved by the Administrative Agent), appropriately completed and signed by a Responsible Officer of the Borrowing Agent. If such notice is given by the Borrower, the Borrowers shall make such prepayment and the payment amount specified in such notice shall be due and payable on the date specified therein.</w:t>
      </w:r>
    </w:p>
    <w:p>
      <w:pPr>
        <w:spacing w:after="0" w:line="181" w:lineRule="exact"/>
        <w:rPr>
          <w:rFonts w:ascii="Arial" w:cs="Arial" w:eastAsia="Arial" w:hAnsi="Arial"/>
          <w:sz w:val="21"/>
          <w:szCs w:val="21"/>
          <w:color w:val="auto"/>
        </w:rPr>
      </w:pPr>
    </w:p>
    <w:p>
      <w:pPr>
        <w:ind w:left="1280" w:hanging="635"/>
        <w:spacing w:after="0"/>
        <w:tabs>
          <w:tab w:leader="none" w:pos="12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300" w:hanging="655"/>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Mandatory Prepayments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2.05(e)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00" w:firstLine="655"/>
        <w:spacing w:after="0" w:line="270" w:lineRule="auto"/>
        <w:tabs>
          <w:tab w:leader="none" w:pos="2111"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Dispositions of Assets</w:t>
      </w:r>
      <w:r>
        <w:rPr>
          <w:rFonts w:ascii="Arial" w:cs="Arial" w:eastAsia="Arial" w:hAnsi="Arial"/>
          <w:sz w:val="19"/>
          <w:szCs w:val="19"/>
          <w:color w:val="auto"/>
        </w:rPr>
        <w:t xml:space="preserve">. If any Loan Party or any of their respective Restricted Subsidiaries Disposes of any properties or assets (other than any Disposition of any properties or assets permitted by any of </w:t>
      </w:r>
      <w:r>
        <w:rPr>
          <w:rFonts w:ascii="Arial" w:cs="Arial" w:eastAsia="Arial" w:hAnsi="Arial"/>
          <w:sz w:val="19"/>
          <w:szCs w:val="19"/>
          <w:u w:val="single" w:color="auto"/>
          <w:color w:val="auto"/>
        </w:rPr>
        <w:t>Sections 7.05</w:t>
      </w:r>
      <w:r>
        <w:rPr>
          <w:rFonts w:ascii="Arial" w:cs="Arial" w:eastAsia="Arial" w:hAnsi="Arial"/>
          <w:sz w:val="19"/>
          <w:szCs w:val="19"/>
          <w:color w:val="auto"/>
        </w:rPr>
        <w:t xml:space="preserve">) in a single or series of related transactions which results in the realization by such Person of Net Cash Proceeds in excess of the Threshold Amount that has not been previously applied to mandatory prepayment, an aggregate principal amount of Loans equal to 100% of the amount of all such Net Cash Proceeds shall be prepaid promptly (but in any case within fifteen (15) Business Days) after receipt thereof by such Loan Party or Restricted Subsidiary and the expiration of the reinvestment period applicable thereto as specified in the proviso to the following sentence.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Disposition or Dispositions;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Net Cash Proceeds otherwise resulting from any Disposition shall be computed net of cash amounts utilized by WFS or any of its Restricted Subsidiaries within two hundred seventy (270) days of such Disposition to purchase replacement or other assets useful to the operation of the business of WFS or any of its Restricted Subsidiaries (or the 90th day after expiry of such 270-day period if WFS or any of its Restricted Subsidiaries has entered into a legally binding commitment to utilize such proceeds in accordance with the foregoing).</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800" w:right="20" w:firstLine="655"/>
        <w:spacing w:after="0" w:line="238" w:lineRule="auto"/>
        <w:tabs>
          <w:tab w:leader="none" w:pos="2144"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xml:space="preserve">. Within fifteen (15) Business Days after receipt of proceeds from each private or public issuance or incurrence of any Loan Party or any of its Restricted Subsidiaries of any Indebtedness (other than Indebtedness permitted by </w:t>
      </w:r>
      <w:r>
        <w:rPr>
          <w:rFonts w:ascii="Arial" w:cs="Arial" w:eastAsia="Arial" w:hAnsi="Arial"/>
          <w:sz w:val="22"/>
          <w:szCs w:val="22"/>
          <w:u w:val="single" w:color="auto"/>
          <w:color w:val="auto"/>
        </w:rPr>
        <w:t>Section 7.03</w:t>
      </w:r>
      <w:r>
        <w:rPr>
          <w:rFonts w:ascii="Arial" w:cs="Arial" w:eastAsia="Arial" w:hAnsi="Arial"/>
          <w:sz w:val="22"/>
          <w:szCs w:val="22"/>
          <w:color w:val="auto"/>
        </w:rPr>
        <w:t>), an aggregate principal amount of Loans equal to 100% of all Net Cash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09" w:name="page110"/>
    <w:bookmarkEnd w:id="109"/>
    <w:p>
      <w:pPr>
        <w:jc w:val="both"/>
        <w:ind w:left="800"/>
        <w:spacing w:after="0" w:line="287" w:lineRule="auto"/>
        <w:rPr>
          <w:sz w:val="20"/>
          <w:szCs w:val="20"/>
          <w:color w:val="auto"/>
        </w:rPr>
      </w:pPr>
      <w:r>
        <w:rPr>
          <w:rFonts w:ascii="Arial" w:cs="Arial" w:eastAsia="Arial" w:hAnsi="Arial"/>
          <w:sz w:val="19"/>
          <w:szCs w:val="19"/>
          <w:color w:val="auto"/>
        </w:rPr>
        <w:t>Proceeds received therefrom shall be prepaid.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issuance or incurrence.</w:t>
      </w:r>
    </w:p>
    <w:p>
      <w:pPr>
        <w:spacing w:after="0" w:line="144" w:lineRule="exact"/>
        <w:rPr>
          <w:sz w:val="20"/>
          <w:szCs w:val="20"/>
          <w:color w:val="auto"/>
        </w:rPr>
      </w:pPr>
    </w:p>
    <w:p>
      <w:pPr>
        <w:jc w:val="both"/>
        <w:ind w:left="800" w:firstLine="655"/>
        <w:spacing w:after="0" w:line="271" w:lineRule="auto"/>
        <w:tabs>
          <w:tab w:leader="none" w:pos="216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Extraordinary Receipts</w:t>
      </w:r>
      <w:r>
        <w:rPr>
          <w:rFonts w:ascii="Arial" w:cs="Arial" w:eastAsia="Arial" w:hAnsi="Arial"/>
          <w:sz w:val="19"/>
          <w:szCs w:val="19"/>
          <w:color w:val="auto"/>
        </w:rPr>
        <w:t xml:space="preserve">. Within fifteen (15) Business Days of any Extraordinary Receipt in excess of the Threshold Amount received by or paid to or for the account of any Loan Party or any of their respective Restricted Subsidiaries and the expiration of any reinvestment period applicable thereto as specified in the proviso to the following sentence, an aggregate principal amount of Loans equal to 100% of all Net Cash Proceeds received therefrom shall be prepaid.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Extraordinary Receipt;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Net Cash Proceeds otherwise resulting from any Extraordinary Receipts shall be computed net of cash amounts utilized by WFS or any of its Restricted Subsidiaries within two hundred seventy (270) days of receipt of such Extraordinary Receipts to acquire replacement assets for, restore or make repairs to, the affected assets giving rise to such Extraordinary Receipts (or the 90th day after expiry of such 270-day period if WFS or any of its Restricted Subsidiaries has entered into a legally binding commitment to utilize such proceeds in accordance with the foregoing).</w:t>
      </w:r>
    </w:p>
    <w:p>
      <w:pPr>
        <w:spacing w:after="0" w:line="165" w:lineRule="exact"/>
        <w:rPr>
          <w:rFonts w:ascii="Arial" w:cs="Arial" w:eastAsia="Arial" w:hAnsi="Arial"/>
          <w:sz w:val="19"/>
          <w:szCs w:val="19"/>
          <w:color w:val="auto"/>
        </w:rPr>
      </w:pPr>
    </w:p>
    <w:p>
      <w:pPr>
        <w:jc w:val="both"/>
        <w:ind w:left="800" w:firstLine="655"/>
        <w:spacing w:after="0" w:line="247" w:lineRule="auto"/>
        <w:tabs>
          <w:tab w:leader="none" w:pos="2152"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Overadvances</w:t>
      </w:r>
      <w:r>
        <w:rPr>
          <w:rFonts w:ascii="Arial" w:cs="Arial" w:eastAsia="Arial" w:hAnsi="Arial"/>
          <w:sz w:val="21"/>
          <w:szCs w:val="21"/>
          <w:color w:val="auto"/>
        </w:rPr>
        <w:t xml:space="preserve">. If the Administrative Agent notifies the Borrowing Agent that the Total Revolving Outstandings at such time exceed the Aggregate Revolving Commitments then in effect, the Borrowers shall immediately prepay Revolving Loans and/or Cash Collateralize the L/C-BA Obligations in an aggregate amount equal to such excess;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Borrowers shall not be required to Cash Collateralize the L/C-BA Obligations pursuant to this </w:t>
      </w:r>
      <w:r>
        <w:rPr>
          <w:rFonts w:ascii="Arial" w:cs="Arial" w:eastAsia="Arial" w:hAnsi="Arial"/>
          <w:sz w:val="21"/>
          <w:szCs w:val="21"/>
          <w:u w:val="single" w:color="auto"/>
          <w:color w:val="auto"/>
        </w:rPr>
        <w:t>Section 2.05(c)</w:t>
      </w:r>
      <w:r>
        <w:rPr>
          <w:rFonts w:ascii="Arial" w:cs="Arial" w:eastAsia="Arial" w:hAnsi="Arial"/>
          <w:sz w:val="21"/>
          <w:szCs w:val="21"/>
          <w:color w:val="auto"/>
        </w:rPr>
        <w:t xml:space="preserve"> unless after the prepayment in full of the Revolving Loans and Swing Line Loans the Total Revolving Outstandings exceed the Aggregate Revolving Commitments then in effect.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Each prepayment of Loans pursuant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shall be applied first to the repayment of the principal amount of the Initial Domestic Term Loan, the 2015 Domestic Term Loan and the Singapore Term Loan, on a pro rata basis, (to be applied to the principal repayment installments of each of the Initial Domestic Term Loan, 2015 Domestic Term Loan and the Singapore Term Loan in inverse order of maturity), and second to the repayment of the principal amount of Revolving Loans then outstanding (without any reduction of the Revolving Commitments). Amounts to be applied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the prepayment of Revolving Loans or the Initial Domestic Term Loans, the 2015 Domestic Term Loans and Singapore Term Loans shall be applied, as applicable, first to reduce outstanding Base Rate Loans. Any amounts remaining after each such application shall be applied to prepay Eurodollar Rate Loans. Notwithstanding the foregoing, if the amount of any prepayment of Loans required under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be in excess of the amount of the outstanding Base Rate Loans, only the portion of the amount of such prepayment as is equal to the amount of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10" w:name="page111"/>
    <w:bookmarkEnd w:id="110"/>
    <w:p>
      <w:pPr>
        <w:jc w:val="both"/>
        <w:spacing w:after="0" w:line="235" w:lineRule="auto"/>
        <w:rPr>
          <w:sz w:val="20"/>
          <w:szCs w:val="20"/>
          <w:color w:val="auto"/>
        </w:rPr>
      </w:pPr>
      <w:r>
        <w:rPr>
          <w:rFonts w:ascii="Arial" w:cs="Arial" w:eastAsia="Arial" w:hAnsi="Arial"/>
          <w:sz w:val="22"/>
          <w:szCs w:val="22"/>
          <w:color w:val="auto"/>
        </w:rPr>
        <w:t xml:space="preserve">outstanding Base Rate Loans shall be immediately prepaid and, at the election of Borrower, the balance of such required prepayment shall be either (A) deposited in a collateral account and applied to the prepayment of Eurodollar Rate Loans on the last day of the then next-expiring Interest Period therefor (with all interest accruing thereon for the account of Borrower) or (B) prepaid immediately, together with any amounts owing to the Lenders under </w:t>
      </w:r>
      <w:r>
        <w:rPr>
          <w:rFonts w:ascii="Arial" w:cs="Arial" w:eastAsia="Arial" w:hAnsi="Arial"/>
          <w:sz w:val="22"/>
          <w:szCs w:val="22"/>
          <w:u w:val="single" w:color="auto"/>
          <w:color w:val="auto"/>
        </w:rPr>
        <w:t>Section 3.05</w:t>
      </w:r>
      <w:r>
        <w:rPr>
          <w:rFonts w:ascii="Arial" w:cs="Arial" w:eastAsia="Arial" w:hAnsi="Arial"/>
          <w:sz w:val="22"/>
          <w:szCs w:val="22"/>
          <w:color w:val="auto"/>
        </w:rPr>
        <w:t>. Notwithstanding any such deposit in a collateral account, interest shall continue to accrue on such Eurodollar Rate Loans until prepayment.</w:t>
      </w:r>
    </w:p>
    <w:p>
      <w:pPr>
        <w:spacing w:after="0" w:line="189" w:lineRule="exact"/>
        <w:rPr>
          <w:sz w:val="20"/>
          <w:szCs w:val="20"/>
          <w:color w:val="auto"/>
        </w:rPr>
      </w:pPr>
    </w:p>
    <w:p>
      <w:pPr>
        <w:jc w:val="both"/>
        <w:ind w:right="20" w:firstLine="645"/>
        <w:spacing w:after="0" w:line="297" w:lineRule="auto"/>
        <w:tabs>
          <w:tab w:leader="none" w:pos="1293"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 Effect on Obligations of WFS Europe or WFS Singapore</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 the obligations of each of WFS Europe and WFS Singapore with respect to prepayment of Loans shall not exceed their respective share of the obligations in respect of the Loans to which such prepayment is to be applied.</w:t>
      </w:r>
    </w:p>
    <w:p>
      <w:pPr>
        <w:spacing w:after="0" w:line="12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2.06</w:t>
      </w:r>
      <w:r>
        <w:rPr>
          <w:sz w:val="20"/>
          <w:szCs w:val="20"/>
          <w:color w:val="auto"/>
        </w:rPr>
        <w:tab/>
      </w:r>
      <w:r>
        <w:rPr>
          <w:rFonts w:ascii="Arial" w:cs="Arial" w:eastAsia="Arial" w:hAnsi="Arial"/>
          <w:sz w:val="19"/>
          <w:szCs w:val="19"/>
          <w:b w:val="1"/>
          <w:bCs w:val="1"/>
          <w:color w:val="auto"/>
        </w:rPr>
        <w:t>Termination or Reduction of Commitments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43" w:lineRule="auto"/>
        <w:tabs>
          <w:tab w:leader="none" w:pos="1293"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Optional</w:t>
      </w:r>
      <w:r>
        <w:rPr>
          <w:rFonts w:ascii="Arial" w:cs="Arial" w:eastAsia="Arial" w:hAnsi="Arial"/>
          <w:sz w:val="21"/>
          <w:szCs w:val="21"/>
          <w:color w:val="auto"/>
        </w:rPr>
        <w:t xml:space="preserve">. The Borrowing Agent may, upon notice to the Administrative Agent, terminate the Aggregate Revolving Commitments, or from time to time permanently reduce the Aggregate Revolving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Borrowing Agent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L/C-BA Sublimit or the Swing Line Sublimit exceeds the amount of the Aggregate Revolving Commitments, the applicable sublimit shall be automatically reduced by the amount of such excess. The Administrative Agent will promptly notify the Revolving Lenders of any such notice of termination or reduction of the Aggregate Revolving Commitments. Any reduction of the Aggregate Revolving Commitments shall be applied to the Revolving Commitment of each Revolving Lender according to its Applicable Revolving Percentage. All fees accrued until the effective date of any termination of the Aggregate Revolving Commitments shall be paid on the effective date of such termination.</w:t>
      </w:r>
    </w:p>
    <w:p>
      <w:pPr>
        <w:spacing w:after="0" w:line="194" w:lineRule="exact"/>
        <w:rPr>
          <w:rFonts w:ascii="Arial" w:cs="Arial" w:eastAsia="Arial" w:hAnsi="Arial"/>
          <w:sz w:val="21"/>
          <w:szCs w:val="21"/>
          <w:color w:val="auto"/>
        </w:rPr>
      </w:pPr>
    </w:p>
    <w:p>
      <w:pPr>
        <w:ind w:firstLine="645"/>
        <w:spacing w:after="0" w:line="251" w:lineRule="auto"/>
        <w:tabs>
          <w:tab w:leader="none" w:pos="1305"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Mandatory</w:t>
      </w:r>
      <w:r>
        <w:rPr>
          <w:rFonts w:ascii="Arial" w:cs="Arial" w:eastAsia="Arial" w:hAnsi="Arial"/>
          <w:sz w:val="22"/>
          <w:szCs w:val="22"/>
          <w:color w:val="auto"/>
        </w:rPr>
        <w:t>. (i) As of the Closing Date, aggregate Domestic Term Loan Commitments and the aggregate Singapore Term Loan Commitments are zero.</w:t>
      </w:r>
    </w:p>
    <w:p>
      <w:pPr>
        <w:spacing w:after="0" w:line="173" w:lineRule="exact"/>
        <w:rPr>
          <w:rFonts w:ascii="Arial" w:cs="Arial" w:eastAsia="Arial" w:hAnsi="Arial"/>
          <w:sz w:val="22"/>
          <w:szCs w:val="22"/>
          <w:color w:val="auto"/>
        </w:rPr>
      </w:pPr>
    </w:p>
    <w:p>
      <w:pPr>
        <w:jc w:val="both"/>
        <w:ind w:left="640" w:firstLine="653"/>
        <w:spacing w:after="0" w:line="238" w:lineRule="auto"/>
        <w:tabs>
          <w:tab w:leader="none" w:pos="1930"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If after giving effect to any reduction or termination of Revolving Commitments under this </w:t>
      </w:r>
      <w:r>
        <w:rPr>
          <w:rFonts w:ascii="Arial" w:cs="Arial" w:eastAsia="Arial" w:hAnsi="Arial"/>
          <w:sz w:val="22"/>
          <w:szCs w:val="22"/>
          <w:u w:val="single" w:color="auto"/>
          <w:color w:val="auto"/>
        </w:rPr>
        <w:t>Section 2.06</w:t>
      </w:r>
      <w:r>
        <w:rPr>
          <w:rFonts w:ascii="Arial" w:cs="Arial" w:eastAsia="Arial" w:hAnsi="Arial"/>
          <w:sz w:val="22"/>
          <w:szCs w:val="22"/>
          <w:color w:val="auto"/>
        </w:rPr>
        <w:t>, the Letter of Credit Sublimit or the Swing Line Sublimit exceeds the Aggregate Revolving Commitments at such time, the Letter of Credit Sublimit or the Swing Line Sublimit, as the case may be, shall be automatically reduced by the amount of such excess.</w:t>
      </w:r>
    </w:p>
    <w:p>
      <w:pPr>
        <w:spacing w:after="0" w:line="185" w:lineRule="exact"/>
        <w:rPr>
          <w:rFonts w:ascii="Arial" w:cs="Arial" w:eastAsia="Arial" w:hAnsi="Arial"/>
          <w:sz w:val="22"/>
          <w:szCs w:val="22"/>
          <w:color w:val="auto"/>
        </w:rPr>
      </w:pPr>
    </w:p>
    <w:p>
      <w:pPr>
        <w:jc w:val="both"/>
        <w:ind w:firstLine="645"/>
        <w:spacing w:after="0" w:line="236" w:lineRule="auto"/>
        <w:tabs>
          <w:tab w:leader="none" w:pos="1293"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Application of Commitment Reductions; Payment of Fees</w:t>
      </w:r>
      <w:r>
        <w:rPr>
          <w:rFonts w:ascii="Arial" w:cs="Arial" w:eastAsia="Arial" w:hAnsi="Arial"/>
          <w:sz w:val="22"/>
          <w:szCs w:val="22"/>
          <w:color w:val="auto"/>
        </w:rPr>
        <w:t xml:space="preserve">. The Administrative Agent will promptly notify the Lenders of any termination or reduction of the Letter of Credit Sublimit, Swing Line Sublimit or the Revolving Commitment under this </w:t>
      </w:r>
      <w:r>
        <w:rPr>
          <w:rFonts w:ascii="Arial" w:cs="Arial" w:eastAsia="Arial" w:hAnsi="Arial"/>
          <w:sz w:val="22"/>
          <w:szCs w:val="22"/>
          <w:u w:val="single" w:color="auto"/>
          <w:color w:val="auto"/>
        </w:rPr>
        <w:t>Section 2.06</w:t>
      </w:r>
      <w:r>
        <w:rPr>
          <w:rFonts w:ascii="Arial" w:cs="Arial" w:eastAsia="Arial" w:hAnsi="Arial"/>
          <w:sz w:val="22"/>
          <w:szCs w:val="22"/>
          <w:color w:val="auto"/>
        </w:rPr>
        <w:t>. Upon any reduction of the Revolving Commitments, the Revolving Commitment of each Revolving Lender shall be reduced by such Lender’s Applicable Revolving Percentage of such reduction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11" w:name="page112"/>
    <w:bookmarkEnd w:id="111"/>
    <w:p>
      <w:pPr>
        <w:spacing w:after="0" w:line="251" w:lineRule="auto"/>
        <w:rPr>
          <w:sz w:val="20"/>
          <w:szCs w:val="20"/>
          <w:color w:val="auto"/>
        </w:rPr>
      </w:pPr>
      <w:r>
        <w:rPr>
          <w:rFonts w:ascii="Arial" w:cs="Arial" w:eastAsia="Arial" w:hAnsi="Arial"/>
          <w:sz w:val="22"/>
          <w:szCs w:val="22"/>
          <w:color w:val="auto"/>
        </w:rPr>
        <w:t>All fees in respect of the Revolving Credit Facility accrued until the effective date of any termination of the Revolving Credit Facility shall be paid on the effective date of such termination.</w:t>
      </w:r>
    </w:p>
    <w:p>
      <w:pPr>
        <w:spacing w:after="0" w:line="16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color w:val="auto"/>
        </w:rPr>
        <w:t>Repayment of Loans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87" w:lineRule="auto"/>
        <w:tabs>
          <w:tab w:leader="none" w:pos="129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Initial Domestic Term Loans</w:t>
      </w:r>
      <w:r>
        <w:rPr>
          <w:rFonts w:ascii="Arial" w:cs="Arial" w:eastAsia="Arial" w:hAnsi="Arial"/>
          <w:sz w:val="19"/>
          <w:szCs w:val="19"/>
          <w:color w:val="auto"/>
        </w:rPr>
        <w:t xml:space="preserve">. WFS shall repay to the Initial Domestic Term Loan Lenders the aggregate principal amount of all Initial Domestic Term Loans outstanding on the following dates in the respective amounts set forth opposite such dates (which amounts shall be reduced as a result of the application of prepayments in accordance with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if applicable, and with the order of priority set forth in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145" w:lineRule="exact"/>
        <w:rPr>
          <w:sz w:val="20"/>
          <w:szCs w:val="20"/>
          <w:color w:val="auto"/>
        </w:rPr>
      </w:pPr>
    </w:p>
    <w:tbl>
      <w:tblPr>
        <w:tblLayout w:type="fixed"/>
        <w:tblInd w:w="2430" w:type="dxa"/>
        <w:tblCellMar>
          <w:top w:w="0" w:type="dxa"/>
          <w:left w:w="0" w:type="dxa"/>
          <w:bottom w:w="0" w:type="dxa"/>
          <w:right w:w="0" w:type="dxa"/>
        </w:tblCellMar>
      </w:tblPr>
      <w:tr>
        <w:trPr>
          <w:trHeight w:val="257"/>
        </w:trPr>
        <w:tc>
          <w:tcPr>
            <w:tcW w:w="2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Amount</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2013</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$1,940,000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$1,940,000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$1,940,000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$1,940,000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$2,910,000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$2,910,000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$2,910,000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$2,910,000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$3,880,000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$3,880,000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$3,880,000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$3,880,000</w:t>
            </w:r>
          </w:p>
        </w:tc>
      </w:tr>
      <w:tr>
        <w:trPr>
          <w:trHeight w:val="215"/>
        </w:trPr>
        <w:tc>
          <w:tcPr>
            <w:tcW w:w="242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Maturity Date</w:t>
            </w:r>
          </w:p>
        </w:tc>
        <w:tc>
          <w:tcPr>
            <w:tcW w:w="24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All remaining amounts</w:t>
            </w:r>
          </w:p>
        </w:tc>
      </w:tr>
      <w:tr>
        <w:trPr>
          <w:trHeight w:val="265"/>
        </w:trPr>
        <w:tc>
          <w:tcPr>
            <w:tcW w:w="2420" w:type="dxa"/>
            <w:vAlign w:val="bottom"/>
            <w:tcBorders>
              <w:left w:val="single" w:sz="8" w:color="auto"/>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outstanding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34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final principal repayment installment of the Initial Domestic Term Loans shall be repaid on the Maturity Date for the Initial Domestic Term Loan Facility and in any event shall be in an amount equal to the aggregate principal amount of all Initial Domestic Term Loans outstanding.</w:t>
      </w:r>
    </w:p>
    <w:p>
      <w:pPr>
        <w:spacing w:after="0" w:line="186" w:lineRule="exact"/>
        <w:rPr>
          <w:sz w:val="20"/>
          <w:szCs w:val="20"/>
          <w:color w:val="auto"/>
        </w:rPr>
      </w:pPr>
    </w:p>
    <w:p>
      <w:pPr>
        <w:jc w:val="both"/>
        <w:ind w:firstLine="645"/>
        <w:spacing w:after="0" w:line="287" w:lineRule="auto"/>
        <w:tabs>
          <w:tab w:leader="none" w:pos="130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2015 Domestic Term Loans</w:t>
      </w:r>
      <w:r>
        <w:rPr>
          <w:rFonts w:ascii="Arial" w:cs="Arial" w:eastAsia="Arial" w:hAnsi="Arial"/>
          <w:sz w:val="19"/>
          <w:szCs w:val="19"/>
          <w:color w:val="auto"/>
        </w:rPr>
        <w:t xml:space="preserve">. WFS shall repay to the 2015 Domestic Term Loan Lenders the aggregate principal amount of all 2015 Domestic Term Loans outstanding on the following dates in the respective amounts set forth opposite such dates (which amounts shall be reduced as a result of the application of prepayments in accordance with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if applicable, and with the order of priority set forth in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8" w:right="899" w:bottom="1440" w:gutter="0" w:footer="0" w:header="0"/>
        </w:sectPr>
      </w:pPr>
    </w:p>
    <w:bookmarkStart w:id="112" w:name="page113"/>
    <w:bookmarkEnd w:id="112"/>
    <w:tbl>
      <w:tblPr>
        <w:tblLayout w:type="fixed"/>
        <w:tblInd w:w="2430" w:type="dxa"/>
        <w:tblCellMar>
          <w:top w:w="0" w:type="dxa"/>
          <w:left w:w="0" w:type="dxa"/>
          <w:bottom w:w="0" w:type="dxa"/>
          <w:right w:w="0" w:type="dxa"/>
        </w:tblCellMar>
      </w:tblPr>
      <w:tr>
        <w:trPr>
          <w:trHeight w:val="257"/>
        </w:trPr>
        <w:tc>
          <w:tcPr>
            <w:tcW w:w="2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Amount</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$1,500,000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$2,000,000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$2,000,000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$2,000,000</w:t>
            </w:r>
          </w:p>
        </w:tc>
      </w:tr>
      <w:tr>
        <w:trPr>
          <w:trHeight w:val="215"/>
        </w:trPr>
        <w:tc>
          <w:tcPr>
            <w:tcW w:w="242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Maturity Date</w:t>
            </w:r>
          </w:p>
        </w:tc>
        <w:tc>
          <w:tcPr>
            <w:tcW w:w="24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All remaining amounts</w:t>
            </w:r>
          </w:p>
        </w:tc>
      </w:tr>
      <w:tr>
        <w:trPr>
          <w:trHeight w:val="265"/>
        </w:trPr>
        <w:tc>
          <w:tcPr>
            <w:tcW w:w="2420" w:type="dxa"/>
            <w:vAlign w:val="bottom"/>
            <w:tcBorders>
              <w:left w:val="single" w:sz="8" w:color="auto"/>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outstanding</w:t>
            </w:r>
          </w:p>
        </w:tc>
      </w:tr>
    </w:tbl>
    <w:p>
      <w:pPr>
        <w:spacing w:after="0" w:line="222" w:lineRule="exact"/>
        <w:rPr>
          <w:sz w:val="20"/>
          <w:szCs w:val="20"/>
          <w:color w:val="auto"/>
        </w:rPr>
      </w:pPr>
    </w:p>
    <w:p>
      <w:pPr>
        <w:jc w:val="both"/>
        <w:ind w:right="40"/>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final principal repayment installment of the 2015 Domestic Term Loans shall be repaid on the Maturity Date for the 2015 Domestic Term Loan Facility and in any event shall be in an amount equal to the aggregate principal amount of all 2015 Domestic Term Loans outstanding.</w:t>
      </w:r>
    </w:p>
    <w:p>
      <w:pPr>
        <w:spacing w:after="0" w:line="186" w:lineRule="exact"/>
        <w:rPr>
          <w:sz w:val="20"/>
          <w:szCs w:val="20"/>
          <w:color w:val="auto"/>
        </w:rPr>
      </w:pPr>
    </w:p>
    <w:p>
      <w:pPr>
        <w:jc w:val="both"/>
        <w:ind w:right="40" w:firstLine="645"/>
        <w:spacing w:after="0" w:line="287" w:lineRule="auto"/>
        <w:tabs>
          <w:tab w:leader="none" w:pos="129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Singapore Term Loans</w:t>
      </w:r>
      <w:r>
        <w:rPr>
          <w:rFonts w:ascii="Arial" w:cs="Arial" w:eastAsia="Arial" w:hAnsi="Arial"/>
          <w:sz w:val="19"/>
          <w:szCs w:val="19"/>
          <w:color w:val="auto"/>
        </w:rPr>
        <w:t xml:space="preserve">. WFS Singapore shall repay to the Singapore Term Loan Lenders the aggregate principal amount of all Singapore Term Loans outstanding on the following dates in the respective amounts set forth opposite such dates (which amounts shall be reduced as a result of the application of prepayments in accordance with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if applicable, and with the order of priority set forth in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40" w:type="dxa"/>
            <w:vAlign w:val="bottom"/>
            <w:tcBorders>
              <w:right w:val="single" w:sz="8" w:color="auto"/>
            </w:tcBorders>
          </w:tcPr>
          <w:p>
            <w:pPr>
              <w:spacing w:after="0"/>
              <w:rPr>
                <w:sz w:val="22"/>
                <w:szCs w:val="22"/>
                <w:color w:val="auto"/>
              </w:rPr>
            </w:pP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2400" w:type="dxa"/>
            <w:vAlign w:val="bottom"/>
            <w:tcBorders>
              <w:top w:val="single" w:sz="8" w:color="auto"/>
              <w:bottom w:val="single" w:sz="8" w:color="auto"/>
              <w:right w:val="single" w:sz="8" w:color="auto"/>
            </w:tcBorders>
          </w:tcPr>
          <w:p>
            <w:pPr>
              <w:jc w:val="right"/>
              <w:ind w:right="732"/>
              <w:spacing w:after="0"/>
              <w:rPr>
                <w:sz w:val="20"/>
                <w:szCs w:val="20"/>
                <w:color w:val="auto"/>
              </w:rPr>
            </w:pPr>
            <w:r>
              <w:rPr>
                <w:rFonts w:ascii="Arial" w:cs="Arial" w:eastAsia="Arial" w:hAnsi="Arial"/>
                <w:sz w:val="22"/>
                <w:szCs w:val="22"/>
                <w:b w:val="1"/>
                <w:bCs w:val="1"/>
                <w:color w:val="auto"/>
              </w:rPr>
              <w:t>Amount</w:t>
            </w:r>
          </w:p>
        </w:tc>
        <w:tc>
          <w:tcPr>
            <w:tcW w:w="2900" w:type="dxa"/>
            <w:vAlign w:val="bottom"/>
          </w:tcPr>
          <w:p>
            <w:pPr>
              <w:spacing w:after="0"/>
              <w:rPr>
                <w:sz w:val="22"/>
                <w:szCs w:val="22"/>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2013</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2014</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$242,500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$242,500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$242,500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$242,500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$485,000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$485,000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$485,000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$485,000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2016</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$727,500</w:t>
            </w:r>
          </w:p>
        </w:tc>
        <w:tc>
          <w:tcPr>
            <w:tcW w:w="2900" w:type="dxa"/>
            <w:vAlign w:val="bottom"/>
          </w:tcPr>
          <w:p>
            <w:pPr>
              <w:spacing w:after="0"/>
              <w:rPr>
                <w:sz w:val="20"/>
                <w:szCs w:val="20"/>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$727,500</w:t>
            </w:r>
          </w:p>
        </w:tc>
        <w:tc>
          <w:tcPr>
            <w:tcW w:w="2900" w:type="dxa"/>
            <w:vAlign w:val="bottom"/>
          </w:tcPr>
          <w:p>
            <w:pPr>
              <w:spacing w:after="0"/>
              <w:rPr>
                <w:sz w:val="20"/>
                <w:szCs w:val="20"/>
                <w:color w:val="auto"/>
              </w:rPr>
            </w:pPr>
          </w:p>
        </w:tc>
      </w:tr>
      <w:tr>
        <w:trPr>
          <w:trHeight w:val="706"/>
        </w:trPr>
        <w:tc>
          <w:tcPr>
            <w:tcW w:w="2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0" w:type="dxa"/>
            <w:vAlign w:val="bottom"/>
          </w:tcPr>
          <w:p>
            <w:pPr>
              <w:jc w:val="right"/>
              <w:ind w:right="1972"/>
              <w:spacing w:after="0"/>
              <w:rPr>
                <w:sz w:val="20"/>
                <w:szCs w:val="20"/>
                <w:color w:val="auto"/>
              </w:rPr>
            </w:pPr>
            <w:r>
              <w:rPr>
                <w:rFonts w:ascii="Arial" w:cs="Arial" w:eastAsia="Arial" w:hAnsi="Arial"/>
                <w:sz w:val="22"/>
                <w:szCs w:val="22"/>
                <w:color w:val="auto"/>
              </w:rPr>
              <w:t>68</w:t>
            </w:r>
          </w:p>
        </w:tc>
        <w:tc>
          <w:tcPr>
            <w:tcW w:w="2900" w:type="dxa"/>
            <w:vAlign w:val="bottom"/>
          </w:tcPr>
          <w:p>
            <w:pPr>
              <w:spacing w:after="0"/>
              <w:rPr>
                <w:sz w:val="24"/>
                <w:szCs w:val="24"/>
                <w:color w:val="auto"/>
              </w:rPr>
            </w:pPr>
          </w:p>
        </w:tc>
      </w:tr>
      <w:tr>
        <w:trPr>
          <w:trHeight w:val="98"/>
        </w:trPr>
        <w:tc>
          <w:tcPr>
            <w:tcW w:w="24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r>
      <w:tr>
        <w:trPr>
          <w:trHeight w:val="20"/>
        </w:trPr>
        <w:tc>
          <w:tcPr>
            <w:tcW w:w="2440" w:type="dxa"/>
            <w:vAlign w:val="bottom"/>
            <w:tcBorders>
              <w:bottom w:val="single" w:sz="8" w:color="EEEEEE"/>
            </w:tcBorders>
          </w:tcPr>
          <w:p>
            <w:pPr>
              <w:spacing w:after="0" w:line="20" w:lineRule="exact"/>
              <w:rPr>
                <w:sz w:val="1"/>
                <w:szCs w:val="1"/>
                <w:color w:val="auto"/>
              </w:rPr>
            </w:pPr>
          </w:p>
        </w:tc>
        <w:tc>
          <w:tcPr>
            <w:tcW w:w="2400" w:type="dxa"/>
            <w:vAlign w:val="bottom"/>
            <w:tcBorders>
              <w:bottom w:val="single" w:sz="8" w:color="EEEEEE"/>
            </w:tcBorders>
          </w:tcPr>
          <w:p>
            <w:pPr>
              <w:spacing w:after="0" w:line="20" w:lineRule="exact"/>
              <w:rPr>
                <w:sz w:val="1"/>
                <w:szCs w:val="1"/>
                <w:color w:val="auto"/>
              </w:rPr>
            </w:pPr>
          </w:p>
        </w:tc>
        <w:tc>
          <w:tcPr>
            <w:tcW w:w="240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33" w:right="859" w:bottom="1440" w:gutter="0" w:footer="0" w:header="0"/>
        </w:sectPr>
      </w:pPr>
    </w:p>
    <w:bookmarkStart w:id="113" w:name="page114"/>
    <w:bookmarkEnd w:id="113"/>
    <w:tbl>
      <w:tblPr>
        <w:tblLayout w:type="fixed"/>
        <w:tblInd w:w="2430" w:type="dxa"/>
        <w:tblCellMar>
          <w:top w:w="0" w:type="dxa"/>
          <w:left w:w="0" w:type="dxa"/>
          <w:bottom w:w="0" w:type="dxa"/>
          <w:right w:w="0" w:type="dxa"/>
        </w:tblCellMar>
      </w:tblPr>
      <w:tr>
        <w:trPr>
          <w:trHeight w:val="257"/>
        </w:trPr>
        <w:tc>
          <w:tcPr>
            <w:tcW w:w="2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Amount</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$727,500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$727,500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December 31, 2017</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31,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June 30,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37"/>
        </w:trPr>
        <w:tc>
          <w:tcPr>
            <w:tcW w:w="24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September 30, 2018</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$970,000</w:t>
            </w:r>
          </w:p>
        </w:tc>
      </w:tr>
      <w:tr>
        <w:trPr>
          <w:trHeight w:val="215"/>
        </w:trPr>
        <w:tc>
          <w:tcPr>
            <w:tcW w:w="242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Maturity Date</w:t>
            </w:r>
          </w:p>
        </w:tc>
        <w:tc>
          <w:tcPr>
            <w:tcW w:w="24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All remaining amounts</w:t>
            </w:r>
          </w:p>
        </w:tc>
      </w:tr>
      <w:tr>
        <w:trPr>
          <w:trHeight w:val="265"/>
        </w:trPr>
        <w:tc>
          <w:tcPr>
            <w:tcW w:w="2420" w:type="dxa"/>
            <w:vAlign w:val="bottom"/>
            <w:tcBorders>
              <w:left w:val="single" w:sz="8" w:color="auto"/>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outstanding</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final principal repayment installment of the Singapore Term Loans shall be repaid on the Maturity Date for the Singapore Term Loan Facility and in any event shall be in an amount equal to the aggregate principal amount of all Singapore Term Loans outstanding.</w:t>
      </w:r>
    </w:p>
    <w:p>
      <w:pPr>
        <w:spacing w:after="0" w:line="186" w:lineRule="exact"/>
        <w:rPr>
          <w:sz w:val="20"/>
          <w:szCs w:val="20"/>
          <w:color w:val="auto"/>
        </w:rPr>
      </w:pPr>
    </w:p>
    <w:p>
      <w:pPr>
        <w:ind w:right="20" w:firstLine="645"/>
        <w:spacing w:after="0" w:line="251" w:lineRule="auto"/>
        <w:tabs>
          <w:tab w:leader="none" w:pos="1305"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Revolving Loans</w:t>
      </w:r>
      <w:r>
        <w:rPr>
          <w:rFonts w:ascii="Arial" w:cs="Arial" w:eastAsia="Arial" w:hAnsi="Arial"/>
          <w:sz w:val="22"/>
          <w:szCs w:val="22"/>
          <w:color w:val="auto"/>
        </w:rPr>
        <w:t>. The Borrowers shall repay to the Revolving Lenders on the Maturity Date the aggregate principal amount of Revolving Loans outstanding on such date.</w:t>
      </w:r>
    </w:p>
    <w:p>
      <w:pPr>
        <w:spacing w:after="0" w:line="173" w:lineRule="exact"/>
        <w:rPr>
          <w:rFonts w:ascii="Arial" w:cs="Arial" w:eastAsia="Arial" w:hAnsi="Arial"/>
          <w:sz w:val="22"/>
          <w:szCs w:val="22"/>
          <w:color w:val="auto"/>
        </w:rPr>
      </w:pPr>
    </w:p>
    <w:p>
      <w:pPr>
        <w:ind w:right="20" w:firstLine="645"/>
        <w:spacing w:after="0" w:line="251" w:lineRule="auto"/>
        <w:tabs>
          <w:tab w:leader="none" w:pos="129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Swing Line Loans</w:t>
      </w:r>
      <w:r>
        <w:rPr>
          <w:rFonts w:ascii="Arial" w:cs="Arial" w:eastAsia="Arial" w:hAnsi="Arial"/>
          <w:sz w:val="22"/>
          <w:szCs w:val="22"/>
          <w:color w:val="auto"/>
        </w:rPr>
        <w:t>. The Borrowers shall repay each Swing Line Loan on the earlier to occur of (i) the date ten (10) Business Days after such Loan is made and (ii) the Maturity Date.</w:t>
      </w:r>
    </w:p>
    <w:p>
      <w:pPr>
        <w:spacing w:after="0" w:line="16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2.08</w:t>
      </w:r>
      <w:r>
        <w:rPr>
          <w:sz w:val="20"/>
          <w:szCs w:val="20"/>
          <w:color w:val="auto"/>
        </w:rPr>
        <w:tab/>
      </w:r>
      <w:r>
        <w:rPr>
          <w:rFonts w:ascii="Arial" w:cs="Arial" w:eastAsia="Arial" w:hAnsi="Arial"/>
          <w:sz w:val="19"/>
          <w:szCs w:val="19"/>
          <w:b w:val="1"/>
          <w:bCs w:val="1"/>
          <w:color w:val="auto"/>
        </w:rPr>
        <w:t>Interest</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77" w:lineRule="auto"/>
        <w:tabs>
          <w:tab w:leader="none" w:pos="1293"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such Eurodollar Rate Loan; (ii) each Base Rate Loan under a Facility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such Base Rate Loan; and (iii) each Swing Line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Base Rate Loans.</w:t>
      </w:r>
    </w:p>
    <w:p>
      <w:pPr>
        <w:spacing w:after="0" w:line="152" w:lineRule="exact"/>
        <w:rPr>
          <w:rFonts w:ascii="Arial" w:cs="Arial" w:eastAsia="Arial" w:hAnsi="Arial"/>
          <w:sz w:val="19"/>
          <w:szCs w:val="19"/>
          <w:color w:val="auto"/>
        </w:rPr>
      </w:pPr>
    </w:p>
    <w:p>
      <w:pPr>
        <w:jc w:val="both"/>
        <w:ind w:firstLine="645"/>
        <w:spacing w:after="0" w:line="238" w:lineRule="auto"/>
        <w:tabs>
          <w:tab w:leader="none" w:pos="1305"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5" w:lineRule="exact"/>
        <w:rPr>
          <w:rFonts w:ascii="Arial" w:cs="Arial" w:eastAsia="Arial" w:hAnsi="Arial"/>
          <w:sz w:val="22"/>
          <w:szCs w:val="22"/>
          <w:color w:val="auto"/>
        </w:rPr>
      </w:pPr>
    </w:p>
    <w:p>
      <w:pPr>
        <w:jc w:val="both"/>
        <w:ind w:firstLine="645"/>
        <w:spacing w:after="0" w:line="279" w:lineRule="auto"/>
        <w:tabs>
          <w:tab w:leader="none" w:pos="1293"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Revolving Lenders (in the case of the Revolving Credit Facility), the Required Initial Domestic Term Loan Lenders (in the case of the Initial Domestic Term Loan Facility), the Required 2015 Domestic Term Loan Lenders (in the case of the 2015 Domestic Term Loan Facility) or the Required Singapore Term Loan Lenders (in the case of the Singapore Term Loan Facility), such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33" w:right="879" w:bottom="1440" w:gutter="0" w:footer="0" w:header="0"/>
        </w:sectPr>
      </w:pPr>
    </w:p>
    <w:bookmarkStart w:id="114" w:name="page115"/>
    <w:bookmarkEnd w:id="114"/>
    <w:p>
      <w:pPr>
        <w:ind w:left="4" w:right="20"/>
        <w:spacing w:after="0" w:line="251" w:lineRule="auto"/>
        <w:rPr>
          <w:sz w:val="20"/>
          <w:szCs w:val="20"/>
          <w:color w:val="auto"/>
        </w:rPr>
      </w:pPr>
      <w:r>
        <w:rPr>
          <w:rFonts w:ascii="Arial" w:cs="Arial" w:eastAsia="Arial" w:hAnsi="Arial"/>
          <w:sz w:val="22"/>
          <w:szCs w:val="22"/>
          <w:color w:val="auto"/>
        </w:rPr>
        <w:t>amount shall thereafter bear interest at a fluctuating interest rate per annum at all times equal to the Default Rate to the fullest extent permitted by applicable Laws.</w:t>
      </w:r>
    </w:p>
    <w:p>
      <w:pPr>
        <w:spacing w:after="0" w:line="174" w:lineRule="exact"/>
        <w:rPr>
          <w:sz w:val="20"/>
          <w:szCs w:val="20"/>
          <w:color w:val="auto"/>
        </w:rPr>
      </w:pPr>
    </w:p>
    <w:p>
      <w:pPr>
        <w:jc w:val="both"/>
        <w:ind w:left="4" w:right="20" w:firstLine="645"/>
        <w:spacing w:after="0" w:line="234" w:lineRule="auto"/>
        <w:tabs>
          <w:tab w:leader="none" w:pos="1309" w:val="left"/>
        </w:tabs>
        <w:numPr>
          <w:ilvl w:val="0"/>
          <w:numId w:val="84"/>
        </w:numPr>
        <w:rPr>
          <w:rFonts w:ascii="Arial" w:cs="Arial" w:eastAsia="Arial" w:hAnsi="Arial"/>
          <w:sz w:val="22"/>
          <w:szCs w:val="22"/>
          <w:color w:val="auto"/>
        </w:rPr>
      </w:pPr>
      <w:r>
        <w:rPr>
          <w:rFonts w:ascii="Arial" w:cs="Arial" w:eastAsia="Arial" w:hAnsi="Arial"/>
          <w:sz w:val="22"/>
          <w:szCs w:val="22"/>
          <w:color w:val="auto"/>
        </w:rPr>
        <w:t>Upon the request of the Required Revolving Lenders (in the case of the Revolving Credit Facility), the Required Initial Domestic Term Loan Lenders (in the case of the Initial Domestic Term Loan Facility), the Required 2015 Domestic Term Loan Lenders (in the case of the 2015 Domestic Term Loan Facility) or the Required Singapore Term Loan Lenders (in the case of the Singapore Term Loan Facility), while any Event of Default exists, the Borrowers shall pay interest on the principal amount of all outstanding Obligations under such Facility at a fluctuating interest rate per annum at all times equal to the Default Rate to the fullest extent permitted by applicable Laws.</w:t>
      </w:r>
    </w:p>
    <w:p>
      <w:pPr>
        <w:spacing w:after="0" w:line="191" w:lineRule="exact"/>
        <w:rPr>
          <w:rFonts w:ascii="Arial" w:cs="Arial" w:eastAsia="Arial" w:hAnsi="Arial"/>
          <w:sz w:val="22"/>
          <w:szCs w:val="22"/>
          <w:color w:val="auto"/>
        </w:rPr>
      </w:pPr>
    </w:p>
    <w:p>
      <w:pPr>
        <w:ind w:left="4" w:right="20" w:firstLine="645"/>
        <w:spacing w:after="0" w:line="251" w:lineRule="auto"/>
        <w:tabs>
          <w:tab w:leader="none" w:pos="1297" w:val="left"/>
        </w:tabs>
        <w:numPr>
          <w:ilvl w:val="0"/>
          <w:numId w:val="84"/>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73" w:lineRule="exact"/>
        <w:rPr>
          <w:rFonts w:ascii="Arial" w:cs="Arial" w:eastAsia="Arial" w:hAnsi="Arial"/>
          <w:sz w:val="22"/>
          <w:szCs w:val="22"/>
          <w:color w:val="auto"/>
        </w:rPr>
      </w:pPr>
    </w:p>
    <w:p>
      <w:pPr>
        <w:jc w:val="both"/>
        <w:ind w:left="4" w:right="20" w:firstLine="645"/>
        <w:spacing w:after="0" w:line="279" w:lineRule="auto"/>
        <w:tabs>
          <w:tab w:leader="none" w:pos="1314"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Notwithstanding the foregoing, WFS Europe and WFS Singapore shall have no obligation to pay interest accrued on Loans advanced solely to WFS (other than Loans advanced to WFS Europe and/or WFS Singapore for their benefit at the request of the Borrowing Agent).</w:t>
      </w:r>
    </w:p>
    <w:p>
      <w:pPr>
        <w:spacing w:after="0" w:line="145"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2.09</w:t>
      </w:r>
      <w:r>
        <w:rPr>
          <w:sz w:val="20"/>
          <w:szCs w:val="20"/>
          <w:color w:val="auto"/>
        </w:rPr>
        <w:tab/>
      </w:r>
      <w:r>
        <w:rPr>
          <w:rFonts w:ascii="Arial" w:cs="Arial" w:eastAsia="Arial" w:hAnsi="Arial"/>
          <w:sz w:val="19"/>
          <w:szCs w:val="19"/>
          <w:b w:val="1"/>
          <w:bCs w:val="1"/>
          <w:color w:val="auto"/>
        </w:rPr>
        <w:t>Fees</w:t>
      </w:r>
      <w:r>
        <w:rPr>
          <w:rFonts w:ascii="Arial" w:cs="Arial" w:eastAsia="Arial" w:hAnsi="Arial"/>
          <w:sz w:val="19"/>
          <w:szCs w:val="19"/>
          <w:color w:val="auto"/>
        </w:rPr>
        <w:t>. In addition to certain fees described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subsections (i)</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(k)</w:t>
      </w:r>
      <w:r>
        <w:rPr>
          <w:rFonts w:ascii="Arial" w:cs="Arial" w:eastAsia="Arial" w:hAnsi="Arial"/>
          <w:sz w:val="19"/>
          <w:szCs w:val="19"/>
          <w:b w:val="1"/>
          <w:b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12" w:lineRule="exact"/>
        <w:rPr>
          <w:sz w:val="20"/>
          <w:szCs w:val="20"/>
          <w:color w:val="auto"/>
        </w:rPr>
      </w:pPr>
    </w:p>
    <w:p>
      <w:pPr>
        <w:jc w:val="both"/>
        <w:ind w:left="4" w:right="20" w:firstLine="645"/>
        <w:spacing w:after="0" w:line="273" w:lineRule="auto"/>
        <w:tabs>
          <w:tab w:leader="none" w:pos="1297"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Borrowers shall pay to the Administrative Agent for the account of each Revolving Lender in accordance with its Applicable Revolving Percentage, a commitment fee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actual daily amount by which the Aggregate Revolving Commitments exceed the sum of</w:t>
      </w:r>
    </w:p>
    <w:p>
      <w:pPr>
        <w:spacing w:after="0" w:line="1" w:lineRule="exact"/>
        <w:rPr>
          <w:rFonts w:ascii="Arial" w:cs="Arial" w:eastAsia="Arial" w:hAnsi="Arial"/>
          <w:sz w:val="19"/>
          <w:szCs w:val="19"/>
          <w:color w:val="auto"/>
        </w:rPr>
      </w:pPr>
    </w:p>
    <w:p>
      <w:pPr>
        <w:jc w:val="both"/>
        <w:ind w:left="4" w:hanging="4"/>
        <w:spacing w:after="0" w:line="273" w:lineRule="auto"/>
        <w:tabs>
          <w:tab w:leader="none" w:pos="266"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the Outstanding Amount of Revolving Loans and (ii) the Outstanding Amount of L/C-BA Obligations,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54" w:lineRule="exact"/>
        <w:rPr>
          <w:rFonts w:ascii="Arial" w:cs="Arial" w:eastAsia="Arial" w:hAnsi="Arial"/>
          <w:sz w:val="19"/>
          <w:szCs w:val="19"/>
          <w:color w:val="auto"/>
        </w:rPr>
      </w:pPr>
    </w:p>
    <w:p>
      <w:pPr>
        <w:jc w:val="both"/>
        <w:ind w:left="4" w:right="20" w:firstLine="645"/>
        <w:spacing w:after="0" w:line="258" w:lineRule="auto"/>
        <w:tabs>
          <w:tab w:leader="none" w:pos="1309"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Other Fees</w:t>
      </w:r>
      <w:r>
        <w:rPr>
          <w:rFonts w:ascii="Arial" w:cs="Arial" w:eastAsia="Arial" w:hAnsi="Arial"/>
          <w:sz w:val="21"/>
          <w:szCs w:val="21"/>
          <w:color w:val="auto"/>
        </w:rPr>
        <w:t>. The Borrowers shall pay to each Joint Lead Arranger and the Administrative Agent for their own respective accounts fees in the amounts and at the times specified in the respective Fee Letters. Such fees shall be fully earned when paid and shall not be refundable for any reason whatsoever.</w:t>
      </w:r>
    </w:p>
    <w:p>
      <w:pPr>
        <w:spacing w:after="0" w:line="161"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Computation of Interest and Fees; Retroactive Adjustments of Applicable Rate</w:t>
      </w:r>
      <w:r>
        <w:rPr>
          <w:rFonts w:ascii="Arial" w:cs="Arial" w:eastAsia="Arial" w:hAnsi="Arial"/>
          <w:sz w:val="19"/>
          <w:szCs w:val="19"/>
          <w:color w:val="auto"/>
        </w:rPr>
        <w:t>.</w:t>
      </w:r>
    </w:p>
    <w:p>
      <w:pPr>
        <w:spacing w:after="0" w:line="21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15" w:name="page116"/>
    <w:bookmarkEnd w:id="115"/>
    <w:p>
      <w:pPr>
        <w:jc w:val="both"/>
        <w:ind w:firstLine="645"/>
        <w:spacing w:after="0" w:line="245" w:lineRule="auto"/>
        <w:tabs>
          <w:tab w:leader="none" w:pos="1496" w:val="left"/>
        </w:tabs>
        <w:numPr>
          <w:ilvl w:val="1"/>
          <w:numId w:val="87"/>
        </w:numPr>
        <w:rPr>
          <w:rFonts w:ascii="Arial" w:cs="Arial" w:eastAsia="Arial" w:hAnsi="Arial"/>
          <w:sz w:val="21"/>
          <w:szCs w:val="21"/>
          <w:color w:val="auto"/>
        </w:rPr>
      </w:pPr>
      <w:r>
        <w:rPr>
          <w:rFonts w:ascii="Arial" w:cs="Arial" w:eastAsia="Arial" w:hAnsi="Arial"/>
          <w:sz w:val="21"/>
          <w:szCs w:val="21"/>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Loan that is repaid on the same day on which it is made shall, subject to </w:t>
      </w:r>
      <w:r>
        <w:rPr>
          <w:rFonts w:ascii="Arial" w:cs="Arial" w:eastAsia="Arial" w:hAnsi="Arial"/>
          <w:sz w:val="21"/>
          <w:szCs w:val="21"/>
          <w:u w:val="single" w:color="auto"/>
          <w:color w:val="auto"/>
        </w:rPr>
        <w:t>Section 2.12(a)</w:t>
      </w:r>
      <w:r>
        <w:rPr>
          <w:rFonts w:ascii="Arial" w:cs="Arial" w:eastAsia="Arial" w:hAnsi="Arial"/>
          <w:sz w:val="21"/>
          <w:szCs w:val="21"/>
          <w:color w:val="auto"/>
        </w:rPr>
        <w:t>, bear interest for one day. Each determination by the Administrative Agent of an interest rate or fee hereunder shall be conclusive and binding for all purposes, absent manifest error.</w:t>
      </w:r>
    </w:p>
    <w:p>
      <w:pPr>
        <w:spacing w:after="0" w:line="185" w:lineRule="exact"/>
        <w:rPr>
          <w:rFonts w:ascii="Arial" w:cs="Arial" w:eastAsia="Arial" w:hAnsi="Arial"/>
          <w:sz w:val="21"/>
          <w:szCs w:val="21"/>
          <w:color w:val="auto"/>
        </w:rPr>
      </w:pPr>
    </w:p>
    <w:p>
      <w:pPr>
        <w:jc w:val="both"/>
        <w:ind w:firstLine="645"/>
        <w:spacing w:after="0" w:line="268" w:lineRule="auto"/>
        <w:tabs>
          <w:tab w:leader="none" w:pos="1305"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If, as a result of any restatement of or other adjustment to the financial statements of WFS or any Restricted Subsidiary or for any other reason, the Borrowers or the Lenders determine that (i) the Consolidated Total Leverage Ratio as calculated by the Borrowers as of any applicable date was inaccurate and (ii) a proper calculation of the Consolidated Total Leverage Ratio would have resulted in higher pricing for such period, the Borrowers shall immediately and retroactively be obligated to pay to the Administrative Agent for the account of the applicable Lenders or the L/C-BA Issuer, as the case may be, promptly on demand by the Administrative Agent (or, after the occurrence of an actual or deemed entry of an order for relief with respect to the Borrowers under any Debtor Relief Law, automatically and without further action by the Administrative Agent, any Lender or the L/C-BA Issuer), an amount equal to the excess of the amount of interest and fees that should have been paid for such period over the amount of interest and fees actually paid for such period. This paragraph shall not limit the rights of the Administrative Agent, any Lender or the L/C-BA Issuer, as the case may be, under </w:t>
      </w:r>
      <w:r>
        <w:rPr>
          <w:rFonts w:ascii="Arial" w:cs="Arial" w:eastAsia="Arial" w:hAnsi="Arial"/>
          <w:sz w:val="19"/>
          <w:szCs w:val="19"/>
          <w:u w:val="single" w:color="auto"/>
          <w:color w:val="auto"/>
        </w:rPr>
        <w:t>Section 2.03(d)(iii)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2.03(i)</w:t>
      </w:r>
      <w:r>
        <w:rPr>
          <w:rFonts w:ascii="Arial" w:cs="Arial" w:eastAsia="Arial" w:hAnsi="Arial"/>
          <w:sz w:val="19"/>
          <w:szCs w:val="19"/>
          <w:color w:val="auto"/>
        </w:rPr>
        <w:t>,</w:t>
      </w:r>
    </w:p>
    <w:p>
      <w:pPr>
        <w:spacing w:after="0" w:line="8" w:lineRule="exact"/>
        <w:rPr>
          <w:rFonts w:ascii="Arial" w:cs="Arial" w:eastAsia="Arial" w:hAnsi="Arial"/>
          <w:sz w:val="19"/>
          <w:szCs w:val="19"/>
          <w:color w:val="auto"/>
        </w:rPr>
      </w:pPr>
    </w:p>
    <w:p>
      <w:pPr>
        <w:ind w:right="20" w:firstLine="77"/>
        <w:spacing w:after="0" w:line="237" w:lineRule="auto"/>
        <w:tabs>
          <w:tab w:leader="none" w:pos="373" w:val="left"/>
        </w:tabs>
        <w:numPr>
          <w:ilvl w:val="0"/>
          <w:numId w:val="88"/>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(k)</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2.08(b)</w:t>
      </w:r>
      <w:r>
        <w:rPr>
          <w:rFonts w:ascii="Arial" w:cs="Arial" w:eastAsia="Arial" w:hAnsi="Arial"/>
          <w:sz w:val="22"/>
          <w:szCs w:val="22"/>
          <w:color w:val="auto"/>
        </w:rPr>
        <w:t xml:space="preserve"> or under </w:t>
      </w:r>
      <w:r>
        <w:rPr>
          <w:rFonts w:ascii="Arial" w:cs="Arial" w:eastAsia="Arial" w:hAnsi="Arial"/>
          <w:sz w:val="22"/>
          <w:szCs w:val="22"/>
          <w:u w:val="single" w:color="auto"/>
          <w:color w:val="auto"/>
        </w:rPr>
        <w:t>Article VIII</w:t>
      </w:r>
      <w:r>
        <w:rPr>
          <w:rFonts w:ascii="Arial" w:cs="Arial" w:eastAsia="Arial" w:hAnsi="Arial"/>
          <w:sz w:val="22"/>
          <w:szCs w:val="22"/>
          <w:color w:val="auto"/>
        </w:rPr>
        <w:t>. The Borrowers’ obligations under this paragraph shall survive the termination of the Aggregate Commitments and the repayment of all other Obligations hereunder.</w:t>
      </w:r>
    </w:p>
    <w:p>
      <w:pPr>
        <w:spacing w:after="0" w:line="17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Evidence of Debt</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72" w:lineRule="auto"/>
        <w:tabs>
          <w:tab w:leader="none" w:pos="1293"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Note or a Term Loan Note, as the case may be,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16" w:name="page117"/>
    <w:bookmarkEnd w:id="116"/>
    <w:p>
      <w:pPr>
        <w:jc w:val="both"/>
        <w:ind w:right="20" w:firstLine="645"/>
        <w:spacing w:after="0" w:line="248" w:lineRule="auto"/>
        <w:tabs>
          <w:tab w:leader="none" w:pos="1508"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In addition to the accounts and records referred to in </w:t>
      </w:r>
      <w:r>
        <w:rPr>
          <w:rFonts w:ascii="Arial" w:cs="Arial" w:eastAsia="Arial" w:hAnsi="Arial"/>
          <w:sz w:val="21"/>
          <w:szCs w:val="21"/>
          <w:u w:val="single" w:color="auto"/>
          <w:color w:val="auto"/>
        </w:rPr>
        <w:t>subsection (a)</w:t>
      </w:r>
      <w:r>
        <w:rPr>
          <w:rFonts w:ascii="Arial" w:cs="Arial" w:eastAsia="Arial" w:hAnsi="Arial"/>
          <w:sz w:val="21"/>
          <w:szCs w:val="21"/>
          <w:color w:val="auto"/>
        </w:rPr>
        <w:t>, each Lender and the Administrative Agent shall maintain in accordance with its usual practice accounts or records evidencing the purchases and sales by such Lender of participations in Letters of Credit, Bankers’ Acceptances and Swing Line Loans. In the event of any conflict between the accounts and records maintained by the Administrative Agent and the accounts and records of any Revolving Lender in respect of such matters, the accounts and records of the Administrative Agent shall control in the absence of manifest error.</w:t>
      </w:r>
    </w:p>
    <w:p>
      <w:pPr>
        <w:spacing w:after="0" w:line="17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Payments Generally; Administrative Agent’s Clawback</w:t>
      </w:r>
      <w:r>
        <w:rPr>
          <w:rFonts w:ascii="Arial" w:cs="Arial" w:eastAsia="Arial" w:hAnsi="Arial"/>
          <w:sz w:val="19"/>
          <w:szCs w:val="19"/>
          <w:color w:val="auto"/>
        </w:rPr>
        <w:t>.</w:t>
      </w:r>
    </w:p>
    <w:p>
      <w:pPr>
        <w:spacing w:after="0" w:line="212" w:lineRule="exact"/>
        <w:rPr>
          <w:sz w:val="20"/>
          <w:szCs w:val="20"/>
          <w:color w:val="auto"/>
        </w:rPr>
      </w:pPr>
    </w:p>
    <w:p>
      <w:pPr>
        <w:jc w:val="both"/>
        <w:ind w:right="20" w:firstLine="645"/>
        <w:spacing w:after="0" w:line="272" w:lineRule="auto"/>
        <w:tabs>
          <w:tab w:leader="none" w:pos="1293"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immediately available funds not later than 2:00 p.m. on the date specified herein; provided that, for the sake of clarity, all payments made in respect of the Singapore Term Loans shall be made through the Singapore Agent at its Administrative Agent’s Office.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645"/>
        <w:spacing w:after="0" w:line="270" w:lineRule="auto"/>
        <w:tabs>
          <w:tab w:leader="none" w:pos="1305"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Revolving Lenders; Presumption by Administrative Agent</w:t>
      </w:r>
      <w:r>
        <w:rPr>
          <w:rFonts w:ascii="Arial" w:cs="Arial" w:eastAsia="Arial" w:hAnsi="Arial"/>
          <w:sz w:val="19"/>
          <w:szCs w:val="19"/>
          <w:color w:val="auto"/>
        </w:rPr>
        <w:t xml:space="preserve">. Unless the Administrative Agent shall have received notice from a Revolving Lender prior to the proposed date of any Revolving Borrowing of Eurodollar Rate Loans (or, in the case of any Revolving Borrowing of Base Rate Loans, prior to 12:00 noon on the date of such Revolving Borrowing) that such Revolving Lender will not make available to the Administrative Agent such Revolving Lender’s share of such Revolving Borrowing, the Administrative Agent may assume that such Revolving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Revolving Borrowing of Base Rate Loans, that such Revolving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Borrowers a corresponding amount. In such event, if a Revolving Lender has not in fact made its share of the applicable Revolving Borrowing available to the Administrative Agent, then the applicable Revolving Lender and the Borrowers severally agree to pay to the 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Revolving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Borrowers, the interest rate applicable to Base Rate Loans. If the Borrowers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17" w:name="page118"/>
    <w:bookmarkEnd w:id="117"/>
    <w:p>
      <w:pPr>
        <w:jc w:val="both"/>
        <w:ind w:right="20"/>
        <w:spacing w:after="0" w:line="277" w:lineRule="auto"/>
        <w:rPr>
          <w:sz w:val="20"/>
          <w:szCs w:val="20"/>
          <w:color w:val="auto"/>
        </w:rPr>
      </w:pPr>
      <w:r>
        <w:rPr>
          <w:rFonts w:ascii="Arial" w:cs="Arial" w:eastAsia="Arial" w:hAnsi="Arial"/>
          <w:sz w:val="19"/>
          <w:szCs w:val="19"/>
          <w:color w:val="auto"/>
        </w:rPr>
        <w:t>and such Revolving Lender shall pay such interest to the Administrative Agent for the same or an overlapping period, the Administrative Agent shall promptly remit to the Borrowers the amount of such interest paid by the Borrowers for such period. If such Revolving Lender pays its share of the applicable Revolving Borrowing to the Administrative Agent, then the amount so paid shall constitute such Revolving Lender’s Revolving Loan included in such Revolving Borrowing. Any payment by the Borrowers shall not relieve any Revolving Lender of its funding obligations and shall be without prejudice to any claim the Borrowers may have against a Revolving Lender that shall have failed to make such payment to the Administrative Agent.</w:t>
      </w:r>
    </w:p>
    <w:p>
      <w:pPr>
        <w:spacing w:after="0" w:line="153" w:lineRule="exact"/>
        <w:rPr>
          <w:sz w:val="20"/>
          <w:szCs w:val="20"/>
          <w:color w:val="auto"/>
        </w:rPr>
      </w:pPr>
    </w:p>
    <w:p>
      <w:pPr>
        <w:jc w:val="both"/>
        <w:ind w:left="800" w:firstLine="655"/>
        <w:spacing w:after="0" w:line="244" w:lineRule="auto"/>
        <w:tabs>
          <w:tab w:leader="none" w:pos="2144"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Payments by Borrowers; Presumptions by Administrative Agent</w:t>
      </w:r>
      <w:r>
        <w:rPr>
          <w:rFonts w:ascii="Arial" w:cs="Arial" w:eastAsia="Arial" w:hAnsi="Arial"/>
          <w:sz w:val="21"/>
          <w:szCs w:val="21"/>
          <w:color w:val="auto"/>
        </w:rPr>
        <w:t>. Unless the Administrative Agent shall have received notice from the Borrowing Agent prior to the date on which any payment is due to the Administrative Agent for the account of the Lenders or the L/C-BA Issuer hereunder that the Borrowers will not make such payment, the Administrative Agent may assume that the Borrowers have made such payment on such date in accordance herewith and may, in reliance upon such assumption, distribute to the Appropriate Lenders or the L/C-BA Issuer, as the case may be, the amount due. In such event, if the Borrowers have not in fact made such payment, then each of the Appropriate Lenders or the L/C-BA Issuer, as the case may be, severally agrees to repay to the Administrative Agent forthwith on demand the amount so distributed to such Lender or the L/C-BA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5"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A notice of the Administrative Agent to any Lender or the Borrowers with respect to any amount owing to the Administrative Agent under this </w:t>
      </w:r>
      <w:r>
        <w:rPr>
          <w:rFonts w:ascii="Arial" w:cs="Arial" w:eastAsia="Arial" w:hAnsi="Arial"/>
          <w:sz w:val="22"/>
          <w:szCs w:val="22"/>
          <w:u w:val="single" w:color="auto"/>
          <w:color w:val="auto"/>
        </w:rPr>
        <w:t>subsection (b)</w:t>
      </w:r>
      <w:r>
        <w:rPr>
          <w:rFonts w:ascii="Arial" w:cs="Arial" w:eastAsia="Arial" w:hAnsi="Arial"/>
          <w:sz w:val="22"/>
          <w:szCs w:val="22"/>
          <w:color w:val="auto"/>
        </w:rPr>
        <w:t xml:space="preserve"> shall be conclusive, absent manifest error.</w:t>
      </w:r>
    </w:p>
    <w:p>
      <w:pPr>
        <w:spacing w:after="0" w:line="173" w:lineRule="exact"/>
        <w:rPr>
          <w:sz w:val="20"/>
          <w:szCs w:val="20"/>
          <w:color w:val="auto"/>
        </w:rPr>
      </w:pPr>
    </w:p>
    <w:p>
      <w:pPr>
        <w:jc w:val="both"/>
        <w:ind w:right="20" w:firstLine="645"/>
        <w:spacing w:after="0" w:line="235" w:lineRule="auto"/>
        <w:tabs>
          <w:tab w:leader="none" w:pos="1293"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Failure to Satisfy Conditions Precedent</w:t>
      </w:r>
      <w:r>
        <w:rPr>
          <w:rFonts w:ascii="Arial" w:cs="Arial" w:eastAsia="Arial" w:hAnsi="Arial"/>
          <w:sz w:val="22"/>
          <w:szCs w:val="22"/>
          <w:color w:val="auto"/>
        </w:rPr>
        <w:t xml:space="preserve">. If any Lender makes available to the Administrative Agent funds for any Loan to be made by such Lender as provided in the foregoing provisions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such funds are not made available to the Borrowers by the Administrative Agent because the conditions to the applicable Credit Extension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88" w:lineRule="exact"/>
        <w:rPr>
          <w:rFonts w:ascii="Arial" w:cs="Arial" w:eastAsia="Arial" w:hAnsi="Arial"/>
          <w:sz w:val="22"/>
          <w:szCs w:val="22"/>
          <w:color w:val="auto"/>
        </w:rPr>
      </w:pPr>
    </w:p>
    <w:p>
      <w:pPr>
        <w:jc w:val="both"/>
        <w:ind w:right="20" w:firstLine="645"/>
        <w:spacing w:after="0" w:line="247" w:lineRule="auto"/>
        <w:tabs>
          <w:tab w:leader="none" w:pos="1305"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Obligations of Lenders Several</w:t>
      </w:r>
      <w:r>
        <w:rPr>
          <w:rFonts w:ascii="Arial" w:cs="Arial" w:eastAsia="Arial" w:hAnsi="Arial"/>
          <w:sz w:val="21"/>
          <w:szCs w:val="21"/>
          <w:color w:val="auto"/>
        </w:rPr>
        <w:t xml:space="preserve">. The obligations of the Lenders hereunder to make Term Loans and Revolving Loans, to fund participations in Letters of Credit, Bankers’ Acceptances and Swing Line Loans, as applicable, and to make payments pursuant to </w:t>
      </w:r>
      <w:r>
        <w:rPr>
          <w:rFonts w:ascii="Arial" w:cs="Arial" w:eastAsia="Arial" w:hAnsi="Arial"/>
          <w:sz w:val="21"/>
          <w:szCs w:val="21"/>
          <w:u w:val="single" w:color="auto"/>
          <w:color w:val="auto"/>
        </w:rPr>
        <w:t>Section 10.04(c)</w:t>
      </w:r>
      <w:r>
        <w:rPr>
          <w:rFonts w:ascii="Arial" w:cs="Arial" w:eastAsia="Arial" w:hAnsi="Arial"/>
          <w:sz w:val="21"/>
          <w:szCs w:val="21"/>
          <w:color w:val="auto"/>
        </w:rPr>
        <w:t xml:space="preserve"> are several and not joint. The failure of any Lender to make any Loan, to fund any such participation or to make any payment under </w:t>
      </w:r>
      <w:r>
        <w:rPr>
          <w:rFonts w:ascii="Arial" w:cs="Arial" w:eastAsia="Arial" w:hAnsi="Arial"/>
          <w:sz w:val="21"/>
          <w:szCs w:val="21"/>
          <w:u w:val="single" w:color="auto"/>
          <w:color w:val="auto"/>
        </w:rPr>
        <w:t>Section 10.04(c)</w:t>
      </w:r>
      <w:r>
        <w:rPr>
          <w:rFonts w:ascii="Arial" w:cs="Arial" w:eastAsia="Arial" w:hAnsi="Arial"/>
          <w:sz w:val="21"/>
          <w:szCs w:val="21"/>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1"/>
          <w:szCs w:val="21"/>
          <w:u w:val="single" w:color="auto"/>
          <w:color w:val="auto"/>
        </w:rPr>
        <w:t>Section 10.04(c)</w:t>
      </w:r>
      <w:r>
        <w:rPr>
          <w:rFonts w:ascii="Arial" w:cs="Arial" w:eastAsia="Arial" w:hAnsi="Arial"/>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18" w:name="page119"/>
    <w:bookmarkEnd w:id="118"/>
    <w:p>
      <w:pPr>
        <w:jc w:val="both"/>
        <w:ind w:right="20" w:firstLine="645"/>
        <w:spacing w:after="0" w:line="241" w:lineRule="auto"/>
        <w:tabs>
          <w:tab w:leader="none" w:pos="149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Funding Source</w:t>
      </w:r>
      <w:r>
        <w:rPr>
          <w:rFonts w:ascii="Arial" w:cs="Arial" w:eastAsia="Arial" w:hAnsi="Arial"/>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8"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9"/>
          <w:szCs w:val="19"/>
          <w:b w:val="1"/>
          <w:bCs w:val="1"/>
          <w:color w:val="auto"/>
        </w:rPr>
        <w:t>2.13 Sharing of Payments by Lenders</w:t>
      </w:r>
      <w:r>
        <w:rPr>
          <w:rFonts w:ascii="Arial" w:cs="Arial" w:eastAsia="Arial" w:hAnsi="Arial"/>
          <w:sz w:val="19"/>
          <w:szCs w:val="19"/>
          <w:color w:val="auto"/>
        </w:rPr>
        <w:t>. If any Lender shall, by exercising any right of setoff or</w:t>
      </w:r>
      <w:r>
        <w:rPr>
          <w:rFonts w:ascii="Arial" w:cs="Arial" w:eastAsia="Arial" w:hAnsi="Arial"/>
          <w:sz w:val="19"/>
          <w:szCs w:val="19"/>
          <w:b w:val="1"/>
          <w:bCs w:val="1"/>
          <w:color w:val="auto"/>
        </w:rPr>
        <w:t xml:space="preserve"> </w:t>
      </w:r>
      <w:r>
        <w:rPr>
          <w:rFonts w:ascii="Arial" w:cs="Arial" w:eastAsia="Arial" w:hAnsi="Arial"/>
          <w:sz w:val="19"/>
          <w:szCs w:val="19"/>
          <w:color w:val="auto"/>
        </w:rPr>
        <w:t>counterclaim or otherwise, obtain payment in respect of any principal of or interest on any of the Loans made by it, or the participations in L/C-BA Obligations or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w:t>
      </w:r>
    </w:p>
    <w:p>
      <w:pPr>
        <w:spacing w:after="0" w:line="1" w:lineRule="exact"/>
        <w:rPr>
          <w:sz w:val="20"/>
          <w:szCs w:val="20"/>
          <w:color w:val="auto"/>
        </w:rPr>
      </w:pPr>
    </w:p>
    <w:p>
      <w:pPr>
        <w:jc w:val="both"/>
        <w:ind w:left="20" w:right="20" w:firstLine="1"/>
        <w:spacing w:after="0" w:line="233" w:lineRule="auto"/>
        <w:tabs>
          <w:tab w:leader="none" w:pos="315"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notify the Administrative Agent of such fact, and (b) purchase (for cash at face value) participations in the Loans and subparticipations in L/C-BA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rFonts w:ascii="Arial" w:cs="Arial" w:eastAsia="Arial" w:hAnsi="Arial"/>
          <w:sz w:val="22"/>
          <w:szCs w:val="22"/>
          <w:color w:val="auto"/>
        </w:rPr>
      </w:pPr>
    </w:p>
    <w:p>
      <w:pPr>
        <w:jc w:val="both"/>
        <w:ind w:left="800" w:right="20" w:firstLine="655"/>
        <w:spacing w:after="0"/>
        <w:tabs>
          <w:tab w:leader="none" w:pos="2111" w:val="left"/>
        </w:tabs>
        <w:numPr>
          <w:ilvl w:val="1"/>
          <w:numId w:val="95"/>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86" w:lineRule="exact"/>
        <w:rPr>
          <w:rFonts w:ascii="Arial" w:cs="Arial" w:eastAsia="Arial" w:hAnsi="Arial"/>
          <w:sz w:val="22"/>
          <w:szCs w:val="22"/>
          <w:color w:val="auto"/>
        </w:rPr>
      </w:pPr>
    </w:p>
    <w:p>
      <w:pPr>
        <w:jc w:val="both"/>
        <w:ind w:left="800" w:right="20" w:firstLine="655"/>
        <w:spacing w:after="0" w:line="277" w:lineRule="auto"/>
        <w:tabs>
          <w:tab w:leader="none" w:pos="2144"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the provisions of this Section shall not be construed to apply to (x) any payment made by or on behalf of the Borrowers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9"/>
          <w:szCs w:val="19"/>
          <w:u w:val="single" w:color="auto"/>
          <w:color w:val="auto"/>
        </w:rPr>
        <w:t>Section 2.15</w:t>
      </w:r>
      <w:r>
        <w:rPr>
          <w:rFonts w:ascii="Arial" w:cs="Arial" w:eastAsia="Arial" w:hAnsi="Arial"/>
          <w:sz w:val="19"/>
          <w:szCs w:val="19"/>
          <w:color w:val="auto"/>
        </w:rPr>
        <w:t>, or (z) any payment obtained by a Lender as consideration for the assignment of or sale of a participation in any of its Loans or subparticipations in L/C-BA Obligations or Swing Line Loans to any assignee or participant, other than an assignment to any Borrower or any Affiliate thereof (as to which the provisions of this Section shall apply); and</w:t>
      </w:r>
    </w:p>
    <w:p>
      <w:pPr>
        <w:spacing w:after="0" w:line="152" w:lineRule="exact"/>
        <w:rPr>
          <w:rFonts w:ascii="Arial" w:cs="Arial" w:eastAsia="Arial" w:hAnsi="Arial"/>
          <w:sz w:val="19"/>
          <w:szCs w:val="19"/>
          <w:color w:val="auto"/>
        </w:rPr>
      </w:pPr>
    </w:p>
    <w:p>
      <w:pPr>
        <w:ind w:left="800" w:right="20" w:firstLine="655"/>
        <w:spacing w:after="0" w:line="251" w:lineRule="auto"/>
        <w:tabs>
          <w:tab w:leader="none" w:pos="2164"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provisions of this Section shall be subject to the sharing provisions contained in the Intercreditor Agreement.</w:t>
      </w:r>
    </w:p>
    <w:p>
      <w:pPr>
        <w:spacing w:after="0" w:line="173" w:lineRule="exact"/>
        <w:rPr>
          <w:sz w:val="20"/>
          <w:szCs w:val="20"/>
          <w:color w:val="auto"/>
        </w:rPr>
      </w:pPr>
    </w:p>
    <w:p>
      <w:pPr>
        <w:jc w:val="both"/>
        <w:ind w:left="640" w:right="20" w:firstLine="648"/>
        <w:spacing w:after="0" w:line="287" w:lineRule="auto"/>
        <w:rPr>
          <w:sz w:val="20"/>
          <w:szCs w:val="20"/>
          <w:color w:val="auto"/>
        </w:rPr>
      </w:pPr>
      <w:r>
        <w:rPr>
          <w:rFonts w:ascii="Arial" w:cs="Arial" w:eastAsia="Arial" w:hAnsi="Arial"/>
          <w:sz w:val="19"/>
          <w:szCs w:val="19"/>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3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Increase in Commitments</w:t>
      </w:r>
      <w:r>
        <w:rPr>
          <w:rFonts w:ascii="Arial" w:cs="Arial" w:eastAsia="Arial" w:hAnsi="Arial"/>
          <w:sz w:val="19"/>
          <w:szCs w:val="19"/>
          <w:color w:val="auto"/>
        </w:rPr>
        <w:t>.</w:t>
      </w:r>
    </w:p>
    <w:p>
      <w:pPr>
        <w:spacing w:after="0" w:line="212" w:lineRule="exact"/>
        <w:rPr>
          <w:sz w:val="20"/>
          <w:szCs w:val="20"/>
          <w:color w:val="auto"/>
        </w:rPr>
      </w:pPr>
    </w:p>
    <w:p>
      <w:pPr>
        <w:jc w:val="both"/>
        <w:ind w:right="20" w:firstLine="645"/>
        <w:spacing w:after="0"/>
        <w:tabs>
          <w:tab w:leader="none" w:pos="1293"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Request for Increase</w:t>
      </w:r>
      <w:r>
        <w:rPr>
          <w:rFonts w:ascii="Arial" w:cs="Arial" w:eastAsia="Arial" w:hAnsi="Arial"/>
          <w:sz w:val="22"/>
          <w:szCs w:val="22"/>
          <w:color w:val="auto"/>
        </w:rPr>
        <w:t>. Provided there exists no Default, upon notice to the Administrative Agent (which shall promptly notify the Revolving Lenders), the Borrowing Agent may from time to time, request an increase in the Aggregate Revolving Commitments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19" w:name="page120"/>
    <w:bookmarkEnd w:id="119"/>
    <w:p>
      <w:pPr>
        <w:jc w:val="both"/>
        <w:ind w:left="4" w:right="20"/>
        <w:spacing w:after="0" w:line="238" w:lineRule="auto"/>
        <w:rPr>
          <w:sz w:val="20"/>
          <w:szCs w:val="20"/>
          <w:color w:val="auto"/>
        </w:rPr>
      </w:pPr>
      <w:r>
        <w:rPr>
          <w:rFonts w:ascii="Arial" w:cs="Arial" w:eastAsia="Arial" w:hAnsi="Arial"/>
          <w:sz w:val="22"/>
          <w:szCs w:val="22"/>
          <w:color w:val="auto"/>
        </w:rPr>
        <w:t xml:space="preserve">an amount (for all such requests) not exceeding $150,000,000;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request for an increase shall be in a minimum amount of $25,000,000. At the time of sending such notice, the Borrowing Agent (in consultation with the Administrative Agent) shall specify the time period within which each Revolving Lender is requested to respond.</w:t>
      </w:r>
    </w:p>
    <w:p>
      <w:pPr>
        <w:spacing w:after="0" w:line="186" w:lineRule="exact"/>
        <w:rPr>
          <w:sz w:val="20"/>
          <w:szCs w:val="20"/>
          <w:color w:val="auto"/>
        </w:rPr>
      </w:pPr>
    </w:p>
    <w:p>
      <w:pPr>
        <w:jc w:val="both"/>
        <w:ind w:left="4" w:firstLine="645"/>
        <w:spacing w:after="0" w:line="236" w:lineRule="auto"/>
        <w:tabs>
          <w:tab w:leader="none" w:pos="1309"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Revolving Lender Elections to Increase</w:t>
      </w:r>
      <w:r>
        <w:rPr>
          <w:rFonts w:ascii="Arial" w:cs="Arial" w:eastAsia="Arial" w:hAnsi="Arial"/>
          <w:sz w:val="22"/>
          <w:szCs w:val="22"/>
          <w:color w:val="auto"/>
        </w:rPr>
        <w:t>. Each Revolving Lender shall notify the Administrative Agent within such time period whether or not it agrees to increase its Revolving Commitment and, if so, whether by an amount equal to, greater than, or less than its Applicable Revolving Percentage of such requested increase. Any Revolving Lender not responding within such time period shall be deemed to have declined to increase its Revolving Commitment.</w:t>
      </w:r>
    </w:p>
    <w:p>
      <w:pPr>
        <w:spacing w:after="0" w:line="187" w:lineRule="exact"/>
        <w:rPr>
          <w:rFonts w:ascii="Arial" w:cs="Arial" w:eastAsia="Arial" w:hAnsi="Arial"/>
          <w:sz w:val="22"/>
          <w:szCs w:val="22"/>
          <w:color w:val="auto"/>
        </w:rPr>
      </w:pPr>
    </w:p>
    <w:p>
      <w:pPr>
        <w:jc w:val="both"/>
        <w:ind w:left="4" w:firstLine="645"/>
        <w:spacing w:after="0" w:line="234" w:lineRule="auto"/>
        <w:tabs>
          <w:tab w:leader="none" w:pos="1297"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Notification by Administrative Agent; Additional Revolving Lenders</w:t>
      </w:r>
      <w:r>
        <w:rPr>
          <w:rFonts w:ascii="Arial" w:cs="Arial" w:eastAsia="Arial" w:hAnsi="Arial"/>
          <w:sz w:val="22"/>
          <w:szCs w:val="22"/>
          <w:color w:val="auto"/>
        </w:rPr>
        <w:t>. The Administrative Agent shall notify the Borrowing Agent and each Revolving Lender of the Revolving Lenders’ responses to each request made hereunder. To achieve the full amount of a requested increase and subject to the approval of the Administrative Agent, the L/C-BA Issuer and the Swing Line Lender (which approvals shall not be unreasonably withheld or delayed), the Borrowing Agent may also invite additional Eligible Assignees to become Revolving Lenders pursuant to a joinder agreement in form and substance reasonably satisfactory to the Administrative Agent and its counsel.</w:t>
      </w:r>
    </w:p>
    <w:p>
      <w:pPr>
        <w:spacing w:after="0" w:line="191" w:lineRule="exact"/>
        <w:rPr>
          <w:rFonts w:ascii="Arial" w:cs="Arial" w:eastAsia="Arial" w:hAnsi="Arial"/>
          <w:sz w:val="22"/>
          <w:szCs w:val="22"/>
          <w:color w:val="auto"/>
        </w:rPr>
      </w:pPr>
    </w:p>
    <w:p>
      <w:pPr>
        <w:jc w:val="both"/>
        <w:ind w:left="4" w:firstLine="645"/>
        <w:spacing w:after="0" w:line="248" w:lineRule="auto"/>
        <w:tabs>
          <w:tab w:leader="none" w:pos="1309"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Effective Date and Allocations</w:t>
      </w:r>
      <w:r>
        <w:rPr>
          <w:rFonts w:ascii="Arial" w:cs="Arial" w:eastAsia="Arial" w:hAnsi="Arial"/>
          <w:sz w:val="21"/>
          <w:szCs w:val="21"/>
          <w:color w:val="auto"/>
        </w:rPr>
        <w:t>. If the Aggregate Revolving Commitments are increased in accordance with this Section, the Administrative Agent and the Borrowing Agent shall determine the effective date (the “</w:t>
      </w:r>
      <w:r>
        <w:rPr>
          <w:rFonts w:ascii="Arial" w:cs="Arial" w:eastAsia="Arial" w:hAnsi="Arial"/>
          <w:sz w:val="21"/>
          <w:szCs w:val="21"/>
          <w:u w:val="single" w:color="auto"/>
          <w:color w:val="auto"/>
        </w:rPr>
        <w:t>Increase Effective Date</w:t>
      </w:r>
      <w:r>
        <w:rPr>
          <w:rFonts w:ascii="Arial" w:cs="Arial" w:eastAsia="Arial" w:hAnsi="Arial"/>
          <w:sz w:val="21"/>
          <w:szCs w:val="21"/>
          <w:color w:val="auto"/>
        </w:rPr>
        <w:t xml:space="preserve">”) and the final allocation of such increase. The Administrative Agent shall promptly notify the Borrowing Agent and the Revolving Lenders of the final allocation of such increase and the Increase Effective Date. For the avoidance of doubt, no increase in the Aggregate Revolving Commitments pursuant to this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shall increase the Swing Line Sublimit or the LC-BA Sublimit.</w:t>
      </w:r>
    </w:p>
    <w:p>
      <w:pPr>
        <w:spacing w:after="0" w:line="177" w:lineRule="exact"/>
        <w:rPr>
          <w:rFonts w:ascii="Arial" w:cs="Arial" w:eastAsia="Arial" w:hAnsi="Arial"/>
          <w:sz w:val="21"/>
          <w:szCs w:val="21"/>
          <w:color w:val="auto"/>
        </w:rPr>
      </w:pPr>
    </w:p>
    <w:p>
      <w:pPr>
        <w:jc w:val="both"/>
        <w:ind w:left="4" w:right="20" w:firstLine="645"/>
        <w:spacing w:after="0" w:line="273" w:lineRule="auto"/>
        <w:tabs>
          <w:tab w:leader="none" w:pos="1297"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Conditions to Effectiveness of Increase</w:t>
      </w:r>
      <w:r>
        <w:rPr>
          <w:rFonts w:ascii="Arial" w:cs="Arial" w:eastAsia="Arial" w:hAnsi="Arial"/>
          <w:sz w:val="19"/>
          <w:szCs w:val="19"/>
          <w:color w:val="auto"/>
        </w:rPr>
        <w:t>. As a condition precedent to such increase, the Borrowing Agent shall deliver to the Administrative Agent a certificate of each Loan Party dated as of the Increase Effective Date (in sufficient copies for each Revolving Lender) signed by a Responsible Officer of such Loan Party</w:t>
      </w:r>
    </w:p>
    <w:p>
      <w:pPr>
        <w:spacing w:after="0" w:line="1" w:lineRule="exact"/>
        <w:rPr>
          <w:rFonts w:ascii="Arial" w:cs="Arial" w:eastAsia="Arial" w:hAnsi="Arial"/>
          <w:sz w:val="19"/>
          <w:szCs w:val="19"/>
          <w:color w:val="auto"/>
        </w:rPr>
      </w:pPr>
    </w:p>
    <w:p>
      <w:pPr>
        <w:ind w:left="264" w:hanging="264"/>
        <w:spacing w:after="0"/>
        <w:tabs>
          <w:tab w:leader="none" w:pos="264" w:val="left"/>
        </w:tabs>
        <w:numPr>
          <w:ilvl w:val="0"/>
          <w:numId w:val="98"/>
        </w:numPr>
        <w:rPr>
          <w:rFonts w:ascii="Arial" w:cs="Arial" w:eastAsia="Arial" w:hAnsi="Arial"/>
          <w:sz w:val="19"/>
          <w:szCs w:val="19"/>
          <w:color w:val="auto"/>
        </w:rPr>
      </w:pPr>
      <w:r>
        <w:rPr>
          <w:rFonts w:ascii="Arial" w:cs="Arial" w:eastAsia="Arial" w:hAnsi="Arial"/>
          <w:sz w:val="19"/>
          <w:szCs w:val="19"/>
          <w:color w:val="auto"/>
        </w:rPr>
        <w:t>certifying and attaching the resolutions adopted by such Loan Party approving or consenting to such increase, and</w:t>
      </w:r>
    </w:p>
    <w:p>
      <w:pPr>
        <w:spacing w:after="0" w:line="24" w:lineRule="exact"/>
        <w:rPr>
          <w:rFonts w:ascii="Arial" w:cs="Arial" w:eastAsia="Arial" w:hAnsi="Arial"/>
          <w:sz w:val="19"/>
          <w:szCs w:val="19"/>
          <w:color w:val="auto"/>
        </w:rPr>
      </w:pPr>
    </w:p>
    <w:p>
      <w:pPr>
        <w:jc w:val="both"/>
        <w:ind w:left="4" w:right="20" w:hanging="4"/>
        <w:spacing w:after="0" w:line="267" w:lineRule="auto"/>
        <w:tabs>
          <w:tab w:leader="none" w:pos="33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certifying that, before and after giving effect to such increase, (A)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in the case of the Borrowers, and the other Loan Documents, in the case of each Loan Party party thereto,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w:t>
      </w:r>
    </w:p>
    <w:p>
      <w:pPr>
        <w:jc w:val="both"/>
        <w:ind w:left="4" w:right="20"/>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(B) no Default exists. At the request of the Administrative Agent, the Borrowers shall prepay any Revolving Loans outstanding on the Increase Effective Date (and pay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to the extent necessary to keep the outstanding Revolving Loans ratable with any revised Applicable Revolving Percentages arising from any nonratable increase in the Revolving Commitments under this Section, which prepayment may be made with the proceeds of the Borrowing of a Revolving Loan.</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20" w:name="page121"/>
    <w:bookmarkEnd w:id="120"/>
    <w:p>
      <w:pPr>
        <w:ind w:left="1464" w:hanging="815"/>
        <w:spacing w:after="0"/>
        <w:tabs>
          <w:tab w:leader="none" w:pos="146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Conflicting Provisions</w:t>
      </w:r>
      <w:r>
        <w:rPr>
          <w:rFonts w:ascii="Arial" w:cs="Arial" w:eastAsia="Arial" w:hAnsi="Arial"/>
          <w:sz w:val="19"/>
          <w:szCs w:val="19"/>
          <w:color w:val="auto"/>
        </w:rPr>
        <w:t xml:space="preserve">. This Section shall supersede any provisions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10.01</w:t>
      </w:r>
      <w:r>
        <w:rPr>
          <w:rFonts w:ascii="Arial" w:cs="Arial" w:eastAsia="Arial" w:hAnsi="Arial"/>
          <w:sz w:val="19"/>
          <w:szCs w:val="19"/>
          <w:color w:val="auto"/>
        </w:rPr>
        <w:t xml:space="preserve"> to the</w:t>
      </w:r>
    </w:p>
    <w:p>
      <w:pPr>
        <w:spacing w:after="0" w:line="43"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contrary.</w:t>
      </w:r>
    </w:p>
    <w:p>
      <w:pPr>
        <w:spacing w:after="0" w:line="182"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color w:val="auto"/>
        </w:rPr>
        <w:t>Cash Collateral</w:t>
      </w:r>
      <w:r>
        <w:rPr>
          <w:rFonts w:ascii="Arial" w:cs="Arial" w:eastAsia="Arial" w:hAnsi="Arial"/>
          <w:sz w:val="19"/>
          <w:szCs w:val="19"/>
          <w:color w:val="auto"/>
        </w:rPr>
        <w:t>.</w:t>
      </w:r>
    </w:p>
    <w:p>
      <w:pPr>
        <w:spacing w:after="0" w:line="212" w:lineRule="exact"/>
        <w:rPr>
          <w:sz w:val="20"/>
          <w:szCs w:val="20"/>
          <w:color w:val="auto"/>
        </w:rPr>
      </w:pPr>
    </w:p>
    <w:p>
      <w:pPr>
        <w:ind w:left="1284" w:hanging="635"/>
        <w:spacing w:after="0"/>
        <w:tabs>
          <w:tab w:leader="none" w:pos="1284"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Upon the request of the Administrative Agent or the L/C-BA Issuer</w:t>
      </w:r>
    </w:p>
    <w:p>
      <w:pPr>
        <w:spacing w:after="0" w:line="42" w:lineRule="exact"/>
        <w:rPr>
          <w:rFonts w:ascii="Arial" w:cs="Arial" w:eastAsia="Arial" w:hAnsi="Arial"/>
          <w:sz w:val="19"/>
          <w:szCs w:val="19"/>
          <w:color w:val="auto"/>
        </w:rPr>
      </w:pPr>
    </w:p>
    <w:p>
      <w:pPr>
        <w:jc w:val="both"/>
        <w:ind w:left="4" w:right="20" w:hanging="4"/>
        <w:spacing w:after="0" w:line="232" w:lineRule="auto"/>
        <w:tabs>
          <w:tab w:leader="none" w:pos="29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if the L/C-BA Issuer has honored any full or partial drawing request under any Letter of Credit or Bankers’ Acceptance and such drawing has resulted in an L/C-BA Borrowing, or (ii) if, as of the Maturity Date, any L/C-BA Obligation for any reason remains outstanding, the Borrowers shall, in each case, immediately Cash Collateralize the then Outstanding Amount of all L/C-BA Obligations. At any time that there shall exist a Defaulting Lender, immediately upon the request of the Administrative Agent, the L/C-BA Issuer or the Swing Line Lender, the Borrowers shall deliver to the Administrative Agent Cash Collateral in an amount sufficient to cover all remaining Fronting Exposure after giving effect to </w:t>
      </w:r>
      <w:r>
        <w:rPr>
          <w:rFonts w:ascii="Arial" w:cs="Arial" w:eastAsia="Arial" w:hAnsi="Arial"/>
          <w:sz w:val="22"/>
          <w:szCs w:val="22"/>
          <w:u w:val="single" w:color="auto"/>
          <w:color w:val="auto"/>
        </w:rPr>
        <w:t>Section 2.16(a)(iv)</w:t>
      </w:r>
      <w:r>
        <w:rPr>
          <w:rFonts w:ascii="Arial" w:cs="Arial" w:eastAsia="Arial" w:hAnsi="Arial"/>
          <w:sz w:val="22"/>
          <w:szCs w:val="22"/>
          <w:color w:val="auto"/>
        </w:rPr>
        <w:t xml:space="preserve"> and any Cash Collateral provided by the Defaulting Lender.</w:t>
      </w:r>
    </w:p>
    <w:p>
      <w:pPr>
        <w:spacing w:after="0" w:line="186" w:lineRule="exact"/>
        <w:rPr>
          <w:rFonts w:ascii="Arial" w:cs="Arial" w:eastAsia="Arial" w:hAnsi="Arial"/>
          <w:sz w:val="22"/>
          <w:szCs w:val="22"/>
          <w:color w:val="auto"/>
        </w:rPr>
      </w:pPr>
    </w:p>
    <w:p>
      <w:pPr>
        <w:jc w:val="both"/>
        <w:ind w:left="4" w:firstLine="645"/>
        <w:spacing w:after="0" w:line="272" w:lineRule="auto"/>
        <w:tabs>
          <w:tab w:leader="none" w:pos="1309"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All Cash Collateral (other than credit support not constituting funds subject to deposit) shall be maintained in blocked, non-interest bearing deposit accounts at the Administrative Agent. The Borrowers, and to the extent provided by any Revolving Lender, such Revolving Lender, hereby grant to (and subjects to the control of) the Administrative Agent, for the benefit of the Administrative Agent, the L/C-BA Issuer and the Revolving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(after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the Borrowers or the relevant Defaulting Lender will, promptly upon demand by the Administrative Agent, pay or provide to the Administrative Agent additional Cash Collateral in an amount sufficient to eliminate such deficiency.</w:t>
      </w:r>
    </w:p>
    <w:p>
      <w:pPr>
        <w:spacing w:after="0" w:line="157" w:lineRule="exact"/>
        <w:rPr>
          <w:rFonts w:ascii="Arial" w:cs="Arial" w:eastAsia="Arial" w:hAnsi="Arial"/>
          <w:sz w:val="19"/>
          <w:szCs w:val="19"/>
          <w:color w:val="auto"/>
        </w:rPr>
      </w:pPr>
    </w:p>
    <w:p>
      <w:pPr>
        <w:jc w:val="both"/>
        <w:ind w:left="4" w:firstLine="645"/>
        <w:spacing w:after="0" w:line="279" w:lineRule="auto"/>
        <w:tabs>
          <w:tab w:leader="none" w:pos="1297"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 of Letters of Credit, Bankers’ Acceptances or Swing Line Loans shall be held and applied to the satisfaction of the specific L/C-BA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50" w:lineRule="exact"/>
        <w:rPr>
          <w:rFonts w:ascii="Arial" w:cs="Arial" w:eastAsia="Arial" w:hAnsi="Arial"/>
          <w:sz w:val="19"/>
          <w:szCs w:val="19"/>
          <w:color w:val="auto"/>
        </w:rPr>
      </w:pPr>
    </w:p>
    <w:p>
      <w:pPr>
        <w:jc w:val="both"/>
        <w:ind w:left="4" w:firstLine="645"/>
        <w:spacing w:after="0" w:line="236" w:lineRule="auto"/>
        <w:tabs>
          <w:tab w:leader="none" w:pos="1309"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22"/>
          <w:szCs w:val="22"/>
          <w:u w:val="single" w:color="auto"/>
          <w:color w:val="auto"/>
        </w:rPr>
        <w:t>Section 10.06(b)(vi)</w:t>
      </w:r>
      <w:r>
        <w:rPr>
          <w:rFonts w:ascii="Arial" w:cs="Arial" w:eastAsia="Arial" w:hAnsi="Arial"/>
          <w:sz w:val="22"/>
          <w:szCs w:val="22"/>
          <w:color w:val="auto"/>
        </w:rPr>
        <w:t>)) or (ii) the Administrative Agent’s</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21" w:name="page122"/>
    <w:bookmarkEnd w:id="121"/>
    <w:p>
      <w:pPr>
        <w:jc w:val="both"/>
        <w:spacing w:after="0" w:line="235" w:lineRule="auto"/>
        <w:rPr>
          <w:sz w:val="20"/>
          <w:szCs w:val="20"/>
          <w:color w:val="auto"/>
        </w:rPr>
      </w:pPr>
      <w:r>
        <w:rPr>
          <w:rFonts w:ascii="Arial" w:cs="Arial" w:eastAsia="Arial" w:hAnsi="Arial"/>
          <w:sz w:val="22"/>
          <w:szCs w:val="22"/>
          <w:color w:val="auto"/>
        </w:rPr>
        <w:t xml:space="preserve">good faith determination that there exists excess Cash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(x) that Cash Collateral furnished by or on behalf of a Loan Party shall not be released during the continuance of a Default or Event of Default (and following application as provided in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may be otherwise applied in accordance with </w:t>
      </w:r>
      <w:r>
        <w:rPr>
          <w:rFonts w:ascii="Arial" w:cs="Arial" w:eastAsia="Arial" w:hAnsi="Arial"/>
          <w:sz w:val="22"/>
          <w:szCs w:val="22"/>
          <w:u w:val="single" w:color="auto"/>
          <w:color w:val="auto"/>
        </w:rPr>
        <w:t>Section 8.03</w:t>
      </w:r>
      <w:r>
        <w:rPr>
          <w:rFonts w:ascii="Arial" w:cs="Arial" w:eastAsia="Arial" w:hAnsi="Arial"/>
          <w:sz w:val="22"/>
          <w:szCs w:val="22"/>
          <w:color w:val="auto"/>
        </w:rPr>
        <w:t>), and (y) the Person providing Cash Collateral and the L/C-BA Issuer or Swing Line Lender, as applicable, may agree that Cash Collateral shall not be released but instead held to support future anticipated Fronting Exposure or other obligations.</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color w:val="auto"/>
        </w:rPr>
        <w:t>Defaulting Lenders</w:t>
      </w:r>
      <w:r>
        <w:rPr>
          <w:rFonts w:ascii="Arial" w:cs="Arial" w:eastAsia="Arial" w:hAnsi="Arial"/>
          <w:sz w:val="19"/>
          <w:szCs w:val="19"/>
          <w:color w:val="auto"/>
        </w:rPr>
        <w:t>.</w:t>
      </w:r>
    </w:p>
    <w:p>
      <w:pPr>
        <w:spacing w:after="0" w:line="212" w:lineRule="exact"/>
        <w:rPr>
          <w:sz w:val="20"/>
          <w:szCs w:val="20"/>
          <w:color w:val="auto"/>
        </w:rPr>
      </w:pPr>
    </w:p>
    <w:p>
      <w:pPr>
        <w:jc w:val="both"/>
        <w:ind w:right="20" w:firstLine="645"/>
        <w:spacing w:after="0"/>
        <w:tabs>
          <w:tab w:leader="none" w:pos="1293"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86" w:lineRule="exact"/>
        <w:rPr>
          <w:rFonts w:ascii="Arial" w:cs="Arial" w:eastAsia="Arial" w:hAnsi="Arial"/>
          <w:sz w:val="22"/>
          <w:szCs w:val="22"/>
          <w:color w:val="auto"/>
        </w:rPr>
      </w:pPr>
    </w:p>
    <w:p>
      <w:pPr>
        <w:jc w:val="both"/>
        <w:ind w:left="800" w:right="20" w:firstLine="655"/>
        <w:spacing w:after="0"/>
        <w:tabs>
          <w:tab w:leader="none" w:pos="2111"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That Defaulting Lender’s right to approve or disapprove any amendment, waiver or consent with respect to this Agreement shall be restricted as set forth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800" w:firstLine="655"/>
        <w:spacing w:after="0" w:line="269" w:lineRule="auto"/>
        <w:tabs>
          <w:tab w:leader="none" w:pos="2144"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and including any amounts made available to the Administrative Agent by that Defaulting Lender pursuant to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if such Defaulting Lender is a Revolving Lender, to the payment on a pro rata basis of any amounts owing by that Defaulting Lender to the L/C-BA Issuer or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such Defaulting Lenders is a Revolving Lender and if so determined by the Administrative Agent or requested by the L/C-BA Issuer or Swing Line Lender, to be held as Cash Collateral for future funding obligations of that Defaulting Lender of any participation in any Swing Line Loan, Letter of Credit or Bankers’ Acceptance;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Borrowing Agent may request (so long as no Default or Event of Default exists), to the funding of any Loan in respect of which that Defaulting Lender has failed to fund its portion thereof as required by this Agreement;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Borrowing Agent, to be held in a non-interest bearing deposit account and released in order to satisfy obligations of that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xml:space="preserve">, in the case of a Defaulting Lender under any Facility, to the payment of any amounts owing to the other Lenders under such Facility (in the case of the Revolving Credit Facility, including the L/C-BA Issuer or Swing Line Lender) as a result of any judgment of a court of competent jurisdiction obtained by any Lender under such Facility (in the case of the Revolving Credit Facility, including the L/C-BA Issuer or Swing Line Lender), against that Defaulting Lender as a result of that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so long as no Default or Event of Default exists, to the payment of any amounts owing to the Borrowers as a result of any judgment of a court of competent jurisdiction obtained by the Borrowers against that Defaulting Lender as a result of that Defaulting Lender’s breach of 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22" w:name="page123"/>
    <w:bookmarkEnd w:id="122"/>
    <w:p>
      <w:pPr>
        <w:jc w:val="both"/>
        <w:ind w:left="800"/>
        <w:spacing w:after="0" w:line="272" w:lineRule="auto"/>
        <w:rPr>
          <w:sz w:val="20"/>
          <w:szCs w:val="20"/>
          <w:color w:val="auto"/>
        </w:rPr>
      </w:pPr>
      <w:r>
        <w:rPr>
          <w:rFonts w:ascii="Arial" w:cs="Arial" w:eastAsia="Arial" w:hAnsi="Arial"/>
          <w:sz w:val="19"/>
          <w:szCs w:val="19"/>
          <w:color w:val="auto"/>
        </w:rPr>
        <w:t xml:space="preserve">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that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under any Facility or L/C-BA Borrowings in respect of which that Defaulting Lender has not fully funded its appropriate share and (y) such Loans or L/C-BA Borrowings were made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L/C-BA Borrowings owed to, all non-Defaulting Lenders under the applicable Facility on a pro rata basis (and ratably among all applicable Facilities computed in accordance with the Defaulting Lenders’ respective funding deficiencies) prior to being applied to the payment of any Loans of, or L/C-BA Borrowings owed to, that Defaulting Lender under the applicable Facility.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2.16(a)(ii)</w:t>
      </w:r>
      <w:r>
        <w:rPr>
          <w:rFonts w:ascii="Arial" w:cs="Arial" w:eastAsia="Arial" w:hAnsi="Arial"/>
          <w:sz w:val="19"/>
          <w:szCs w:val="19"/>
          <w:color w:val="auto"/>
        </w:rPr>
        <w:t xml:space="preserve"> shall be deemed paid to and redirected by that Defaulting Lender, and each Lender irrevocably consents hereto.</w:t>
      </w:r>
    </w:p>
    <w:p>
      <w:pPr>
        <w:spacing w:after="0" w:line="162" w:lineRule="exact"/>
        <w:rPr>
          <w:sz w:val="20"/>
          <w:szCs w:val="20"/>
          <w:color w:val="auto"/>
        </w:rPr>
      </w:pPr>
    </w:p>
    <w:p>
      <w:pPr>
        <w:jc w:val="both"/>
        <w:ind w:left="800" w:right="20" w:firstLine="655"/>
        <w:spacing w:after="0" w:line="282" w:lineRule="auto"/>
        <w:tabs>
          <w:tab w:leader="none" w:pos="2164"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That Defaulting Lender (x) shall not be entitled to receive any commitment fee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for any period during which that Lender is a Defaulting Lender (and the Borrowers shall (x)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9"/>
          <w:szCs w:val="19"/>
          <w:u w:val="single" w:color="auto"/>
          <w:color w:val="auto"/>
        </w:rPr>
        <w:t>Section 2.03(i)</w:t>
      </w:r>
      <w:r>
        <w:rPr>
          <w:rFonts w:ascii="Arial" w:cs="Arial" w:eastAsia="Arial" w:hAnsi="Arial"/>
          <w:sz w:val="19"/>
          <w:szCs w:val="19"/>
          <w:color w:val="auto"/>
        </w:rPr>
        <w:t xml:space="preserve"> and BA Fees as provided in </w:t>
      </w:r>
      <w:r>
        <w:rPr>
          <w:rFonts w:ascii="Arial" w:cs="Arial" w:eastAsia="Arial" w:hAnsi="Arial"/>
          <w:sz w:val="19"/>
          <w:szCs w:val="19"/>
          <w:u w:val="single" w:color="auto"/>
          <w:color w:val="auto"/>
        </w:rPr>
        <w:t>Section 2.03(j)</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800" w:right="20" w:firstLine="655"/>
        <w:spacing w:after="0" w:line="272" w:lineRule="auto"/>
        <w:tabs>
          <w:tab w:leader="none" w:pos="2152"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Revolving Percentages to Reduce Fronting Exposure</w:t>
      </w:r>
      <w:r>
        <w:rPr>
          <w:rFonts w:ascii="Arial" w:cs="Arial" w:eastAsia="Arial" w:hAnsi="Arial"/>
          <w:sz w:val="19"/>
          <w:szCs w:val="19"/>
          <w:color w:val="auto"/>
        </w:rPr>
        <w:t xml:space="preserve">. During any period in which a Revolving Lender is a Defaulting Lender, for purposes of computing the amount of the obligation of each Revolving Lender that is a non-Defaulting Lender to acquire, refinance or fund participations in Letters of Credit, Bankers’ Acceptances or Swing Line Loans pursuant to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the “Applicable Revolving Percentage” of each such non-Defaulting Lender shall be computed without giving effect to the Revolving Commitment of that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such reallocation shall be given effect only if, at the date the applicable Revolving Lender becomes a Defaulting Lender, no Default or Event of Default exists; and (ii) the aggregate obligation of each Revolving Lender that is a non-Defaulting Lender to acquire, refinance or fund participations in Letters of Credit, Bankers’ Acceptances and Swing Line Loans shall not exceed the positive difference, if any, of (1) the Revolving Commitment of that non-Defaulting Lender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(2) the aggregate Outstanding Amount of the Revolving Loans of that Revolving Lender.</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right="20" w:firstLine="645"/>
        <w:spacing w:after="0" w:line="247" w:lineRule="auto"/>
        <w:tabs>
          <w:tab w:leader="none" w:pos="1305"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Defaulting Lender Cure</w:t>
      </w:r>
      <w:r>
        <w:rPr>
          <w:rFonts w:ascii="Arial" w:cs="Arial" w:eastAsia="Arial" w:hAnsi="Arial"/>
          <w:sz w:val="21"/>
          <w:szCs w:val="21"/>
          <w:color w:val="auto"/>
        </w:rPr>
        <w:t>. If the Borrowing Agent, the Administrative Agent, Swing Line Lender and the L/C-BA Issuer agree in writing in their sole discretion that a Defaulting Lender under any Facility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under such Facility or take such other actions as the Administrative Agent may determine to be necessary to cause the Loans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23" w:name="page124"/>
    <w:bookmarkEnd w:id="123"/>
    <w:p>
      <w:pPr>
        <w:jc w:val="both"/>
        <w:spacing w:after="0" w:line="234" w:lineRule="auto"/>
        <w:rPr>
          <w:sz w:val="20"/>
          <w:szCs w:val="20"/>
          <w:color w:val="auto"/>
        </w:rPr>
      </w:pPr>
      <w:r>
        <w:rPr>
          <w:rFonts w:ascii="Arial" w:cs="Arial" w:eastAsia="Arial" w:hAnsi="Arial"/>
          <w:sz w:val="22"/>
          <w:szCs w:val="22"/>
          <w:color w:val="auto"/>
        </w:rPr>
        <w:t xml:space="preserve">under such Facility and funded and unfunded participations in Letters of Credit, Bankers’ Acceptances and Swing Line Loans to be held on a pro rata basis by the Lenders under such Facility in accordance with their Applicable Percentages (without giving effect to </w:t>
      </w:r>
      <w:r>
        <w:rPr>
          <w:rFonts w:ascii="Arial" w:cs="Arial" w:eastAsia="Arial" w:hAnsi="Arial"/>
          <w:sz w:val="22"/>
          <w:szCs w:val="22"/>
          <w:u w:val="single" w:color="auto"/>
          <w:color w:val="auto"/>
        </w:rPr>
        <w:t>Section 2.16(a)(iv))</w:t>
      </w:r>
      <w:r>
        <w:rPr>
          <w:rFonts w:ascii="Arial" w:cs="Arial" w:eastAsia="Arial" w:hAnsi="Arial"/>
          <w:sz w:val="22"/>
          <w:szCs w:val="22"/>
          <w:color w:val="auto"/>
        </w:rPr>
        <w:t xml:space="preserve">, whereupon that Lender will cease to be a Defaulting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color w:val="auto"/>
        </w:rPr>
        <w:t>Joint and Several Obligations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47" w:lineRule="auto"/>
        <w:tabs>
          <w:tab w:leader="none" w:pos="1293"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To the extent that this Agreement provides that any Obligations hereunder are joint and several, such joint and several obligations shall be absolute and unconditional and shall remain in full force and effect until the entire principal, interest, penalties, premiums and late charges, if any, on this Agreement and all additional payments, if any, due pursuant to any other Loan Document shall have been paid and, until such payment has been made, shall not be discharged, affected, modified or impaired upon the happening from time to time of any event, including, without limitation, any of the following (subject to the provisions of applicable law), whether or not with notice to or the consent of any of the Borrowers;</w:t>
      </w:r>
    </w:p>
    <w:p>
      <w:pPr>
        <w:spacing w:after="0" w:line="178" w:lineRule="exact"/>
        <w:rPr>
          <w:rFonts w:ascii="Arial" w:cs="Arial" w:eastAsia="Arial" w:hAnsi="Arial"/>
          <w:sz w:val="21"/>
          <w:szCs w:val="21"/>
          <w:color w:val="auto"/>
        </w:rPr>
      </w:pPr>
    </w:p>
    <w:p>
      <w:pPr>
        <w:jc w:val="both"/>
        <w:ind w:right="20" w:firstLine="645"/>
        <w:spacing w:after="0" w:line="297" w:lineRule="auto"/>
        <w:tabs>
          <w:tab w:leader="none" w:pos="130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waiver, compromise, settlement, release, termination or amendment (including, without limitation, any extension or postponement of the time for payment or performance or renewal or refinancing) of any or all of the Obligations or agreements of any of the Borrowers hereunder or any other Loan Document;</w:t>
      </w:r>
    </w:p>
    <w:p>
      <w:pPr>
        <w:spacing w:after="0" w:line="134" w:lineRule="exact"/>
        <w:rPr>
          <w:rFonts w:ascii="Arial" w:cs="Arial" w:eastAsia="Arial" w:hAnsi="Arial"/>
          <w:sz w:val="19"/>
          <w:szCs w:val="19"/>
          <w:color w:val="auto"/>
        </w:rPr>
      </w:pPr>
    </w:p>
    <w:p>
      <w:pPr>
        <w:ind w:right="20" w:firstLine="645"/>
        <w:spacing w:after="0" w:line="251" w:lineRule="auto"/>
        <w:tabs>
          <w:tab w:leader="none" w:pos="129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failure to give notice to any or all of the Borrowers of the occurrence of a default under the terms and provisions of this Agreement or any other Loan Document;</w:t>
      </w:r>
    </w:p>
    <w:p>
      <w:pPr>
        <w:spacing w:after="0" w:line="173" w:lineRule="exact"/>
        <w:rPr>
          <w:rFonts w:ascii="Arial" w:cs="Arial" w:eastAsia="Arial" w:hAnsi="Arial"/>
          <w:sz w:val="22"/>
          <w:szCs w:val="22"/>
          <w:color w:val="auto"/>
        </w:rPr>
      </w:pPr>
    </w:p>
    <w:p>
      <w:pPr>
        <w:jc w:val="both"/>
        <w:ind w:right="20" w:firstLine="645"/>
        <w:spacing w:after="0" w:line="238" w:lineRule="auto"/>
        <w:tabs>
          <w:tab w:leader="none" w:pos="130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release, substitution or exchange by the holder of this Agreement of any collateral securing any of the Obligations (whether with or without consideration) or the acceptance by the holder of this Agreement of any additional collateral or the availability or claimed availability of any other collateral or source of repayment or any non-perfection or other impairment of any collateral;</w:t>
      </w:r>
    </w:p>
    <w:p>
      <w:pPr>
        <w:spacing w:after="0" w:line="185" w:lineRule="exact"/>
        <w:rPr>
          <w:rFonts w:ascii="Arial" w:cs="Arial" w:eastAsia="Arial" w:hAnsi="Arial"/>
          <w:sz w:val="22"/>
          <w:szCs w:val="22"/>
          <w:color w:val="auto"/>
        </w:rPr>
      </w:pPr>
    </w:p>
    <w:p>
      <w:pPr>
        <w:jc w:val="both"/>
        <w:ind w:firstLine="645"/>
        <w:spacing w:after="0" w:line="282" w:lineRule="auto"/>
        <w:tabs>
          <w:tab w:leader="none" w:pos="129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release of any person primarily or secondarily liable for all or any part of the Obligations, whether by Administrative Agent or any other holder of this Agreement or in connection with any voluntary or involuntary liquidation, dissolution, receivership, insolvency, bankruptcy, assignment for the benefit of creditors or similar event or proceeding affecting any or all of the Borrowers or any other person or entity who, or any of whose property, shall at the time in question be obligated in respect of the Obligations or any part thereof; or</w:t>
      </w:r>
    </w:p>
    <w:p>
      <w:pPr>
        <w:spacing w:after="0" w:line="147" w:lineRule="exact"/>
        <w:rPr>
          <w:rFonts w:ascii="Arial" w:cs="Arial" w:eastAsia="Arial" w:hAnsi="Arial"/>
          <w:sz w:val="19"/>
          <w:szCs w:val="19"/>
          <w:color w:val="auto"/>
        </w:rPr>
      </w:pPr>
    </w:p>
    <w:p>
      <w:pPr>
        <w:jc w:val="both"/>
        <w:ind w:right="20" w:firstLine="645"/>
        <w:spacing w:after="0" w:line="258" w:lineRule="auto"/>
        <w:tabs>
          <w:tab w:leader="none" w:pos="131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to the extent permitted by law, any other event, occurrence, action or circumstance that would, in the absence of this clause, result in the release or discharge of any or all of the Borrowers from the performance or observance of any obligation, covenant or agreement contained in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24" w:name="page125"/>
    <w:bookmarkEnd w:id="124"/>
    <w:p>
      <w:pPr>
        <w:jc w:val="both"/>
        <w:ind w:firstLine="648"/>
        <w:spacing w:after="0" w:line="249" w:lineRule="auto"/>
        <w:rPr>
          <w:sz w:val="20"/>
          <w:szCs w:val="20"/>
          <w:color w:val="auto"/>
        </w:rPr>
      </w:pPr>
      <w:r>
        <w:rPr>
          <w:rFonts w:ascii="Arial" w:cs="Arial" w:eastAsia="Arial" w:hAnsi="Arial"/>
          <w:sz w:val="21"/>
          <w:szCs w:val="21"/>
          <w:color w:val="auto"/>
        </w:rPr>
        <w:t xml:space="preserve">Notwithstanding anything to the contrary contained in any Loan Document, but without limiting the generality of </w:t>
      </w:r>
      <w:r>
        <w:rPr>
          <w:rFonts w:ascii="Arial" w:cs="Arial" w:eastAsia="Arial" w:hAnsi="Arial"/>
          <w:sz w:val="21"/>
          <w:szCs w:val="21"/>
          <w:u w:val="single" w:color="auto"/>
          <w:color w:val="auto"/>
        </w:rPr>
        <w:t>Section 2.17(a)</w:t>
      </w:r>
      <w:r>
        <w:rPr>
          <w:rFonts w:ascii="Arial" w:cs="Arial" w:eastAsia="Arial" w:hAnsi="Arial"/>
          <w:sz w:val="21"/>
          <w:szCs w:val="21"/>
          <w:color w:val="auto"/>
        </w:rPr>
        <w:t>, it is agreed and understood that (1) WFS shall be jointly and severally liable for all Obligations arising hereunder and (2) each of WFS Europe and WFS Singapore shall only be jointly and severally liable for all Obligations of WFS Europe and WFS Singapore, including without limitation all Loans, L/C–BA Obligations and other Obligations made to either or both of them or any Foreign Subsidiary.</w:t>
      </w:r>
    </w:p>
    <w:p>
      <w:pPr>
        <w:spacing w:after="0" w:line="173"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9"/>
          <w:szCs w:val="19"/>
          <w:b w:val="1"/>
          <w:bCs w:val="1"/>
          <w:color w:val="auto"/>
        </w:rPr>
        <w:t xml:space="preserve">2.18 Borrowing Agent. </w:t>
      </w:r>
      <w:r>
        <w:rPr>
          <w:rFonts w:ascii="Arial" w:cs="Arial" w:eastAsia="Arial" w:hAnsi="Arial"/>
          <w:sz w:val="19"/>
          <w:szCs w:val="19"/>
          <w:color w:val="auto"/>
        </w:rPr>
        <w:t>To facilitate Borrowings by WFS Europe and WFS Singapore, each of which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 entity organized outside of the United States, each of WFS Europe and WFS Singapore appoints WFS as its Borrowing Agent with respect to the Revolving Credit Facility and the Domestic Term Loan Facilities. As the context may require, references to the Borrowing Agent in giving and receiving certain notices, requests and other documents in connection herewith shall be deemed to refer to WFS so acting on its own behalf as a Borrower. Each of the WFS Europe and WFS Singapore hereby directs the Administrative Agent, the Swing Line Lender and the L/C-BA Issuer, as applicable, to disburse the proceeds of each Loan, and to issue Letters of Credit and Bankers’ Acceptances, to or at the direction of the Borrowing Agent, and such distribution will, in all circumstances, be deemed to be made to each such Borrower. Each of WFS Europe and WFS Singapore hereby irrevocably designates, appoints, authorizes and directs the Borrowing Agent (including each Responsible Officer of the Borrowing Agent) to act on behalf of such Borrower with respect to the Revolving Credit Facility for the purposes set forth in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to act on behalf of such Borrower for purposes of any Request for Credit Extension of such Borrower and the giving and receiving all notices and certifications under this Agreement or any other Loan Document and otherwise for taking all other action contemplated to be taken by the Borrowing Agent (including each Responsible Officer of the Borrowing Agent) hereunder or under any other Loan Document. Each of the Administrative Agent, the Swing Line Lender and the L/C-BA Issuer, as applicable, is entitled to rely and act on the instructions of the Borrowing Agent, by and through any Responsible Officer of the Borrowing Agent, on behalf of each of WFS Europe and WFS Singapore. Notwithstanding any provision of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to the contrary, the Borrowing Agent shall not have the authority to request on behalf of any of WFS Europe and WFS Singapore the issuance of Letters of Credit or Bankers’ Acceptances, unless such Borrower for whose benefit such Letter of Credit or Bankers’ Acceptance is requested has joined in the execution of the Letter of Credit Application or Bankers’ Acceptance Request, as applicable, relating thereto.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survive the resignation of the Administrative Agent or of the L/C-BA Issuer, the replacement of any Lender, the termination of the Aggregate Commitments and the repayment, satisfaction or discharge of all other Obligations.</w:t>
      </w:r>
    </w:p>
    <w:p>
      <w:pPr>
        <w:spacing w:after="0" w:line="397" w:lineRule="exact"/>
        <w:rPr>
          <w:sz w:val="20"/>
          <w:szCs w:val="20"/>
          <w:color w:val="auto"/>
        </w:rPr>
      </w:pPr>
    </w:p>
    <w:p>
      <w:pPr>
        <w:ind w:left="660" w:right="1880" w:firstLine="1189"/>
        <w:spacing w:after="0" w:line="438" w:lineRule="auto"/>
        <w:rPr>
          <w:sz w:val="20"/>
          <w:szCs w:val="20"/>
          <w:color w:val="auto"/>
        </w:rPr>
      </w:pPr>
      <w:r>
        <w:rPr>
          <w:rFonts w:ascii="Arial" w:cs="Arial" w:eastAsia="Arial" w:hAnsi="Arial"/>
          <w:sz w:val="22"/>
          <w:szCs w:val="22"/>
          <w:b w:val="1"/>
          <w:bCs w:val="1"/>
          <w:color w:val="auto"/>
        </w:rPr>
        <w:t>ARTICLE III. TAXES, YIELD PROTECTION AND ILLEGALITY 3.01 Taxes</w:t>
      </w:r>
      <w:r>
        <w:rPr>
          <w:rFonts w:ascii="Arial" w:cs="Arial" w:eastAsia="Arial" w:hAnsi="Arial"/>
          <w:sz w:val="22"/>
          <w:szCs w:val="22"/>
          <w:color w:val="auto"/>
        </w:rPr>
        <w:t>.</w:t>
      </w:r>
    </w:p>
    <w:p>
      <w:pPr>
        <w:spacing w:after="0" w:line="1" w:lineRule="exact"/>
        <w:rPr>
          <w:sz w:val="20"/>
          <w:szCs w:val="20"/>
          <w:color w:val="auto"/>
        </w:rPr>
      </w:pPr>
    </w:p>
    <w:p>
      <w:pPr>
        <w:jc w:val="both"/>
        <w:ind w:firstLine="645"/>
        <w:spacing w:after="0" w:line="282" w:lineRule="auto"/>
        <w:tabs>
          <w:tab w:leader="none" w:pos="129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Any and all payments by or on account of any obligation of the Borrowers hereunder or under any other Loan Document shall to the extent permitted by applicable Laws be made free and clear of and without reduction or withholding for any Taxes. If, however, applicable Laws require the Borrowers or the Administrative Agent to withhold or deduct any Tax, such Tax shall be withheld or deducted in accordance with such Laws as determined by the Borrowers or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25" w:name="page126"/>
    <w:bookmarkEnd w:id="125"/>
    <w:p>
      <w:pPr>
        <w:jc w:val="both"/>
        <w:spacing w:after="0" w:line="244" w:lineRule="auto"/>
        <w:rPr>
          <w:sz w:val="20"/>
          <w:szCs w:val="20"/>
          <w:color w:val="auto"/>
        </w:rPr>
      </w:pPr>
      <w:r>
        <w:rPr>
          <w:rFonts w:ascii="Arial" w:cs="Arial" w:eastAsia="Arial" w:hAnsi="Arial"/>
          <w:sz w:val="21"/>
          <w:szCs w:val="21"/>
          <w:color w:val="auto"/>
        </w:rPr>
        <w:t xml:space="preserve">Administrative Agent, as the case may be, upon the basis of the information and documentation to be delivered pursuant to </w:t>
      </w:r>
      <w:r>
        <w:rPr>
          <w:rFonts w:ascii="Arial" w:cs="Arial" w:eastAsia="Arial" w:hAnsi="Arial"/>
          <w:sz w:val="21"/>
          <w:szCs w:val="21"/>
          <w:u w:val="single" w:color="auto"/>
          <w:color w:val="auto"/>
        </w:rPr>
        <w:t>subsection (e)</w:t>
      </w:r>
      <w:r>
        <w:rPr>
          <w:rFonts w:ascii="Arial" w:cs="Arial" w:eastAsia="Arial" w:hAnsi="Arial"/>
          <w:sz w:val="21"/>
          <w:szCs w:val="21"/>
          <w:color w:val="auto"/>
        </w:rPr>
        <w:t xml:space="preserve"> below. If the Borrowers or the Administrative Agent shall be required by Law to withhold or deduct any Taxes, including without limitation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21"/>
          <w:szCs w:val="21"/>
          <w:u w:val="single" w:color="auto"/>
          <w:color w:val="auto"/>
        </w:rPr>
        <w:t>subsection (e)</w:t>
      </w:r>
      <w:r>
        <w:rPr>
          <w:rFonts w:ascii="Arial" w:cs="Arial" w:eastAsia="Arial" w:hAnsi="Arial"/>
          <w:sz w:val="21"/>
          <w:szCs w:val="21"/>
          <w:color w:val="auto"/>
        </w:rPr>
        <w:t xml:space="preserve"> below, (B) the Administrative Agent shall timely pay the full amount withheld or deducted to the relevant Governmental Authority in accordance with applicable Law, and (C) to the extent that the withholding or deduction is made on account of Indemnified Taxes or Other Taxes, the sum payable by the Borrowers shall be increased as necessary so that after any required withholding or the making of all required deductions (including deductions applicable to additional sums payable under this Section) the Administrative Agent, Lender or L/C-BA Issuer, as the case may be, receives an amount equal to the sum it would have received had no such withholding or deduction been made.</w:t>
      </w:r>
    </w:p>
    <w:p>
      <w:pPr>
        <w:spacing w:after="0" w:line="188" w:lineRule="exact"/>
        <w:rPr>
          <w:sz w:val="20"/>
          <w:szCs w:val="20"/>
          <w:color w:val="auto"/>
        </w:rPr>
      </w:pPr>
    </w:p>
    <w:p>
      <w:pPr>
        <w:jc w:val="both"/>
        <w:ind w:firstLine="645"/>
        <w:spacing w:after="0"/>
        <w:tabs>
          <w:tab w:leader="none" w:pos="1305"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xml:space="preserve">. Without limiting the provisions of </w:t>
      </w:r>
      <w:r>
        <w:rPr>
          <w:rFonts w:ascii="Arial" w:cs="Arial" w:eastAsia="Arial" w:hAnsi="Arial"/>
          <w:sz w:val="22"/>
          <w:szCs w:val="22"/>
          <w:u w:val="single" w:color="auto"/>
          <w:color w:val="auto"/>
        </w:rPr>
        <w:t>subsection (a)</w:t>
      </w:r>
      <w:r>
        <w:rPr>
          <w:rFonts w:ascii="Arial" w:cs="Arial" w:eastAsia="Arial" w:hAnsi="Arial"/>
          <w:sz w:val="22"/>
          <w:szCs w:val="22"/>
          <w:color w:val="auto"/>
        </w:rPr>
        <w:t xml:space="preserve"> above, the Borrowers shall timely pay any Other Taxes to the relevant Governmental Authority in accordance with applicable Laws.</w:t>
      </w:r>
    </w:p>
    <w:p>
      <w:pPr>
        <w:spacing w:after="0" w:line="186" w:lineRule="exact"/>
        <w:rPr>
          <w:rFonts w:ascii="Arial" w:cs="Arial" w:eastAsia="Arial" w:hAnsi="Arial"/>
          <w:sz w:val="22"/>
          <w:szCs w:val="22"/>
          <w:color w:val="auto"/>
        </w:rPr>
      </w:pPr>
    </w:p>
    <w:p>
      <w:pPr>
        <w:ind w:left="1280" w:hanging="635"/>
        <w:spacing w:after="0"/>
        <w:tabs>
          <w:tab w:leader="none" w:pos="12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Tax Indemnifications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00" w:firstLine="655"/>
        <w:spacing w:after="0" w:line="270" w:lineRule="auto"/>
        <w:tabs>
          <w:tab w:leader="none" w:pos="2111"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Borrowers shall, and do hereby, indemnify the Administrative Agent, each Lender and the L/C-BA Issuer, and shall make payment in respect thereof within 30 days (or, in the case of Other Taxes that are goods and services, value-added or similar Taxes, three Business Days) after written demand therefor, for the full amount of any Indemnified Taxes or Other Taxes (including Indemnified Taxes or Other Taxes imposed or asserted on or attributable to amounts payable under this Section) withheld or deducted by the Borrowers or the Administrative Agent or paid by the Administrative Agent, such Lender or the L/C-BA Issuer, as the case may be, and any penalties, interest and reasonable expenses arising therefrom or with respect thereto, whether or not such Indemnified Taxes or Other Taxes were correctly or legally imposed or asserted by the relevant Governmental Authority. The Borrowers shall also, and do hereby, indemnify the Administrative Agent, and shall make payment in respect thereof within 30 days after written demand therefor, for any amount which a Lender or the L/C-BA Issuer for any reason fails to pay indefeasibly to the Administrative Agent as required by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subsection. A certificate as to the amount of any such payment or liability delivered to the Borrowers by a Lender or the L/C-BA Issuer (with a copy to the Administrative Agent), or by the Administrative Agent on its own behalf or on behalf of a Lender or the L/C-BA Issuer, shall be conclusive absent manifest error; provided, however, that no Borrower shall be required to provide indemnification under this paragraph for any payment or liability incurred more than six months prior to the date that such certificate is delivered.</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800" w:right="20" w:firstLine="655"/>
        <w:spacing w:after="0"/>
        <w:tabs>
          <w:tab w:leader="none" w:pos="214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Without limiting the provisions of </w:t>
      </w:r>
      <w:r>
        <w:rPr>
          <w:rFonts w:ascii="Arial" w:cs="Arial" w:eastAsia="Arial" w:hAnsi="Arial"/>
          <w:sz w:val="22"/>
          <w:szCs w:val="22"/>
          <w:u w:val="single" w:color="auto"/>
          <w:color w:val="auto"/>
        </w:rPr>
        <w:t>subsection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each Lender and the L/C-BA Issuer shall, and do hereby, indemnify the Borrowers and the Administrative Agent, and shall make payment in respect thereof within 30 days after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26" w:name="page127"/>
    <w:bookmarkEnd w:id="126"/>
    <w:p>
      <w:pPr>
        <w:jc w:val="both"/>
        <w:ind w:left="800"/>
        <w:spacing w:after="0" w:line="269" w:lineRule="auto"/>
        <w:rPr>
          <w:sz w:val="20"/>
          <w:szCs w:val="20"/>
          <w:color w:val="auto"/>
        </w:rPr>
      </w:pPr>
      <w:r>
        <w:rPr>
          <w:rFonts w:ascii="Arial" w:cs="Arial" w:eastAsia="Arial" w:hAnsi="Arial"/>
          <w:sz w:val="19"/>
          <w:szCs w:val="19"/>
          <w:color w:val="auto"/>
        </w:rPr>
        <w:t xml:space="preserve">written demand therefor, against any and all Taxes and any and all related losses, claims, liabilities, penalties, interest and expenses (including the fees, charges and disbursements of any counsel for the Borrowers or the Administrative Agent) incurred by or asserted against the Borrowers or the Administrative Agent by any Governmental Authority as a result of the failure by such Lender or the L/C-BA Issuer, as the case may be, to deliver, or as a result of the inaccuracy, inadequacy or deficiency of, any documentation required to be delivered by such Lender or the L/C-BA Issuer, as the case may be, to the Borrowers or the Administrative Agent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Each Lender and the L/C-BA Issuer hereby authorizes the Administrative Agent to set off and apply any and all amounts at any time owing to such Lender or the L/C-BA Issuer, as the case may be, under this Agreement or any other Loan Document against any amount due to the Administrative Agent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clause</w:t>
      </w:r>
    </w:p>
    <w:p>
      <w:pPr>
        <w:spacing w:after="0" w:line="1" w:lineRule="exact"/>
        <w:rPr>
          <w:sz w:val="20"/>
          <w:szCs w:val="20"/>
          <w:color w:val="auto"/>
        </w:rPr>
      </w:pPr>
    </w:p>
    <w:p>
      <w:pPr>
        <w:jc w:val="both"/>
        <w:ind w:left="800" w:right="20" w:firstLine="7"/>
        <w:spacing w:after="0" w:line="249" w:lineRule="auto"/>
        <w:tabs>
          <w:tab w:leader="none" w:pos="1118" w:val="left"/>
        </w:tabs>
        <w:numPr>
          <w:ilvl w:val="1"/>
          <w:numId w:val="108"/>
        </w:numPr>
        <w:rPr>
          <w:rFonts w:ascii="Arial" w:cs="Arial" w:eastAsia="Arial" w:hAnsi="Arial"/>
          <w:sz w:val="21"/>
          <w:szCs w:val="21"/>
          <w:u w:val="single" w:color="auto"/>
          <w:color w:val="auto"/>
        </w:rPr>
      </w:pPr>
      <w:r>
        <w:rPr>
          <w:rFonts w:ascii="Arial" w:cs="Arial" w:eastAsia="Arial" w:hAnsi="Arial"/>
          <w:sz w:val="21"/>
          <w:szCs w:val="21"/>
          <w:color w:val="auto"/>
        </w:rPr>
        <w:t>shall survive the resignation and/or replacement of the Administrative Agent, any assignment of rights by, or the replacement of, a Lender or the L/C-BA Issuer, the termination of the Aggregate Commitments and the repayment, satisfaction or discharge of all other Obligations.</w:t>
      </w:r>
    </w:p>
    <w:p>
      <w:pPr>
        <w:spacing w:after="0" w:line="175" w:lineRule="exact"/>
        <w:rPr>
          <w:rFonts w:ascii="Arial" w:cs="Arial" w:eastAsia="Arial" w:hAnsi="Arial"/>
          <w:sz w:val="21"/>
          <w:szCs w:val="21"/>
          <w:u w:val="single" w:color="auto"/>
          <w:color w:val="auto"/>
        </w:rPr>
      </w:pPr>
    </w:p>
    <w:p>
      <w:pPr>
        <w:jc w:val="both"/>
        <w:ind w:right="20" w:firstLine="645"/>
        <w:spacing w:after="0" w:line="234" w:lineRule="auto"/>
        <w:tabs>
          <w:tab w:leader="none" w:pos="1305"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xml:space="preserve">. Upon request by the Borrowers or the Administrative Agent, as the case may be, after any payment of Taxes by the Borrowers or by the Administrative Agent to a Governmental Authority as provided in this </w:t>
      </w:r>
      <w:r>
        <w:rPr>
          <w:rFonts w:ascii="Arial" w:cs="Arial" w:eastAsia="Arial" w:hAnsi="Arial"/>
          <w:sz w:val="22"/>
          <w:szCs w:val="22"/>
          <w:u w:val="single" w:color="auto"/>
          <w:color w:val="auto"/>
        </w:rPr>
        <w:t>Section 3.01</w:t>
      </w:r>
      <w:r>
        <w:rPr>
          <w:rFonts w:ascii="Arial" w:cs="Arial" w:eastAsia="Arial" w:hAnsi="Arial"/>
          <w:sz w:val="22"/>
          <w:szCs w:val="22"/>
          <w:color w:val="auto"/>
        </w:rPr>
        <w:t>, the Borrowers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Borrowers or the Administrative Agent, as the case may be.</w:t>
      </w:r>
    </w:p>
    <w:p>
      <w:pPr>
        <w:spacing w:after="0" w:line="191" w:lineRule="exact"/>
        <w:rPr>
          <w:rFonts w:ascii="Arial" w:cs="Arial" w:eastAsia="Arial" w:hAnsi="Arial"/>
          <w:sz w:val="22"/>
          <w:szCs w:val="22"/>
          <w:color w:val="auto"/>
        </w:rPr>
      </w:pPr>
    </w:p>
    <w:p>
      <w:pPr>
        <w:ind w:left="1280" w:hanging="635"/>
        <w:spacing w:after="0"/>
        <w:tabs>
          <w:tab w:leader="none" w:pos="128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Status of Lenders; Tax Documentation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00" w:firstLine="655"/>
        <w:spacing w:after="0" w:line="245" w:lineRule="auto"/>
        <w:tabs>
          <w:tab w:leader="none" w:pos="2111" w:val="left"/>
        </w:tabs>
        <w:numPr>
          <w:ilvl w:val="2"/>
          <w:numId w:val="109"/>
        </w:numPr>
        <w:rPr>
          <w:rFonts w:ascii="Arial" w:cs="Arial" w:eastAsia="Arial" w:hAnsi="Arial"/>
          <w:sz w:val="21"/>
          <w:szCs w:val="21"/>
          <w:color w:val="auto"/>
        </w:rPr>
      </w:pPr>
      <w:r>
        <w:rPr>
          <w:rFonts w:ascii="Arial" w:cs="Arial" w:eastAsia="Arial" w:hAnsi="Arial"/>
          <w:sz w:val="21"/>
          <w:szCs w:val="21"/>
          <w:color w:val="auto"/>
        </w:rPr>
        <w:t>Each Lender shall deliver to the Borrowers and to the Administrative Agent, at the time or times prescribed by applicable Laws or when reasonably requested by the Borrowers or the Administrative Agent, such properly completed and executed documentation prescribed by applicable Laws or by the taxing authorities of any jurisdiction and such other reasonably requested information as will permit the Borrowers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Borrowers pursuant to this Agreement or otherwise to establish such Lender’s status for withholding tax purposes in the applicable jurisdiction.</w:t>
      </w:r>
    </w:p>
    <w:p>
      <w:pPr>
        <w:spacing w:after="0" w:line="181" w:lineRule="exact"/>
        <w:rPr>
          <w:rFonts w:ascii="Arial" w:cs="Arial" w:eastAsia="Arial" w:hAnsi="Arial"/>
          <w:sz w:val="21"/>
          <w:szCs w:val="21"/>
          <w:color w:val="auto"/>
        </w:rPr>
      </w:pPr>
    </w:p>
    <w:p>
      <w:pPr>
        <w:ind w:left="800" w:right="20" w:firstLine="655"/>
        <w:spacing w:after="0" w:line="251" w:lineRule="auto"/>
        <w:tabs>
          <w:tab w:leader="none" w:pos="2144" w:val="left"/>
        </w:tabs>
        <w:numPr>
          <w:ilvl w:val="2"/>
          <w:numId w:val="109"/>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if any Borrower is resident for tax purposes in the United States,</w:t>
      </w:r>
    </w:p>
    <w:p>
      <w:pPr>
        <w:spacing w:after="0" w:line="173" w:lineRule="exact"/>
        <w:rPr>
          <w:sz w:val="20"/>
          <w:szCs w:val="20"/>
          <w:color w:val="auto"/>
        </w:rPr>
      </w:pPr>
    </w:p>
    <w:p>
      <w:pPr>
        <w:jc w:val="both"/>
        <w:ind w:left="1300" w:right="20" w:firstLine="641"/>
        <w:spacing w:after="0"/>
        <w:tabs>
          <w:tab w:leader="none" w:pos="262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any Lender that is a “United States person” within the meaning of Section 7701(a)(30) of the Code shall deliver to the Borrowers and the Administrative Agent duly completed and executed originals of Internal Revenue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27" w:name="page128"/>
    <w:bookmarkEnd w:id="127"/>
    <w:p>
      <w:pPr>
        <w:jc w:val="both"/>
        <w:ind w:left="760" w:right="20"/>
        <w:spacing w:after="0" w:line="252" w:lineRule="auto"/>
        <w:rPr>
          <w:sz w:val="20"/>
          <w:szCs w:val="20"/>
          <w:color w:val="auto"/>
        </w:rPr>
      </w:pPr>
      <w:r>
        <w:rPr>
          <w:rFonts w:ascii="Arial" w:cs="Arial" w:eastAsia="Arial" w:hAnsi="Arial"/>
          <w:sz w:val="21"/>
          <w:szCs w:val="21"/>
          <w:color w:val="auto"/>
        </w:rPr>
        <w:t>Service Form W-9 or such other documentation or information prescribed by applicable Laws or reasonably requested by the Borrowers or the Administrative Agent as will enable the Borrowers or the Administrative Agent, as the case may be, to determine whether or not such Lender is subject to backup withholding or information reporting requirements; and</w:t>
      </w:r>
    </w:p>
    <w:p>
      <w:pPr>
        <w:spacing w:after="0" w:line="175" w:lineRule="exact"/>
        <w:rPr>
          <w:sz w:val="20"/>
          <w:szCs w:val="20"/>
          <w:color w:val="auto"/>
        </w:rPr>
      </w:pPr>
    </w:p>
    <w:p>
      <w:pPr>
        <w:jc w:val="both"/>
        <w:ind w:left="760" w:firstLine="641"/>
        <w:spacing w:after="0" w:line="247" w:lineRule="auto"/>
        <w:tabs>
          <w:tab w:leader="none" w:pos="2088" w:val="left"/>
        </w:tabs>
        <w:numPr>
          <w:ilvl w:val="0"/>
          <w:numId w:val="111"/>
        </w:numPr>
        <w:rPr>
          <w:rFonts w:ascii="Arial" w:cs="Arial" w:eastAsia="Arial" w:hAnsi="Arial"/>
          <w:sz w:val="21"/>
          <w:szCs w:val="21"/>
          <w:color w:val="auto"/>
        </w:rPr>
      </w:pPr>
      <w:r>
        <w:rPr>
          <w:rFonts w:ascii="Arial" w:cs="Arial" w:eastAsia="Arial" w:hAnsi="Arial"/>
          <w:sz w:val="21"/>
          <w:szCs w:val="21"/>
          <w:color w:val="auto"/>
        </w:rPr>
        <w:t>each Foreign Lender that is entitled under the Code or any applicable treaty to an exemption from or reduction of withholding tax with respect to payments hereunder or under any other Loan Document shall deliver to the Borrowers and the Administrative Agent (in such number of copies as shall be requested by the recipient) on or prior to the date on which such Foreign Lender becomes a Lender under this Agreement (and from time to time thereafter upon the request of the Borrowers or the Administrative Agent, but only if such Foreign Lender is legally entitled to do so), whichever of the following is applicable:</w:t>
      </w:r>
    </w:p>
    <w:p>
      <w:pPr>
        <w:spacing w:after="0" w:line="178" w:lineRule="exact"/>
        <w:rPr>
          <w:rFonts w:ascii="Arial" w:cs="Arial" w:eastAsia="Arial" w:hAnsi="Arial"/>
          <w:sz w:val="21"/>
          <w:szCs w:val="21"/>
          <w:color w:val="auto"/>
        </w:rPr>
      </w:pPr>
    </w:p>
    <w:p>
      <w:pPr>
        <w:jc w:val="both"/>
        <w:ind w:left="1400" w:right="20" w:firstLine="649"/>
        <w:spacing w:after="0"/>
        <w:tabs>
          <w:tab w:leader="none" w:pos="271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duly completed and executed originals of Internal Revenue Service Form W-8BEN-E or W-8BEN, as applicable, claiming eligibility for benefits of an income tax treaty to which the United States is a party,</w:t>
      </w:r>
    </w:p>
    <w:p>
      <w:pPr>
        <w:spacing w:after="0" w:line="186" w:lineRule="exact"/>
        <w:rPr>
          <w:sz w:val="20"/>
          <w:szCs w:val="20"/>
          <w:color w:val="auto"/>
        </w:rPr>
      </w:pPr>
    </w:p>
    <w:p>
      <w:pPr>
        <w:ind w:left="2720" w:hanging="671"/>
        <w:spacing w:after="0"/>
        <w:tabs>
          <w:tab w:leader="none" w:pos="27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duly completed and executed originals of Internal Revenue Service Form W-</w:t>
      </w:r>
    </w:p>
    <w:p>
      <w:pPr>
        <w:spacing w:after="0" w:line="4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8ECI,</w:t>
      </w:r>
    </w:p>
    <w:p>
      <w:pPr>
        <w:spacing w:after="0" w:line="188" w:lineRule="exact"/>
        <w:rPr>
          <w:sz w:val="20"/>
          <w:szCs w:val="20"/>
          <w:color w:val="auto"/>
        </w:rPr>
      </w:pPr>
    </w:p>
    <w:p>
      <w:pPr>
        <w:ind w:left="1400" w:firstLine="649"/>
        <w:spacing w:after="0" w:line="251" w:lineRule="auto"/>
        <w:tabs>
          <w:tab w:leader="none" w:pos="274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duly completed and executed originals of Internal Revenue Service Form W-8IMY and all required supporting documentation,</w:t>
      </w:r>
    </w:p>
    <w:p>
      <w:pPr>
        <w:spacing w:after="0" w:line="173" w:lineRule="exact"/>
        <w:rPr>
          <w:sz w:val="20"/>
          <w:szCs w:val="20"/>
          <w:color w:val="auto"/>
        </w:rPr>
      </w:pPr>
    </w:p>
    <w:p>
      <w:pPr>
        <w:jc w:val="both"/>
        <w:ind w:left="1400" w:right="20" w:firstLine="648"/>
        <w:spacing w:after="0" w:line="273" w:lineRule="auto"/>
        <w:rPr>
          <w:sz w:val="20"/>
          <w:szCs w:val="20"/>
          <w:color w:val="auto"/>
        </w:rPr>
      </w:pPr>
      <w:r>
        <w:rPr>
          <w:rFonts w:ascii="Arial" w:cs="Arial" w:eastAsia="Arial" w:hAnsi="Arial"/>
          <w:sz w:val="19"/>
          <w:szCs w:val="19"/>
          <w:color w:val="auto"/>
        </w:rPr>
        <w:t>(IV) in the case of a Foreign Lender claiming the benefits of the exemption for portfolio interest under section 881(c) of the Code, (x) a certificate to the effect that such Foreign Lender is not (A) a “bank” within the meaning of section 881(c)(3)(A) of the Code,</w:t>
      </w:r>
    </w:p>
    <w:p>
      <w:pPr>
        <w:spacing w:after="0" w:line="2" w:lineRule="exact"/>
        <w:rPr>
          <w:sz w:val="20"/>
          <w:szCs w:val="20"/>
          <w:color w:val="auto"/>
        </w:rPr>
      </w:pPr>
    </w:p>
    <w:p>
      <w:pPr>
        <w:jc w:val="both"/>
        <w:ind w:left="1400" w:right="20" w:firstLine="1"/>
        <w:spacing w:after="0" w:line="233" w:lineRule="auto"/>
        <w:tabs>
          <w:tab w:leader="none" w:pos="1759"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 “10 percent shareholder” of the Borrowers within the meaning of section 881(c)(3)(B) of the Code, or (C) a “controlled foreign corporation” described in section 881(c)(3)(C) of the Code and (y) duly completed and executed originals of Internal Revenue Service Form W-8BEN-E or W-8BEN, as applicable, or</w:t>
      </w:r>
    </w:p>
    <w:p>
      <w:pPr>
        <w:spacing w:after="0" w:line="188" w:lineRule="exact"/>
        <w:rPr>
          <w:rFonts w:ascii="Arial" w:cs="Arial" w:eastAsia="Arial" w:hAnsi="Arial"/>
          <w:sz w:val="22"/>
          <w:szCs w:val="22"/>
          <w:color w:val="auto"/>
        </w:rPr>
      </w:pPr>
    </w:p>
    <w:p>
      <w:pPr>
        <w:jc w:val="both"/>
        <w:ind w:left="1400" w:right="20" w:firstLine="649"/>
        <w:spacing w:after="0" w:line="236" w:lineRule="auto"/>
        <w:tabs>
          <w:tab w:leader="none" w:pos="2726" w:val="left"/>
        </w:tabs>
        <w:numPr>
          <w:ilvl w:val="2"/>
          <w:numId w:val="114"/>
        </w:numPr>
        <w:rPr>
          <w:rFonts w:ascii="Arial" w:cs="Arial" w:eastAsia="Arial" w:hAnsi="Arial"/>
          <w:sz w:val="22"/>
          <w:szCs w:val="22"/>
          <w:color w:val="auto"/>
        </w:rPr>
      </w:pPr>
      <w:r>
        <w:rPr>
          <w:rFonts w:ascii="Arial" w:cs="Arial" w:eastAsia="Arial" w:hAnsi="Arial"/>
          <w:sz w:val="22"/>
          <w:szCs w:val="22"/>
          <w:color w:val="auto"/>
        </w:rPr>
        <w:t>duly completed and executed originals of any other form prescribed by applicable Laws as a basis for claiming exemption from or a reduction in United States Federal withholding tax together with such supplementary documentation as may be prescribed by applicable Laws to permit the Borrowers or the Administrative Agent to determine the withholding or deduction required to be made.</w:t>
      </w:r>
    </w:p>
    <w:p>
      <w:pPr>
        <w:spacing w:after="0" w:line="187" w:lineRule="exact"/>
        <w:rPr>
          <w:rFonts w:ascii="Arial" w:cs="Arial" w:eastAsia="Arial" w:hAnsi="Arial"/>
          <w:sz w:val="22"/>
          <w:szCs w:val="22"/>
          <w:color w:val="auto"/>
        </w:rPr>
      </w:pPr>
    </w:p>
    <w:p>
      <w:pPr>
        <w:jc w:val="both"/>
        <w:ind w:left="260" w:right="20" w:firstLine="655"/>
        <w:spacing w:after="0" w:line="282" w:lineRule="auto"/>
        <w:tabs>
          <w:tab w:leader="none" w:pos="162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any payment made pursuant to this Agreement to any Lender, the L/C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the L/C Issuer or other recipient</w:t>
      </w:r>
    </w:p>
    <w:p>
      <w:pPr>
        <w:spacing w:after="0" w:line="14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128" w:name="page129"/>
    <w:bookmarkEnd w:id="128"/>
    <w:p>
      <w:pPr>
        <w:jc w:val="both"/>
        <w:ind w:left="800"/>
        <w:spacing w:after="0" w:line="234" w:lineRule="auto"/>
        <w:rPr>
          <w:sz w:val="20"/>
          <w:szCs w:val="20"/>
          <w:color w:val="auto"/>
        </w:rPr>
      </w:pPr>
      <w:r>
        <w:rPr>
          <w:rFonts w:ascii="Arial" w:cs="Arial" w:eastAsia="Arial" w:hAnsi="Arial"/>
          <w:sz w:val="22"/>
          <w:szCs w:val="22"/>
          <w:color w:val="auto"/>
        </w:rPr>
        <w:t>shall deliver to the Borrowing Agent and the Administrative Agent at the time or times prescribed by law and at such time or times reasonably requested by the Borrowing Agent or the Administrative Agent such documentation prescribed by applicable law (including as prescribed by Section 1471(b)(3)(C)(i) of the Code) and such additional documentation reasonably requested by the Borrowing Agent or the Administrative Agent as may be necessary for the Borrowing Agent and the Administrative Agent to comply with their obligations under FATCA and to determine that such recipient has complied with such recipient’s obligations under FATCA or to determine the amount to deduct and withhold from such payment.</w:t>
      </w:r>
    </w:p>
    <w:p>
      <w:pPr>
        <w:spacing w:after="0" w:line="188" w:lineRule="exact"/>
        <w:rPr>
          <w:sz w:val="20"/>
          <w:szCs w:val="20"/>
          <w:color w:val="auto"/>
        </w:rPr>
      </w:pPr>
    </w:p>
    <w:p>
      <w:pPr>
        <w:jc w:val="both"/>
        <w:ind w:left="800" w:right="20" w:firstLine="655"/>
        <w:spacing w:after="0" w:line="236" w:lineRule="auto"/>
        <w:tabs>
          <w:tab w:leader="none" w:pos="215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Each Lender, the L/C Issuer and any other recipient of any payment to be made by or on account of any obligation under this Agreement agrees that if any form or certification it previously delivered pursuant to this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expires or becomes obsolete or inaccurate in any respect, it shall update such form or certification or promptly notify the Borrowing Agent and the Administrative Agent in writing of its legal inability to do so.</w:t>
      </w:r>
    </w:p>
    <w:p>
      <w:pPr>
        <w:spacing w:after="0" w:line="187" w:lineRule="exact"/>
        <w:rPr>
          <w:rFonts w:ascii="Arial" w:cs="Arial" w:eastAsia="Arial" w:hAnsi="Arial"/>
          <w:sz w:val="22"/>
          <w:szCs w:val="22"/>
          <w:color w:val="auto"/>
        </w:rPr>
      </w:pPr>
    </w:p>
    <w:p>
      <w:pPr>
        <w:jc w:val="both"/>
        <w:ind w:left="800" w:firstLine="655"/>
        <w:spacing w:after="0" w:line="274" w:lineRule="auto"/>
        <w:tabs>
          <w:tab w:leader="none" w:pos="210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Each Lender shall promptly (A) notify the Borrowing Agent and the Administrative Agent in writing of any change in circumstances which would modify or render invalid any claimed exemption or reduction, and (B) deliver to the Borrowing Agent and to the Administrative Agent such duly completed and executed documentation prescribed by applicable Laws as will permit payments hereunder or under any other Loan Document to be made without withholding or at a reduced rate of withholding and take such other steps as shall not be materially disadvantageous to it, in the reasonable judgment of such Lender, and as may be reasonably necessary (including the re-designation of its Lending Office) to avoid any requirement of applicable Laws of any jurisdiction that the Borrowers or the Administrative Agent make any withholding or deduction for taxes from amounts payable to such Lender.</w:t>
      </w:r>
    </w:p>
    <w:p>
      <w:pPr>
        <w:spacing w:after="0" w:line="158" w:lineRule="exact"/>
        <w:rPr>
          <w:rFonts w:ascii="Arial" w:cs="Arial" w:eastAsia="Arial" w:hAnsi="Arial"/>
          <w:sz w:val="19"/>
          <w:szCs w:val="19"/>
          <w:color w:val="auto"/>
        </w:rPr>
      </w:pPr>
    </w:p>
    <w:p>
      <w:pPr>
        <w:jc w:val="both"/>
        <w:ind w:firstLine="645"/>
        <w:spacing w:after="0" w:line="271" w:lineRule="auto"/>
        <w:tabs>
          <w:tab w:leader="none" w:pos="131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the L/C-BA Issuer, or have any obligation to pay to any Lender or the L/C-BA Issuer, any refund of Taxes withheld or deducted from funds paid for the account of such Lender or the L/C-BA Issuer, as the case may be. If the Administrative Agent, any Lender or the L/C-BA Issuer determines, in its sole discretion, that it has received a refund of any Taxes or Other Taxes as to which it has been indemnified by the Borrowers or with respect to which the Borrowers has paid additional amounts pursuant to this Section, it shall pay to the Borrowers an amount equal to such refund (but only to the extent of indemnity payments made, or additional amounts paid, by the Borrowers under this Section with respect to the Taxes or Other Taxes giving rise to such refund), net of all out-of-pocket expenses incurred by the Administrative Agent, such Lender or the L/C-BA Issuer,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such Lender or the L/C-BA Issuer, agrees to repay the amount paid over to the Borrowers (plus any penalties, interest or other charges imposed by the relevant Governmental Authority) to the Administrative Agent, such Lender or the L/C-BA Issuer in the event the Administrative Agent, such Lender or the L/C-BA Issuer is required to repay such refund to such Governmental Authority. This subsection shall not be construed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29" w:name="page130"/>
    <w:bookmarkEnd w:id="129"/>
    <w:p>
      <w:pPr>
        <w:ind w:right="20"/>
        <w:spacing w:after="0" w:line="274" w:lineRule="auto"/>
        <w:rPr>
          <w:sz w:val="20"/>
          <w:szCs w:val="20"/>
          <w:color w:val="auto"/>
        </w:rPr>
      </w:pPr>
      <w:r>
        <w:rPr>
          <w:rFonts w:ascii="Arial" w:cs="Arial" w:eastAsia="Arial" w:hAnsi="Arial"/>
          <w:sz w:val="21"/>
          <w:szCs w:val="21"/>
          <w:color w:val="auto"/>
        </w:rPr>
        <w:t>require the Administrative Agent, any Lender or the L/C-BA Issuer to make available its tax returns (or any other information relating to its taxes that it deems confidential) to the Borrowers or any other Person.</w:t>
      </w:r>
    </w:p>
    <w:p>
      <w:pPr>
        <w:spacing w:after="0" w:line="14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Illegality</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69" w:lineRule="auto"/>
        <w:tabs>
          <w:tab w:leader="none" w:pos="129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Illegality to Make, Maintain or Fund Certain Loans</w:t>
      </w:r>
      <w:r>
        <w:rPr>
          <w:rFonts w:ascii="Arial" w:cs="Arial" w:eastAsia="Arial" w:hAnsi="Arial"/>
          <w:sz w:val="19"/>
          <w:szCs w:val="19"/>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Borrowing Agent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Borrowing Agent that the circumstances giving rise to such determination no longer exist. Upon receipt of such notice, (x) the Borrowers shall, upon demand from such Lender (with a copy to the Administrative Agent),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conversion, the Borrowers shall also pay accrued interest on the amount so converted. If the making or maintaining of both Eurodollar Rate Loans and Base Rate Loans is illegal, with respect to WFS Europe or WFS Singapore, the Administrative Agent, the Lenders and the Borrowers shall negotiate in good faith to agree on an alternate cost of funds plus an applicable margin.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645"/>
        <w:spacing w:after="0" w:line="247" w:lineRule="auto"/>
        <w:tabs>
          <w:tab w:leader="none" w:pos="1305"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Designated Lenders and Illegality</w:t>
      </w:r>
      <w:r>
        <w:rPr>
          <w:rFonts w:ascii="Arial" w:cs="Arial" w:eastAsia="Arial" w:hAnsi="Arial"/>
          <w:sz w:val="21"/>
          <w:szCs w:val="21"/>
          <w:color w:val="auto"/>
        </w:rPr>
        <w:t>. Each Lender at its option may make any Credit Extension to any Borrower by causing any domestic or foreign branch or Affiliate of such Lender (each a “</w:t>
      </w:r>
      <w:r>
        <w:rPr>
          <w:rFonts w:ascii="Arial" w:cs="Arial" w:eastAsia="Arial" w:hAnsi="Arial"/>
          <w:sz w:val="21"/>
          <w:szCs w:val="21"/>
          <w:u w:val="single" w:color="auto"/>
          <w:color w:val="auto"/>
        </w:rPr>
        <w:t>Designated Lender</w:t>
      </w:r>
      <w:r>
        <w:rPr>
          <w:rFonts w:ascii="Arial" w:cs="Arial" w:eastAsia="Arial" w:hAnsi="Arial"/>
          <w:sz w:val="21"/>
          <w:szCs w:val="21"/>
          <w:color w:val="auto"/>
        </w:rPr>
        <w:t xml:space="preserve">”) to make such Credit Extension (and in the case of an Affiliate, the provisions of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10.04</w:t>
      </w:r>
      <w:r>
        <w:rPr>
          <w:rFonts w:ascii="Arial" w:cs="Arial" w:eastAsia="Arial" w:hAnsi="Arial"/>
          <w:sz w:val="21"/>
          <w:szCs w:val="21"/>
          <w:color w:val="auto"/>
        </w:rPr>
        <w:t xml:space="preserve"> shall apply to such Affiliate to the same extent as to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the relevant Borrower to repay such Credit Extension in accordance with the terms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if any Lender or any Designated Lender determines that any Law has made it unlawful, or that any Governmental Authority has asserted that it 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30" w:name="page131"/>
    <w:bookmarkEnd w:id="130"/>
    <w:p>
      <w:pPr>
        <w:jc w:val="both"/>
        <w:spacing w:after="0" w:line="235" w:lineRule="auto"/>
        <w:rPr>
          <w:sz w:val="20"/>
          <w:szCs w:val="20"/>
          <w:color w:val="auto"/>
        </w:rPr>
      </w:pPr>
      <w:r>
        <w:rPr>
          <w:rFonts w:ascii="Arial" w:cs="Arial" w:eastAsia="Arial" w:hAnsi="Arial"/>
          <w:sz w:val="22"/>
          <w:szCs w:val="22"/>
          <w:color w:val="auto"/>
        </w:rPr>
        <w:t>unlawful, for any Lender or its applicable Designated Lender to perform its obligations hereunder or to issue, make, maintain, fund or charge interest with respect to any Credit Extension to any Borrower who is organized under the laws of a jurisdiction other than the United States, a State thereof or the District of Columbia then, on notice thereof by such Lender to the Borrowing Agent through the Administrative Agent, and until such notice by such Lender is revoked, any obligation of such Lender to issue, make, maintain, fund or charge interest with respect to any such Credit Extension shall be suspended.</w:t>
      </w:r>
    </w:p>
    <w:p>
      <w:pPr>
        <w:spacing w:after="0" w:line="183"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9"/>
          <w:szCs w:val="19"/>
          <w:b w:val="1"/>
          <w:bCs w:val="1"/>
          <w:color w:val="auto"/>
        </w:rPr>
        <w:t>3.03 Inability to Determine Rates</w:t>
      </w:r>
      <w:r>
        <w:rPr>
          <w:rFonts w:ascii="Arial" w:cs="Arial" w:eastAsia="Arial" w:hAnsi="Arial"/>
          <w:sz w:val="19"/>
          <w:szCs w:val="19"/>
          <w:color w:val="auto"/>
        </w:rPr>
        <w:t>. If in connection with any request for a Eurodollar Rate Loan or a</w:t>
      </w:r>
      <w:r>
        <w:rPr>
          <w:rFonts w:ascii="Arial" w:cs="Arial" w:eastAsia="Arial" w:hAnsi="Arial"/>
          <w:sz w:val="19"/>
          <w:szCs w:val="19"/>
          <w:b w:val="1"/>
          <w:bCs w:val="1"/>
          <w:color w:val="auto"/>
        </w:rPr>
        <w:t xml:space="preserve"> </w:t>
      </w:r>
      <w:r>
        <w:rPr>
          <w:rFonts w:ascii="Arial" w:cs="Arial" w:eastAsia="Arial" w:hAnsi="Arial"/>
          <w:sz w:val="19"/>
          <w:szCs w:val="19"/>
          <w:color w:val="auto"/>
        </w:rPr>
        <w:t>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clause (a) (i) above,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Administrative Agent or the Required Facility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Borrowing Agent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Facility Lenders revokes such notice. Upon receipt of such notice, the Borrowing Agent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200" w:lineRule="exact"/>
        <w:rPr>
          <w:sz w:val="20"/>
          <w:szCs w:val="20"/>
          <w:color w:val="auto"/>
        </w:rPr>
      </w:pPr>
    </w:p>
    <w:p>
      <w:pPr>
        <w:spacing w:after="0" w:line="204" w:lineRule="exact"/>
        <w:rPr>
          <w:sz w:val="20"/>
          <w:szCs w:val="20"/>
          <w:color w:val="auto"/>
        </w:rPr>
      </w:pPr>
    </w:p>
    <w:p>
      <w:pPr>
        <w:jc w:val="both"/>
        <w:ind w:left="20" w:firstLine="623"/>
        <w:spacing w:after="0" w:line="272" w:lineRule="auto"/>
        <w:rPr>
          <w:sz w:val="20"/>
          <w:szCs w:val="20"/>
          <w:color w:val="auto"/>
        </w:rPr>
      </w:pPr>
      <w:r>
        <w:rPr>
          <w:rFonts w:ascii="Arial" w:cs="Arial" w:eastAsia="Arial" w:hAnsi="Arial"/>
          <w:sz w:val="19"/>
          <w:szCs w:val="19"/>
          <w:color w:val="auto"/>
        </w:rPr>
        <w:t xml:space="preserve">Notwithstanding the foregoing, if the Administrative Agent has made the determination described in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of this section, the Administrative Agent, in consultation with the Borrowing Agent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first sentence of this section, (2) the Administrative Agent or the Required Facility Lenders notify the Administrative Agent and the Borrowing Agent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Borrowing Agent written notice thereof.</w:t>
      </w:r>
    </w:p>
    <w:p>
      <w:pPr>
        <w:spacing w:after="0" w:line="15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3.04</w:t>
      </w:r>
      <w:r>
        <w:rPr>
          <w:sz w:val="20"/>
          <w:szCs w:val="20"/>
          <w:color w:val="auto"/>
        </w:rPr>
        <w:tab/>
      </w:r>
      <w:r>
        <w:rPr>
          <w:rFonts w:ascii="Arial" w:cs="Arial" w:eastAsia="Arial" w:hAnsi="Arial"/>
          <w:sz w:val="19"/>
          <w:szCs w:val="19"/>
          <w:b w:val="1"/>
          <w:bCs w:val="1"/>
          <w:color w:val="auto"/>
        </w:rPr>
        <w:t>Increased Costs; Reserves on Eurodollar Rate Loans</w:t>
      </w:r>
      <w:r>
        <w:rPr>
          <w:rFonts w:ascii="Arial" w:cs="Arial" w:eastAsia="Arial" w:hAnsi="Arial"/>
          <w:sz w:val="19"/>
          <w:szCs w:val="19"/>
          <w:color w:val="auto"/>
        </w:rPr>
        <w:t>.</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31" w:name="page132"/>
    <w:bookmarkEnd w:id="131"/>
    <w:p>
      <w:pPr>
        <w:ind w:left="1500" w:hanging="855"/>
        <w:spacing w:after="0"/>
        <w:tabs>
          <w:tab w:leader="none" w:pos="150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06" w:lineRule="exact"/>
        <w:rPr>
          <w:rFonts w:ascii="Arial" w:cs="Arial" w:eastAsia="Arial" w:hAnsi="Arial"/>
          <w:sz w:val="22"/>
          <w:szCs w:val="22"/>
          <w:color w:val="auto"/>
        </w:rPr>
      </w:pPr>
    </w:p>
    <w:p>
      <w:pPr>
        <w:jc w:val="both"/>
        <w:ind w:left="800" w:right="20" w:firstLine="655"/>
        <w:spacing w:after="0" w:line="238" w:lineRule="auto"/>
        <w:tabs>
          <w:tab w:leader="none" w:pos="2111" w:val="left"/>
        </w:tabs>
        <w:numPr>
          <w:ilvl w:val="1"/>
          <w:numId w:val="119"/>
        </w:numPr>
        <w:rPr>
          <w:rFonts w:ascii="Arial" w:cs="Arial" w:eastAsia="Arial" w:hAnsi="Arial"/>
          <w:sz w:val="22"/>
          <w:szCs w:val="22"/>
          <w:color w:val="auto"/>
        </w:rPr>
      </w:pPr>
      <w:r>
        <w:rPr>
          <w:rFonts w:ascii="Arial" w:cs="Arial" w:eastAsia="Arial" w:hAnsi="Arial"/>
          <w:sz w:val="22"/>
          <w:szCs w:val="22"/>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2"/>
          <w:szCs w:val="22"/>
          <w:u w:val="single" w:color="auto"/>
          <w:color w:val="auto"/>
        </w:rPr>
        <w:t>Section 3.04(e)</w:t>
      </w:r>
      <w:r>
        <w:rPr>
          <w:rFonts w:ascii="Arial" w:cs="Arial" w:eastAsia="Arial" w:hAnsi="Arial"/>
          <w:sz w:val="22"/>
          <w:szCs w:val="22"/>
          <w:color w:val="auto"/>
        </w:rPr>
        <w:t>) or the L/C-BA Issuer;</w:t>
      </w:r>
    </w:p>
    <w:p>
      <w:pPr>
        <w:spacing w:after="0" w:line="185" w:lineRule="exact"/>
        <w:rPr>
          <w:rFonts w:ascii="Arial" w:cs="Arial" w:eastAsia="Arial" w:hAnsi="Arial"/>
          <w:sz w:val="22"/>
          <w:szCs w:val="22"/>
          <w:color w:val="auto"/>
        </w:rPr>
      </w:pPr>
    </w:p>
    <w:p>
      <w:pPr>
        <w:jc w:val="both"/>
        <w:ind w:left="800" w:firstLine="655"/>
        <w:spacing w:after="0" w:line="248" w:lineRule="auto"/>
        <w:tabs>
          <w:tab w:leader="none" w:pos="2144" w:val="left"/>
        </w:tabs>
        <w:numPr>
          <w:ilvl w:val="1"/>
          <w:numId w:val="119"/>
        </w:numPr>
        <w:rPr>
          <w:rFonts w:ascii="Arial" w:cs="Arial" w:eastAsia="Arial" w:hAnsi="Arial"/>
          <w:sz w:val="21"/>
          <w:szCs w:val="21"/>
          <w:color w:val="auto"/>
        </w:rPr>
      </w:pPr>
      <w:r>
        <w:rPr>
          <w:rFonts w:ascii="Arial" w:cs="Arial" w:eastAsia="Arial" w:hAnsi="Arial"/>
          <w:sz w:val="21"/>
          <w:szCs w:val="21"/>
          <w:color w:val="auto"/>
        </w:rPr>
        <w:t xml:space="preserve">subject any Lender or the L/C-BA Issuer to any tax of any kind whatsoever with respect to this Agreement, any Letter of Credit, any Bankers’ Acceptance, any participation in a Letter of Credit or Bankers’ Acceptance or any Eurodollar Rate Loan made by it, or change the basis of taxation of payments to such Lender or the L/C-BA Issuer in respect thereof (in each case, except for Indemnified Taxes or Other Taxes covered by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and the imposition of, or any change in the rate of, any Excluded Tax payable by such Lender or the L/C-BA Issuer); or</w:t>
      </w:r>
    </w:p>
    <w:p>
      <w:pPr>
        <w:spacing w:after="0" w:line="177" w:lineRule="exact"/>
        <w:rPr>
          <w:rFonts w:ascii="Arial" w:cs="Arial" w:eastAsia="Arial" w:hAnsi="Arial"/>
          <w:sz w:val="21"/>
          <w:szCs w:val="21"/>
          <w:color w:val="auto"/>
        </w:rPr>
      </w:pPr>
    </w:p>
    <w:p>
      <w:pPr>
        <w:jc w:val="both"/>
        <w:ind w:left="800" w:right="20" w:firstLine="655"/>
        <w:spacing w:after="0"/>
        <w:tabs>
          <w:tab w:leader="none" w:pos="216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impose on any Lender or the L/C-BA Issuer or the London interbank market any other condition, cost or expense affecting this Agreement or Eurodollar Rate Loans made by such Lender or any Letter of Credit or Bankers’ Acceptance, or participation therein;</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or maintaining any Loan the interest on which is determined by reference to the Eurodollar Rate (or of maintaining its obligation to make any such Loan), or to increase the cost to such Lender or the L/C-BA Issuer of participating in, issuing or maintaining any Letter of Credit or Bankers’ Acceptance (or of maintaining its obligation to participate in or to issue any Letter of Credit or Bankers’ Acceptance), or to reduce the amount of any sum received or receivable by such Lender or the L/C-BA Issuer hereunder (whether of principal, interest or any other amount) then, upon request of such Lender or the L/C-BA Issuer, the Borrowers will, subject to </w:t>
      </w:r>
      <w:r>
        <w:rPr>
          <w:rFonts w:ascii="Arial" w:cs="Arial" w:eastAsia="Arial" w:hAnsi="Arial"/>
          <w:sz w:val="19"/>
          <w:szCs w:val="19"/>
          <w:u w:val="single" w:color="auto"/>
          <w:color w:val="auto"/>
        </w:rPr>
        <w:t>Section 3.04(c)</w:t>
      </w:r>
      <w:r>
        <w:rPr>
          <w:rFonts w:ascii="Arial" w:cs="Arial" w:eastAsia="Arial" w:hAnsi="Arial"/>
          <w:sz w:val="19"/>
          <w:szCs w:val="19"/>
          <w:color w:val="auto"/>
        </w:rPr>
        <w:t>, pay to such Lender or the L/C-BA Issuer, as the case may be, such additional amount or amounts as will compensate such Lender or the L/C-BA Issuer, as the case may be, for such additional costs incurred or reduction suffered.</w:t>
      </w:r>
    </w:p>
    <w:p>
      <w:pPr>
        <w:spacing w:after="0" w:line="159" w:lineRule="exact"/>
        <w:rPr>
          <w:sz w:val="20"/>
          <w:szCs w:val="20"/>
          <w:color w:val="auto"/>
        </w:rPr>
      </w:pPr>
    </w:p>
    <w:p>
      <w:pPr>
        <w:jc w:val="both"/>
        <w:ind w:right="20" w:firstLine="645"/>
        <w:spacing w:after="0" w:line="272" w:lineRule="auto"/>
        <w:tabs>
          <w:tab w:leader="none" w:pos="1305"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xml:space="preserve">. If any Lender or the L/C-BA Issuer determines that any Change in Law affecting such Lender or the L/C-BA Issuer or any Lending Office of such Lender or such Lender’s or the L/C-BA Issuer’s holding company, if any, regarding capital or liquidity requirements has or would have the effect of reducing the rate of return on such Lender’s or the L/C-BA Issuer’s capital or on the capital of such Lender’s or the L/C-BA Issuer’s holding company, if any, as a consequence of this Agreement, the Commitments of such Lender or the Loans made by, or participations in Letters of Credit or Bankers’ Acceptances held by, such Lender, or the Letters of Credit or Bankers’ Acceptances issued by the L/C-BA Issuer, to a level below that which such Lender or the L/C-BA Issuer or such Lender’s or the L/C-BA Issuer’s holding company could have achieved but for such Change in Law (taking into consideration such Lender’s or the L/C-BA Issuer’s policies and the policies of such Lender’s or the L/C-BA Issuer’s holding company with respect to capital adequacy or liquidity), then from time to time the Borrowers will, subject to </w:t>
      </w:r>
      <w:r>
        <w:rPr>
          <w:rFonts w:ascii="Arial" w:cs="Arial" w:eastAsia="Arial" w:hAnsi="Arial"/>
          <w:sz w:val="19"/>
          <w:szCs w:val="19"/>
          <w:u w:val="single" w:color="auto"/>
          <w:color w:val="auto"/>
        </w:rPr>
        <w:t>Section 3.04(c)</w:t>
      </w:r>
      <w:r>
        <w:rPr>
          <w:rFonts w:ascii="Arial" w:cs="Arial" w:eastAsia="Arial" w:hAnsi="Arial"/>
          <w:sz w:val="19"/>
          <w:szCs w:val="19"/>
          <w:color w:val="auto"/>
        </w:rPr>
        <w:t>, pay to such Lender or the L/C-BA Issuer, as the case may be, such additional amount or amounts as will compensate such Lender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32" w:name="page133"/>
    <w:bookmarkEnd w:id="132"/>
    <w:p>
      <w:pPr>
        <w:spacing w:after="0"/>
        <w:rPr>
          <w:sz w:val="20"/>
          <w:szCs w:val="20"/>
          <w:color w:val="auto"/>
        </w:rPr>
      </w:pPr>
      <w:r>
        <w:rPr>
          <w:rFonts w:ascii="Arial" w:cs="Arial" w:eastAsia="Arial" w:hAnsi="Arial"/>
          <w:sz w:val="21"/>
          <w:szCs w:val="21"/>
          <w:color w:val="auto"/>
        </w:rPr>
        <w:t>the L/C-BA Issuer or such Lender’s or the L/C-BA Issuer’s holding company for any such reduction suffered.</w:t>
      </w:r>
    </w:p>
    <w:p>
      <w:pPr>
        <w:spacing w:after="0" w:line="218" w:lineRule="exact"/>
        <w:rPr>
          <w:sz w:val="20"/>
          <w:szCs w:val="20"/>
          <w:color w:val="auto"/>
        </w:rPr>
      </w:pPr>
    </w:p>
    <w:p>
      <w:pPr>
        <w:jc w:val="both"/>
        <w:ind w:firstLine="645"/>
        <w:spacing w:after="0" w:line="234" w:lineRule="auto"/>
        <w:tabs>
          <w:tab w:leader="none" w:pos="1293"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Certificates for Reimbursement</w:t>
      </w:r>
      <w:r>
        <w:rPr>
          <w:rFonts w:ascii="Arial" w:cs="Arial" w:eastAsia="Arial" w:hAnsi="Arial"/>
          <w:sz w:val="22"/>
          <w:szCs w:val="22"/>
          <w:color w:val="auto"/>
        </w:rPr>
        <w:t xml:space="preserve">. Any Lender or the L/C-BA Issuer claiming compensation pursuant to </w:t>
      </w:r>
      <w:r>
        <w:rPr>
          <w:rFonts w:ascii="Arial" w:cs="Arial" w:eastAsia="Arial" w:hAnsi="Arial"/>
          <w:sz w:val="22"/>
          <w:szCs w:val="22"/>
          <w:u w:val="single" w:color="auto"/>
          <w:color w:val="auto"/>
        </w:rPr>
        <w:t>subsection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shall deliver to the Borrowing Agent a certificate setting forth a reasonably detailed calculation of the amount or amounts necessary to compensate such Lender or the L/C-BA Issuer or its holding company, as the case may be, and the basis for such compensation as specified in </w:t>
      </w:r>
      <w:r>
        <w:rPr>
          <w:rFonts w:ascii="Arial" w:cs="Arial" w:eastAsia="Arial" w:hAnsi="Arial"/>
          <w:sz w:val="22"/>
          <w:szCs w:val="22"/>
          <w:u w:val="single" w:color="auto"/>
          <w:color w:val="auto"/>
        </w:rPr>
        <w:t>subsection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which certificate shall be conclusive absent manifest error. The Borrowers shall pay such Lender or the L/C-BA Issuer, as the case may be, the amount shown as due on any such certificate within 10 days after receipt thereof.</w:t>
      </w:r>
    </w:p>
    <w:p>
      <w:pPr>
        <w:spacing w:after="0" w:line="191" w:lineRule="exact"/>
        <w:rPr>
          <w:rFonts w:ascii="Arial" w:cs="Arial" w:eastAsia="Arial" w:hAnsi="Arial"/>
          <w:sz w:val="22"/>
          <w:szCs w:val="22"/>
          <w:color w:val="auto"/>
        </w:rPr>
      </w:pPr>
    </w:p>
    <w:p>
      <w:pPr>
        <w:jc w:val="both"/>
        <w:ind w:firstLine="645"/>
        <w:spacing w:after="0" w:line="274" w:lineRule="auto"/>
        <w:tabs>
          <w:tab w:leader="none" w:pos="1305"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the L/C-BA Issuer to demand compensation pursuant to the foregoing provisions of this Section shall not constitute a waiver of such Lender’s or the L/C-BA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 Lender or the L/C-BA Issuer pursuant to the foregoing provisions of this Section for any increased costs incurred or reductions suffered more than six months prior to the date that such Lender or the L/C-BA Issuer, as the case may be, notifies the Borrowing Agent of the Change in Law giving rise to such increased costs or reductions and of such Lender’s or the L/C-BA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58" w:lineRule="exact"/>
        <w:rPr>
          <w:rFonts w:ascii="Arial" w:cs="Arial" w:eastAsia="Arial" w:hAnsi="Arial"/>
          <w:sz w:val="19"/>
          <w:szCs w:val="19"/>
          <w:color w:val="auto"/>
        </w:rPr>
      </w:pPr>
    </w:p>
    <w:p>
      <w:pPr>
        <w:jc w:val="both"/>
        <w:ind w:firstLine="645"/>
        <w:spacing w:after="0" w:line="274" w:lineRule="auto"/>
        <w:tabs>
          <w:tab w:leader="none" w:pos="1293"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Reserves on Eurodollar Rate Loans</w:t>
      </w:r>
      <w:r>
        <w:rPr>
          <w:rFonts w:ascii="Arial" w:cs="Arial" w:eastAsia="Arial" w:hAnsi="Arial"/>
          <w:sz w:val="19"/>
          <w:szCs w:val="19"/>
          <w:color w:val="auto"/>
        </w:rPr>
        <w:t xml:space="preserve">. The Borrowers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Borrowers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53"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22"/>
          <w:szCs w:val="22"/>
          <w:b w:val="1"/>
          <w:bCs w:val="1"/>
          <w:color w:val="auto"/>
        </w:rPr>
        <w:t>3.05 Compensation for Losses</w:t>
      </w:r>
      <w:r>
        <w:rPr>
          <w:rFonts w:ascii="Arial" w:cs="Arial" w:eastAsia="Arial" w:hAnsi="Arial"/>
          <w:sz w:val="22"/>
          <w:szCs w:val="22"/>
          <w:color w:val="auto"/>
        </w:rPr>
        <w:t>. Upon demand of any Lender (with a copy to the Administrative Agent)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Borrowing Agent from time to time, which demand shall be accompanied by a statement setting forth the basis for the amount being claimed, the Borrowers shall promptly compensate such Lender for and hold such Lender harmless from any loss, cost or expense incurred by it as a result of:</w:t>
      </w:r>
    </w:p>
    <w:p>
      <w:pPr>
        <w:spacing w:after="0" w:line="187" w:lineRule="exact"/>
        <w:rPr>
          <w:sz w:val="20"/>
          <w:szCs w:val="20"/>
          <w:color w:val="auto"/>
        </w:rPr>
      </w:pPr>
    </w:p>
    <w:p>
      <w:pPr>
        <w:jc w:val="both"/>
        <w:ind w:right="20" w:firstLine="645"/>
        <w:spacing w:after="0"/>
        <w:tabs>
          <w:tab w:leader="none" w:pos="129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33" w:name="page134"/>
    <w:bookmarkEnd w:id="133"/>
    <w:p>
      <w:pPr>
        <w:jc w:val="both"/>
        <w:ind w:firstLine="645"/>
        <w:spacing w:after="0" w:line="241" w:lineRule="auto"/>
        <w:tabs>
          <w:tab w:leader="none" w:pos="150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failure by the Borrowers (for a reason other than the failure of such Lender to make a Loan) to prepay, borrow, continue or convert any Loan other than a Base Rate Loan on the date or in the amount notified by the Borrowing Agent; or</w:t>
      </w:r>
    </w:p>
    <w:p>
      <w:pPr>
        <w:spacing w:after="0" w:line="183" w:lineRule="exact"/>
        <w:rPr>
          <w:rFonts w:ascii="Arial" w:cs="Arial" w:eastAsia="Arial" w:hAnsi="Arial"/>
          <w:sz w:val="22"/>
          <w:szCs w:val="22"/>
          <w:color w:val="auto"/>
        </w:rPr>
      </w:pPr>
    </w:p>
    <w:p>
      <w:pPr>
        <w:ind w:firstLine="645"/>
        <w:spacing w:after="0" w:line="251" w:lineRule="auto"/>
        <w:tabs>
          <w:tab w:leader="none" w:pos="129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any assignment of a Eurodollar Rate Loan on a day other than the last day of the Interest Period therefor as a result of a request by the Borrowing Agent pursuant to </w:t>
      </w:r>
      <w:r>
        <w:rPr>
          <w:rFonts w:ascii="Arial" w:cs="Arial" w:eastAsia="Arial" w:hAnsi="Arial"/>
          <w:sz w:val="22"/>
          <w:szCs w:val="22"/>
          <w:u w:val="single" w:color="auto"/>
          <w:color w:val="auto"/>
        </w:rPr>
        <w:t>Section 10.13</w:t>
      </w:r>
      <w:r>
        <w:rPr>
          <w:rFonts w:ascii="Arial" w:cs="Arial" w:eastAsia="Arial" w:hAnsi="Arial"/>
          <w:sz w:val="22"/>
          <w:szCs w:val="22"/>
          <w:color w:val="auto"/>
        </w:rPr>
        <w: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Borrowers shall also pay any customary administrative fees charged by such Lender in connection with the foregoing.</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 xml:space="preserve">For purposes of calculating amounts payable by the Borrowers to the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3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3.06</w:t>
      </w:r>
      <w:r>
        <w:rPr>
          <w:sz w:val="20"/>
          <w:szCs w:val="20"/>
          <w:color w:val="auto"/>
        </w:rPr>
        <w:tab/>
      </w:r>
      <w:r>
        <w:rPr>
          <w:rFonts w:ascii="Arial" w:cs="Arial" w:eastAsia="Arial" w:hAnsi="Arial"/>
          <w:sz w:val="19"/>
          <w:szCs w:val="19"/>
          <w:b w:val="1"/>
          <w:bCs w:val="1"/>
          <w:color w:val="auto"/>
        </w:rPr>
        <w:t>Mitigation Obligations; Replacement of Lenders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72" w:lineRule="auto"/>
        <w:tabs>
          <w:tab w:leader="none" w:pos="1293"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any Borrower is required to pay any additional amount to any Lender, the L/C-BA Issuer, or any Governmental Authority for the account of any Lender or the L/C-BA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such Lender or the L/C-BA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the L/C-BA Issuer,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the L/C-BA Issuer, as the case may be, to any unreimbursed cost or expense and would not otherwise be disadvantageous to such Lender or the L/C-BA Issuer, as the case may be. The Borrowers hereby agrees to pay all reasonable costs and expenses incurred by any Lender or the L/C-BA Issuer in connection with any such designation or assignment.</w:t>
      </w:r>
    </w:p>
    <w:p>
      <w:pPr>
        <w:spacing w:after="0" w:line="161" w:lineRule="exact"/>
        <w:rPr>
          <w:rFonts w:ascii="Arial" w:cs="Arial" w:eastAsia="Arial" w:hAnsi="Arial"/>
          <w:sz w:val="19"/>
          <w:szCs w:val="19"/>
          <w:color w:val="auto"/>
        </w:rPr>
      </w:pPr>
    </w:p>
    <w:p>
      <w:pPr>
        <w:jc w:val="both"/>
        <w:ind w:firstLine="645"/>
        <w:spacing w:after="0" w:line="297" w:lineRule="auto"/>
        <w:tabs>
          <w:tab w:leader="none" w:pos="1305"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any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the Borrowers may replace such Lender in accordance with </w:t>
      </w:r>
      <w:r>
        <w:rPr>
          <w:rFonts w:ascii="Arial" w:cs="Arial" w:eastAsia="Arial" w:hAnsi="Arial"/>
          <w:sz w:val="19"/>
          <w:szCs w:val="19"/>
          <w:u w:val="single" w:color="auto"/>
          <w:color w:val="auto"/>
        </w:rPr>
        <w:t>Section 10.13</w:t>
      </w:r>
      <w:r>
        <w:rPr>
          <w:rFonts w:ascii="Arial" w:cs="Arial" w:eastAsia="Arial" w:hAnsi="Arial"/>
          <w:sz w:val="19"/>
          <w:szCs w:val="19"/>
          <w:color w:val="auto"/>
        </w:rPr>
        <w:t>.</w:t>
      </w:r>
    </w:p>
    <w:p>
      <w:pPr>
        <w:spacing w:after="0" w:line="128" w:lineRule="exact"/>
        <w:rPr>
          <w:sz w:val="20"/>
          <w:szCs w:val="20"/>
          <w:color w:val="auto"/>
        </w:rPr>
      </w:pPr>
    </w:p>
    <w:p>
      <w:pPr>
        <w:jc w:val="both"/>
        <w:ind w:left="20" w:firstLine="648"/>
        <w:spacing w:after="0" w:line="243" w:lineRule="auto"/>
        <w:rPr>
          <w:sz w:val="20"/>
          <w:szCs w:val="20"/>
          <w:color w:val="auto"/>
        </w:rPr>
      </w:pPr>
      <w:r>
        <w:rPr>
          <w:rFonts w:ascii="Arial" w:cs="Arial" w:eastAsia="Arial" w:hAnsi="Arial"/>
          <w:sz w:val="22"/>
          <w:szCs w:val="22"/>
          <w:b w:val="1"/>
          <w:bCs w:val="1"/>
          <w:color w:val="auto"/>
        </w:rPr>
        <w:t>3.07 Survival</w:t>
      </w:r>
      <w:r>
        <w:rPr>
          <w:rFonts w:ascii="Arial" w:cs="Arial" w:eastAsia="Arial" w:hAnsi="Arial"/>
          <w:sz w:val="22"/>
          <w:szCs w:val="22"/>
          <w:color w:val="auto"/>
        </w:rPr>
        <w:t>. All of the Borrowers’ obligations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III</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termination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Commitments, repayment of all other Obligations hereunder, and resignation of the Administrative Agent.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ARTICLE IV. CONDITIONS PRECEDENT TO CREDIT EXTENSIONS</w:t>
      </w:r>
    </w:p>
    <w:p>
      <w:pPr>
        <w:spacing w:after="0" w:line="207" w:lineRule="exact"/>
        <w:rPr>
          <w:sz w:val="20"/>
          <w:szCs w:val="20"/>
          <w:color w:val="auto"/>
        </w:rPr>
      </w:pPr>
    </w:p>
    <w:p>
      <w:pPr>
        <w:jc w:val="both"/>
        <w:ind w:left="20" w:right="20" w:firstLine="648"/>
        <w:spacing w:after="0" w:line="243" w:lineRule="auto"/>
        <w:rPr>
          <w:sz w:val="20"/>
          <w:szCs w:val="20"/>
          <w:color w:val="auto"/>
        </w:rPr>
      </w:pPr>
      <w:r>
        <w:rPr>
          <w:rFonts w:ascii="Arial" w:cs="Arial" w:eastAsia="Arial" w:hAnsi="Arial"/>
          <w:sz w:val="22"/>
          <w:szCs w:val="22"/>
          <w:b w:val="1"/>
          <w:bCs w:val="1"/>
          <w:color w:val="auto"/>
        </w:rPr>
        <w:t>4.01 Conditions of Amendment and Restatement</w:t>
      </w:r>
      <w:r>
        <w:rPr>
          <w:rFonts w:ascii="Arial" w:cs="Arial" w:eastAsia="Arial" w:hAnsi="Arial"/>
          <w:sz w:val="22"/>
          <w:szCs w:val="22"/>
          <w:color w:val="auto"/>
        </w:rPr>
        <w:t>. The effectiveness of this Agreement as an</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and restatement of the Existing Credit Agreement is subject to satisfaction of the following conditions precedent:</w:t>
      </w:r>
    </w:p>
    <w:p>
      <w:pPr>
        <w:spacing w:after="0" w:line="183" w:lineRule="exact"/>
        <w:rPr>
          <w:sz w:val="20"/>
          <w:szCs w:val="20"/>
          <w:color w:val="auto"/>
        </w:rPr>
      </w:pPr>
    </w:p>
    <w:p>
      <w:pPr>
        <w:jc w:val="both"/>
        <w:ind w:firstLine="645"/>
        <w:spacing w:after="0" w:line="236" w:lineRule="auto"/>
        <w:tabs>
          <w:tab w:leader="none" w:pos="129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7" w:lineRule="exact"/>
        <w:rPr>
          <w:rFonts w:ascii="Arial" w:cs="Arial" w:eastAsia="Arial" w:hAnsi="Arial"/>
          <w:sz w:val="22"/>
          <w:szCs w:val="22"/>
          <w:color w:val="auto"/>
        </w:rPr>
      </w:pPr>
    </w:p>
    <w:p>
      <w:pPr>
        <w:ind w:left="800" w:right="20" w:firstLine="655"/>
        <w:spacing w:after="0" w:line="251" w:lineRule="auto"/>
        <w:tabs>
          <w:tab w:leader="none" w:pos="2111" w:val="left"/>
        </w:tabs>
        <w:numPr>
          <w:ilvl w:val="1"/>
          <w:numId w:val="125"/>
        </w:numPr>
        <w:rPr>
          <w:rFonts w:ascii="Arial" w:cs="Arial" w:eastAsia="Arial" w:hAnsi="Arial"/>
          <w:sz w:val="22"/>
          <w:szCs w:val="22"/>
          <w:color w:val="auto"/>
        </w:rPr>
      </w:pPr>
      <w:r>
        <w:rPr>
          <w:rFonts w:ascii="Arial" w:cs="Arial" w:eastAsia="Arial" w:hAnsi="Arial"/>
          <w:sz w:val="22"/>
          <w:szCs w:val="22"/>
          <w:color w:val="auto"/>
        </w:rPr>
        <w:t>executed counterparts of this Agreement and the Guaranty, sufficient in number for distribution to the Administrative Agent, each Lender and the Borrowing Agent;</w:t>
      </w:r>
    </w:p>
    <w:p>
      <w:pPr>
        <w:spacing w:after="0" w:line="173" w:lineRule="exact"/>
        <w:rPr>
          <w:rFonts w:ascii="Arial" w:cs="Arial" w:eastAsia="Arial" w:hAnsi="Arial"/>
          <w:sz w:val="22"/>
          <w:szCs w:val="22"/>
          <w:color w:val="auto"/>
        </w:rPr>
      </w:pPr>
    </w:p>
    <w:p>
      <w:pPr>
        <w:jc w:val="both"/>
        <w:ind w:left="800" w:firstLine="655"/>
        <w:spacing w:after="0" w:line="252" w:lineRule="auto"/>
        <w:tabs>
          <w:tab w:leader="none" w:pos="2144" w:val="left"/>
        </w:tabs>
        <w:numPr>
          <w:ilvl w:val="1"/>
          <w:numId w:val="125"/>
        </w:numPr>
        <w:rPr>
          <w:rFonts w:ascii="Arial" w:cs="Arial" w:eastAsia="Arial" w:hAnsi="Arial"/>
          <w:sz w:val="21"/>
          <w:szCs w:val="21"/>
          <w:color w:val="auto"/>
        </w:rPr>
      </w:pPr>
      <w:r>
        <w:rPr>
          <w:rFonts w:ascii="Arial" w:cs="Arial" w:eastAsia="Arial" w:hAnsi="Arial"/>
          <w:sz w:val="21"/>
          <w:szCs w:val="21"/>
          <w:color w:val="auto"/>
        </w:rPr>
        <w:t>(A) Revolving Notes executed by the Borrowers in favor of each Revolving Lender requesting a Revolving Note; (B) a Term Loan Note executed by WFS in favor of each Domestic Term Loan Lender requesting a Term Loan Note; and (C) a Term Loan Note executed by WFS Singapore in favor of each Singapore Term Loan Lender requesting a Term Loan Note;</w:t>
      </w:r>
    </w:p>
    <w:p>
      <w:pPr>
        <w:spacing w:after="0" w:line="174" w:lineRule="exact"/>
        <w:rPr>
          <w:rFonts w:ascii="Arial" w:cs="Arial" w:eastAsia="Arial" w:hAnsi="Arial"/>
          <w:sz w:val="21"/>
          <w:szCs w:val="21"/>
          <w:color w:val="auto"/>
        </w:rPr>
      </w:pPr>
    </w:p>
    <w:p>
      <w:pPr>
        <w:ind w:left="2180" w:hanging="725"/>
        <w:spacing w:after="0"/>
        <w:tabs>
          <w:tab w:leader="none" w:pos="21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executed counterparts of the Pledge Agreement together with:</w:t>
      </w:r>
    </w:p>
    <w:p>
      <w:pPr>
        <w:spacing w:after="0" w:line="206" w:lineRule="exact"/>
        <w:rPr>
          <w:rFonts w:ascii="Arial" w:cs="Arial" w:eastAsia="Arial" w:hAnsi="Arial"/>
          <w:sz w:val="22"/>
          <w:szCs w:val="22"/>
          <w:color w:val="auto"/>
        </w:rPr>
      </w:pPr>
    </w:p>
    <w:p>
      <w:pPr>
        <w:ind w:left="1300" w:right="20" w:firstLine="641"/>
        <w:spacing w:after="0" w:line="251" w:lineRule="auto"/>
        <w:tabs>
          <w:tab w:leader="none" w:pos="2626" w:val="left"/>
        </w:tabs>
        <w:numPr>
          <w:ilvl w:val="2"/>
          <w:numId w:val="125"/>
        </w:numPr>
        <w:rPr>
          <w:rFonts w:ascii="Arial" w:cs="Arial" w:eastAsia="Arial" w:hAnsi="Arial"/>
          <w:sz w:val="22"/>
          <w:szCs w:val="22"/>
          <w:color w:val="auto"/>
        </w:rPr>
      </w:pPr>
      <w:r>
        <w:rPr>
          <w:rFonts w:ascii="Arial" w:cs="Arial" w:eastAsia="Arial" w:hAnsi="Arial"/>
          <w:sz w:val="22"/>
          <w:szCs w:val="22"/>
          <w:color w:val="auto"/>
        </w:rPr>
        <w:t>to the extent required thereby, certificates representing the Pledged Interests referred to therein accompanied by undated stock powers executed in blank,</w:t>
      </w:r>
    </w:p>
    <w:p>
      <w:pPr>
        <w:spacing w:after="0" w:line="173" w:lineRule="exact"/>
        <w:rPr>
          <w:rFonts w:ascii="Arial" w:cs="Arial" w:eastAsia="Arial" w:hAnsi="Arial"/>
          <w:sz w:val="22"/>
          <w:szCs w:val="22"/>
          <w:color w:val="auto"/>
        </w:rPr>
      </w:pPr>
    </w:p>
    <w:p>
      <w:pPr>
        <w:jc w:val="both"/>
        <w:ind w:left="1300" w:firstLine="641"/>
        <w:spacing w:after="0" w:line="297" w:lineRule="auto"/>
        <w:tabs>
          <w:tab w:leader="none" w:pos="2628" w:val="left"/>
        </w:tabs>
        <w:numPr>
          <w:ilvl w:val="2"/>
          <w:numId w:val="125"/>
        </w:numPr>
        <w:rPr>
          <w:rFonts w:ascii="Arial" w:cs="Arial" w:eastAsia="Arial" w:hAnsi="Arial"/>
          <w:sz w:val="19"/>
          <w:szCs w:val="19"/>
          <w:color w:val="auto"/>
        </w:rPr>
      </w:pPr>
      <w:r>
        <w:rPr>
          <w:rFonts w:ascii="Arial" w:cs="Arial" w:eastAsia="Arial" w:hAnsi="Arial"/>
          <w:sz w:val="19"/>
          <w:szCs w:val="19"/>
          <w:color w:val="auto"/>
        </w:rPr>
        <w:t>proper UCC financing statements in form appropriate for filing under the UCC of all jurisdictions that the Administrative Agent may deem necessary or desirable in order to perfect the Liens created under the Pledge Agreement, covering the Collateral described therein, and</w:t>
      </w:r>
    </w:p>
    <w:p>
      <w:pPr>
        <w:spacing w:after="0" w:line="134" w:lineRule="exact"/>
        <w:rPr>
          <w:rFonts w:ascii="Arial" w:cs="Arial" w:eastAsia="Arial" w:hAnsi="Arial"/>
          <w:sz w:val="19"/>
          <w:szCs w:val="19"/>
          <w:color w:val="auto"/>
        </w:rPr>
      </w:pPr>
    </w:p>
    <w:p>
      <w:pPr>
        <w:jc w:val="both"/>
        <w:ind w:left="1300" w:right="20" w:firstLine="641"/>
        <w:spacing w:after="0" w:line="238" w:lineRule="auto"/>
        <w:tabs>
          <w:tab w:leader="none" w:pos="2614" w:val="left"/>
        </w:tabs>
        <w:numPr>
          <w:ilvl w:val="2"/>
          <w:numId w:val="125"/>
        </w:numPr>
        <w:rPr>
          <w:rFonts w:ascii="Arial" w:cs="Arial" w:eastAsia="Arial" w:hAnsi="Arial"/>
          <w:sz w:val="22"/>
          <w:szCs w:val="22"/>
          <w:color w:val="auto"/>
        </w:rPr>
      </w:pPr>
      <w:r>
        <w:rPr>
          <w:rFonts w:ascii="Arial" w:cs="Arial" w:eastAsia="Arial" w:hAnsi="Arial"/>
          <w:sz w:val="22"/>
          <w:szCs w:val="22"/>
          <w:color w:val="auto"/>
        </w:rPr>
        <w:t>certified copies of UCC search reports dated a date reasonably near to the Closing Date, listing all effective financing statements which name any Loan Party party to the Pledge Agreement (under their present names and any previous names) as debtors, together with copies of such financing statements, and</w:t>
      </w:r>
    </w:p>
    <w:p>
      <w:pPr>
        <w:spacing w:after="0" w:line="185" w:lineRule="exact"/>
        <w:rPr>
          <w:rFonts w:ascii="Arial" w:cs="Arial" w:eastAsia="Arial" w:hAnsi="Arial"/>
          <w:sz w:val="22"/>
          <w:szCs w:val="22"/>
          <w:color w:val="auto"/>
        </w:rPr>
      </w:pPr>
    </w:p>
    <w:p>
      <w:pPr>
        <w:jc w:val="both"/>
        <w:ind w:left="1300" w:right="20" w:firstLine="641"/>
        <w:spacing w:after="0"/>
        <w:tabs>
          <w:tab w:leader="none" w:pos="2626" w:val="left"/>
        </w:tabs>
        <w:numPr>
          <w:ilvl w:val="2"/>
          <w:numId w:val="125"/>
        </w:numPr>
        <w:rPr>
          <w:rFonts w:ascii="Arial" w:cs="Arial" w:eastAsia="Arial" w:hAnsi="Arial"/>
          <w:sz w:val="22"/>
          <w:szCs w:val="22"/>
          <w:color w:val="auto"/>
        </w:rPr>
      </w:pPr>
      <w:r>
        <w:rPr>
          <w:rFonts w:ascii="Arial" w:cs="Arial" w:eastAsia="Arial" w:hAnsi="Arial"/>
          <w:sz w:val="22"/>
          <w:szCs w:val="22"/>
          <w:color w:val="auto"/>
        </w:rPr>
        <w:t>evidence of the completion of all other actions, recordings and filings of or with respect to the Pledge Agreement that the Administrative Agent may deem necessary or desirable in order to perfect the Liens created thereby;</w:t>
      </w:r>
    </w:p>
    <w:p>
      <w:pPr>
        <w:spacing w:after="0" w:line="186" w:lineRule="exact"/>
        <w:rPr>
          <w:rFonts w:ascii="Arial" w:cs="Arial" w:eastAsia="Arial" w:hAnsi="Arial"/>
          <w:sz w:val="22"/>
          <w:szCs w:val="22"/>
          <w:color w:val="auto"/>
        </w:rPr>
      </w:pPr>
    </w:p>
    <w:p>
      <w:pPr>
        <w:ind w:left="800" w:right="20" w:firstLine="655"/>
        <w:spacing w:after="0" w:line="328" w:lineRule="auto"/>
        <w:tabs>
          <w:tab w:leader="none" w:pos="2152" w:val="left"/>
        </w:tabs>
        <w:numPr>
          <w:ilvl w:val="1"/>
          <w:numId w:val="125"/>
        </w:numPr>
        <w:rPr>
          <w:rFonts w:ascii="Arial" w:cs="Arial" w:eastAsia="Arial" w:hAnsi="Arial"/>
          <w:sz w:val="19"/>
          <w:szCs w:val="19"/>
          <w:color w:val="auto"/>
        </w:rPr>
      </w:pPr>
      <w:r>
        <w:rPr>
          <w:rFonts w:ascii="Arial" w:cs="Arial" w:eastAsia="Arial" w:hAnsi="Arial"/>
          <w:sz w:val="19"/>
          <w:szCs w:val="19"/>
          <w:color w:val="auto"/>
        </w:rPr>
        <w:t>Subordination Agreements with respect to any Subordinated Debt other than Indebtedness represented by Permitted Convertible Notes (dated as of the date of execution and delivery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135" w:name="page136"/>
    <w:bookmarkEnd w:id="135"/>
    <w:p>
      <w:pPr>
        <w:jc w:val="both"/>
        <w:ind w:left="260" w:firstLine="655"/>
        <w:spacing w:after="0" w:line="236" w:lineRule="auto"/>
        <w:tabs>
          <w:tab w:leader="none" w:pos="176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88" w:lineRule="exact"/>
        <w:rPr>
          <w:rFonts w:ascii="Arial" w:cs="Arial" w:eastAsia="Arial" w:hAnsi="Arial"/>
          <w:sz w:val="22"/>
          <w:szCs w:val="22"/>
          <w:color w:val="auto"/>
        </w:rPr>
      </w:pPr>
    </w:p>
    <w:p>
      <w:pPr>
        <w:jc w:val="both"/>
        <w:ind w:left="260" w:firstLine="655"/>
        <w:spacing w:after="0" w:line="236" w:lineRule="auto"/>
        <w:tabs>
          <w:tab w:leader="none" w:pos="161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such documents and certifications as the Administrative Agent may reasonably require to evidence that each Loan Party is duly organized or formed,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87" w:lineRule="exact"/>
        <w:rPr>
          <w:rFonts w:ascii="Arial" w:cs="Arial" w:eastAsia="Arial" w:hAnsi="Arial"/>
          <w:sz w:val="22"/>
          <w:szCs w:val="22"/>
          <w:color w:val="auto"/>
        </w:rPr>
      </w:pPr>
    </w:p>
    <w:p>
      <w:pPr>
        <w:jc w:val="both"/>
        <w:ind w:left="260" w:right="20" w:firstLine="655"/>
        <w:spacing w:after="0" w:line="235" w:lineRule="auto"/>
        <w:tabs>
          <w:tab w:leader="none" w:pos="163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a favorable opinion of Chadbourne &amp; Parke LLP, special New York counsel to the Loan Parties, and such local counsel to the Loan Parties as the Administrative Agent shall request (it being understood that opinions as to Foreign Subsidiaries shall be limited to those that are Material Subsidiaries), in each case addressed to the Administrative Agent and each Lender, as to the matters set forth in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and such other matters concerning the Loan Parties and the Loan Documents as the Required Lenders may reasonably request;</w:t>
      </w:r>
    </w:p>
    <w:p>
      <w:pPr>
        <w:spacing w:after="0" w:line="188" w:lineRule="exact"/>
        <w:rPr>
          <w:rFonts w:ascii="Arial" w:cs="Arial" w:eastAsia="Arial" w:hAnsi="Arial"/>
          <w:sz w:val="22"/>
          <w:szCs w:val="22"/>
          <w:color w:val="auto"/>
        </w:rPr>
      </w:pPr>
    </w:p>
    <w:p>
      <w:pPr>
        <w:jc w:val="both"/>
        <w:ind w:left="260" w:right="20" w:firstLine="655"/>
        <w:spacing w:after="0" w:line="236" w:lineRule="auto"/>
        <w:tabs>
          <w:tab w:leader="none" w:pos="166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 certificate of a Responsible Officer of each Loan Party either (A) attaching copies of all consents and approvals of a Governmental Authority required in connection with the execution, delivery and performance by such Loan Party and the validity against such Loan Party of the Loan Documents to which it is a party, which consents and approvals shall be in full force and effect, or (B) stating that no such consents or approvals are so required;</w:t>
      </w:r>
    </w:p>
    <w:p>
      <w:pPr>
        <w:spacing w:after="0" w:line="187" w:lineRule="exact"/>
        <w:rPr>
          <w:rFonts w:ascii="Arial" w:cs="Arial" w:eastAsia="Arial" w:hAnsi="Arial"/>
          <w:sz w:val="22"/>
          <w:szCs w:val="22"/>
          <w:color w:val="auto"/>
        </w:rPr>
      </w:pPr>
    </w:p>
    <w:p>
      <w:pPr>
        <w:jc w:val="both"/>
        <w:ind w:left="260" w:firstLine="655"/>
        <w:spacing w:after="0" w:line="247" w:lineRule="auto"/>
        <w:tabs>
          <w:tab w:leader="none" w:pos="161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a certificate signed by a Responsible Officer of the Borrowers certifying (A) that the conditions specified in </w:t>
      </w:r>
      <w:r>
        <w:rPr>
          <w:rFonts w:ascii="Arial" w:cs="Arial" w:eastAsia="Arial" w:hAnsi="Arial"/>
          <w:sz w:val="21"/>
          <w:szCs w:val="21"/>
          <w:u w:val="single" w:color="auto"/>
          <w:color w:val="auto"/>
        </w:rPr>
        <w:t>Sections 4.02(a)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have been satisfied, (B) there is no action, suit, investigation or proceeding pending or, to the knowledge of any Borrower, threatened in any court or before any arbitrator or Governmental Authority that could reasonably be expected to have, either individually or in the aggregate, a Material Adverse Effect, and (C) that there has been no event or circumstance since the date of the Audited Financial Statements that has had or could be reasonably expected to have, either individually or in the aggregate, a Material Adverse Effect;</w:t>
      </w:r>
    </w:p>
    <w:p>
      <w:pPr>
        <w:spacing w:after="0" w:line="178" w:lineRule="exact"/>
        <w:rPr>
          <w:rFonts w:ascii="Arial" w:cs="Arial" w:eastAsia="Arial" w:hAnsi="Arial"/>
          <w:sz w:val="21"/>
          <w:szCs w:val="21"/>
          <w:color w:val="auto"/>
        </w:rPr>
      </w:pPr>
    </w:p>
    <w:p>
      <w:pPr>
        <w:jc w:val="both"/>
        <w:ind w:left="260" w:firstLine="655"/>
        <w:spacing w:after="0" w:line="238" w:lineRule="auto"/>
        <w:tabs>
          <w:tab w:leader="none" w:pos="156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 certificate signed by a Responsible Officer of WFS which shall include a list of the Guarantors as of the Closing Date and the aggregate book value of assets (including Equity Interests but excluding Investments that are eliminated in consolidation) represented by each such Guarantor on an individual basis as of June 30, 2013;</w:t>
      </w:r>
    </w:p>
    <w:p>
      <w:pPr>
        <w:spacing w:after="0" w:line="185" w:lineRule="exact"/>
        <w:rPr>
          <w:rFonts w:ascii="Arial" w:cs="Arial" w:eastAsia="Arial" w:hAnsi="Arial"/>
          <w:sz w:val="22"/>
          <w:szCs w:val="22"/>
          <w:color w:val="auto"/>
        </w:rPr>
      </w:pPr>
    </w:p>
    <w:p>
      <w:pPr>
        <w:ind w:left="260" w:right="20" w:firstLine="655"/>
        <w:spacing w:after="0" w:line="251" w:lineRule="auto"/>
        <w:tabs>
          <w:tab w:leader="none" w:pos="161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certificates attesting to the Solvency of each Loan Party before and after giving effect to any Borrowings on the Closing Date, from its chief financial officer,</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136" w:name="page137"/>
    <w:bookmarkEnd w:id="136"/>
    <w:p>
      <w:pPr>
        <w:ind w:left="800"/>
        <w:spacing w:after="0"/>
        <w:rPr>
          <w:sz w:val="20"/>
          <w:szCs w:val="20"/>
          <w:color w:val="auto"/>
        </w:rPr>
      </w:pPr>
      <w:r>
        <w:rPr>
          <w:rFonts w:ascii="Arial" w:cs="Arial" w:eastAsia="Arial" w:hAnsi="Arial"/>
          <w:sz w:val="21"/>
          <w:szCs w:val="21"/>
          <w:color w:val="auto"/>
        </w:rPr>
        <w:t>treasurer or other Responsible Officer with knowledge of the financial condition of such Loan Party;</w:t>
      </w:r>
    </w:p>
    <w:p>
      <w:pPr>
        <w:spacing w:after="0" w:line="218" w:lineRule="exact"/>
        <w:rPr>
          <w:sz w:val="20"/>
          <w:szCs w:val="20"/>
          <w:color w:val="auto"/>
        </w:rPr>
      </w:pPr>
    </w:p>
    <w:p>
      <w:pPr>
        <w:ind w:left="800" w:right="20" w:firstLine="655"/>
        <w:spacing w:after="0" w:line="328" w:lineRule="auto"/>
        <w:tabs>
          <w:tab w:leader="none" w:pos="2171" w:val="left"/>
        </w:tabs>
        <w:numPr>
          <w:ilvl w:val="1"/>
          <w:numId w:val="127"/>
        </w:numPr>
        <w:rPr>
          <w:rFonts w:ascii="Arial" w:cs="Arial" w:eastAsia="Arial" w:hAnsi="Arial"/>
          <w:sz w:val="19"/>
          <w:szCs w:val="19"/>
          <w:color w:val="auto"/>
        </w:rPr>
      </w:pPr>
      <w:r>
        <w:rPr>
          <w:rFonts w:ascii="Arial" w:cs="Arial" w:eastAsia="Arial" w:hAnsi="Arial"/>
          <w:sz w:val="19"/>
          <w:szCs w:val="19"/>
          <w:color w:val="auto"/>
        </w:rPr>
        <w:t>such other assurances, certificates, documents, consents or opinions as the Administrative Agent, the L/C-BA Issuer, the Swing Line Lender or the Required Lenders reasonably may require.</w:t>
      </w:r>
    </w:p>
    <w:p>
      <w:pPr>
        <w:spacing w:after="0" w:line="105" w:lineRule="exact"/>
        <w:rPr>
          <w:rFonts w:ascii="Arial" w:cs="Arial" w:eastAsia="Arial" w:hAnsi="Arial"/>
          <w:sz w:val="19"/>
          <w:szCs w:val="19"/>
          <w:color w:val="auto"/>
        </w:rPr>
      </w:pPr>
    </w:p>
    <w:p>
      <w:pPr>
        <w:ind w:left="1300" w:hanging="655"/>
        <w:spacing w:after="0"/>
        <w:tabs>
          <w:tab w:leader="none" w:pos="13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fees required to be paid under the Loan Documents on or before the Closing Date shall have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paid.</w:t>
      </w:r>
    </w:p>
    <w:p>
      <w:pPr>
        <w:spacing w:after="0" w:line="188" w:lineRule="exact"/>
        <w:rPr>
          <w:rFonts w:ascii="Arial" w:cs="Arial" w:eastAsia="Arial" w:hAnsi="Arial"/>
          <w:sz w:val="19"/>
          <w:szCs w:val="19"/>
          <w:color w:val="auto"/>
        </w:rPr>
      </w:pPr>
    </w:p>
    <w:p>
      <w:pPr>
        <w:jc w:val="both"/>
        <w:ind w:firstLine="645"/>
        <w:spacing w:after="0" w:line="279" w:lineRule="auto"/>
        <w:tabs>
          <w:tab w:leader="none" w:pos="129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Unless waived by the Administrative Agent, the Borrowers shall have paid all reasonable fees, charges and disbursements of counsel to the Administrative Agent (directly to such counsel if requested by the Administrative Agent) to the extent invoiced prior to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estimate shall not thereafter preclude a final settling of accounts between the Borrowers and the Administrative Agent).</w:t>
      </w:r>
    </w:p>
    <w:p>
      <w:pPr>
        <w:spacing w:after="0" w:line="150" w:lineRule="exact"/>
        <w:rPr>
          <w:rFonts w:ascii="Arial" w:cs="Arial" w:eastAsia="Arial" w:hAnsi="Arial"/>
          <w:sz w:val="19"/>
          <w:szCs w:val="19"/>
          <w:color w:val="auto"/>
        </w:rPr>
      </w:pPr>
    </w:p>
    <w:p>
      <w:pPr>
        <w:jc w:val="both"/>
        <w:ind w:right="20" w:firstLine="645"/>
        <w:spacing w:after="0" w:line="235" w:lineRule="auto"/>
        <w:tabs>
          <w:tab w:leader="none" w:pos="130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provisions of the last paragraph of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for purposes of determining compliance with the conditions specified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2" w:lineRule="exact"/>
        <w:rPr>
          <w:sz w:val="20"/>
          <w:szCs w:val="20"/>
          <w:color w:val="auto"/>
        </w:rPr>
      </w:pPr>
    </w:p>
    <w:p>
      <w:pPr>
        <w:jc w:val="both"/>
        <w:ind w:left="20" w:right="20" w:firstLine="648"/>
        <w:spacing w:after="0" w:line="243" w:lineRule="auto"/>
        <w:rPr>
          <w:sz w:val="20"/>
          <w:szCs w:val="20"/>
          <w:color w:val="auto"/>
        </w:rPr>
      </w:pPr>
      <w:r>
        <w:rPr>
          <w:rFonts w:ascii="Arial" w:cs="Arial" w:eastAsia="Arial" w:hAnsi="Arial"/>
          <w:sz w:val="22"/>
          <w:szCs w:val="22"/>
          <w:b w:val="1"/>
          <w:bCs w:val="1"/>
          <w:color w:val="auto"/>
        </w:rPr>
        <w:t>4.02 Conditions to all Credit Extensions</w:t>
      </w:r>
      <w:r>
        <w:rPr>
          <w:rFonts w:ascii="Arial" w:cs="Arial" w:eastAsia="Arial" w:hAnsi="Arial"/>
          <w:sz w:val="22"/>
          <w:szCs w:val="22"/>
          <w:color w:val="auto"/>
        </w:rPr>
        <w:t>. The obligation of each Lender to honor any Request for</w:t>
      </w:r>
      <w:r>
        <w:rPr>
          <w:rFonts w:ascii="Arial" w:cs="Arial" w:eastAsia="Arial" w:hAnsi="Arial"/>
          <w:sz w:val="22"/>
          <w:szCs w:val="22"/>
          <w:b w:val="1"/>
          <w:bCs w:val="1"/>
          <w:color w:val="auto"/>
        </w:rPr>
        <w:t xml:space="preserve"> </w:t>
      </w:r>
      <w:r>
        <w:rPr>
          <w:rFonts w:ascii="Arial" w:cs="Arial" w:eastAsia="Arial" w:hAnsi="Arial"/>
          <w:sz w:val="22"/>
          <w:szCs w:val="22"/>
          <w:color w:val="auto"/>
        </w:rPr>
        <w:t>Credit Extension (other than a Committed Loan Notice requesting only a conversion of Loans to the other Type, or a continuation of Eurodollar Rate Loans) is subject to the following conditions precedent:</w:t>
      </w:r>
    </w:p>
    <w:p>
      <w:pPr>
        <w:spacing w:after="0" w:line="183" w:lineRule="exact"/>
        <w:rPr>
          <w:sz w:val="20"/>
          <w:szCs w:val="20"/>
          <w:color w:val="auto"/>
        </w:rPr>
      </w:pPr>
    </w:p>
    <w:p>
      <w:pPr>
        <w:jc w:val="both"/>
        <w:ind w:right="20" w:firstLine="645"/>
        <w:spacing w:after="0" w:line="277" w:lineRule="auto"/>
        <w:tabs>
          <w:tab w:leader="none" w:pos="1293"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Borrowers and each other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right="20" w:firstLine="645"/>
        <w:spacing w:after="0" w:line="251" w:lineRule="auto"/>
        <w:tabs>
          <w:tab w:leader="none" w:pos="130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 Default shall exist, or would result from such proposed Credit Extension or from the application of the proceeds thereof.</w:t>
      </w:r>
    </w:p>
    <w:p>
      <w:pPr>
        <w:spacing w:after="0" w:line="173" w:lineRule="exact"/>
        <w:rPr>
          <w:rFonts w:ascii="Arial" w:cs="Arial" w:eastAsia="Arial" w:hAnsi="Arial"/>
          <w:sz w:val="22"/>
          <w:szCs w:val="22"/>
          <w:color w:val="auto"/>
        </w:rPr>
      </w:pPr>
    </w:p>
    <w:p>
      <w:pPr>
        <w:ind w:right="20" w:firstLine="645"/>
        <w:spacing w:after="0" w:line="251" w:lineRule="auto"/>
        <w:tabs>
          <w:tab w:leader="none" w:pos="1293"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Administrative Agent and, if applicable, the L/C-BA Issuer or the Swing Line Lender shall have received a Request for Credit Extension in accordance with the requirements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37" w:name="page138"/>
    <w:bookmarkEnd w:id="137"/>
    <w:p>
      <w:pPr>
        <w:jc w:val="both"/>
        <w:ind w:left="4" w:firstLine="645"/>
        <w:spacing w:after="0" w:line="273" w:lineRule="auto"/>
        <w:tabs>
          <w:tab w:leader="none" w:pos="1512"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Each Request for Credit Extension (other than a Committed Loan Notice requesting only a conversion of Loans to the other Type or a continuation of Eurodollar Rate Loans) submitted by the Borrowing Agent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w:t>
      </w:r>
    </w:p>
    <w:p>
      <w:pPr>
        <w:spacing w:after="0" w:line="2" w:lineRule="exact"/>
        <w:rPr>
          <w:rFonts w:ascii="Arial" w:cs="Arial" w:eastAsia="Arial" w:hAnsi="Arial"/>
          <w:sz w:val="19"/>
          <w:szCs w:val="19"/>
          <w:color w:val="auto"/>
        </w:rPr>
      </w:pPr>
    </w:p>
    <w:p>
      <w:pPr>
        <w:ind w:left="304" w:hanging="304"/>
        <w:spacing w:after="0"/>
        <w:tabs>
          <w:tab w:leader="none" w:pos="304" w:val="left"/>
        </w:tabs>
        <w:numPr>
          <w:ilvl w:val="0"/>
          <w:numId w:val="131"/>
        </w:numPr>
        <w:rPr>
          <w:rFonts w:ascii="Arial" w:cs="Arial" w:eastAsia="Arial" w:hAnsi="Arial"/>
          <w:sz w:val="22"/>
          <w:szCs w:val="22"/>
          <w:u w:val="single" w:color="auto"/>
          <w:color w:val="auto"/>
        </w:rPr>
      </w:pPr>
      <w:r>
        <w:rPr>
          <w:rFonts w:ascii="Arial" w:cs="Arial" w:eastAsia="Arial" w:hAnsi="Arial"/>
          <w:sz w:val="22"/>
          <w:szCs w:val="22"/>
          <w:color w:val="auto"/>
        </w:rPr>
        <w:t>have been satisfied on and as of the date of the applicable Credit Extension.</w:t>
      </w:r>
    </w:p>
    <w:p>
      <w:pPr>
        <w:spacing w:after="0" w:line="182" w:lineRule="exact"/>
        <w:rPr>
          <w:sz w:val="20"/>
          <w:szCs w:val="20"/>
          <w:color w:val="auto"/>
        </w:rPr>
      </w:pPr>
    </w:p>
    <w:p>
      <w:pPr>
        <w:ind w:left="2324"/>
        <w:spacing w:after="0"/>
        <w:rPr>
          <w:sz w:val="20"/>
          <w:szCs w:val="20"/>
          <w:color w:val="auto"/>
        </w:rPr>
      </w:pPr>
      <w:r>
        <w:rPr>
          <w:rFonts w:ascii="Arial" w:cs="Arial" w:eastAsia="Arial" w:hAnsi="Arial"/>
          <w:sz w:val="22"/>
          <w:szCs w:val="22"/>
          <w:b w:val="1"/>
          <w:bCs w:val="1"/>
          <w:color w:val="auto"/>
        </w:rPr>
        <w:t>ARTICLE V. REPRESENTATIONS AND WARRANTIES</w:t>
      </w:r>
    </w:p>
    <w:p>
      <w:pPr>
        <w:spacing w:after="0" w:line="21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Each Borrower represents and warrants to the Administrative Agent and the Lenders that:</w:t>
      </w:r>
    </w:p>
    <w:p>
      <w:pPr>
        <w:spacing w:after="0" w:line="200" w:lineRule="exact"/>
        <w:rPr>
          <w:sz w:val="20"/>
          <w:szCs w:val="20"/>
          <w:color w:val="auto"/>
        </w:rPr>
      </w:pPr>
    </w:p>
    <w:p>
      <w:pPr>
        <w:jc w:val="both"/>
        <w:ind w:left="24" w:firstLine="648"/>
        <w:spacing w:after="0" w:line="246" w:lineRule="auto"/>
        <w:rPr>
          <w:sz w:val="20"/>
          <w:szCs w:val="20"/>
          <w:color w:val="auto"/>
        </w:rPr>
      </w:pPr>
      <w:r>
        <w:rPr>
          <w:rFonts w:ascii="Arial" w:cs="Arial" w:eastAsia="Arial" w:hAnsi="Arial"/>
          <w:sz w:val="21"/>
          <w:szCs w:val="21"/>
          <w:b w:val="1"/>
          <w:bCs w:val="1"/>
          <w:color w:val="auto"/>
        </w:rPr>
        <w:t>5.01 Existence, Qualification and Power</w:t>
      </w:r>
      <w:r>
        <w:rPr>
          <w:rFonts w:ascii="Arial" w:cs="Arial" w:eastAsia="Arial" w:hAnsi="Arial"/>
          <w:sz w:val="21"/>
          <w:szCs w:val="21"/>
          <w:color w:val="auto"/>
        </w:rPr>
        <w:t>. Each Loan Party and each Restricted Subsidiary thereof (a)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21"/>
          <w:szCs w:val="21"/>
          <w:u w:val="single" w:color="auto"/>
          <w:color w:val="auto"/>
        </w:rPr>
        <w:t>clause (b)(i)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5.01</w:t>
      </w:r>
      <w:r>
        <w:rPr>
          <w:rFonts w:ascii="Arial" w:cs="Arial" w:eastAsia="Arial" w:hAnsi="Arial"/>
          <w:sz w:val="21"/>
          <w:szCs w:val="21"/>
          <w:color w:val="auto"/>
        </w:rPr>
        <w:t>, to the extent that failure to do so could not reasonably be expected to have a Material Adverse Effect.</w:t>
      </w:r>
    </w:p>
    <w:p>
      <w:pPr>
        <w:spacing w:after="0" w:line="176" w:lineRule="exact"/>
        <w:rPr>
          <w:sz w:val="20"/>
          <w:szCs w:val="20"/>
          <w:color w:val="auto"/>
        </w:rPr>
      </w:pPr>
    </w:p>
    <w:p>
      <w:pPr>
        <w:jc w:val="both"/>
        <w:ind w:left="24" w:right="20" w:firstLine="648"/>
        <w:spacing w:after="0" w:line="246" w:lineRule="auto"/>
        <w:rPr>
          <w:sz w:val="20"/>
          <w:szCs w:val="20"/>
          <w:color w:val="auto"/>
        </w:rPr>
      </w:pPr>
      <w:r>
        <w:rPr>
          <w:rFonts w:ascii="Arial" w:cs="Arial" w:eastAsia="Arial" w:hAnsi="Arial"/>
          <w:sz w:val="21"/>
          <w:szCs w:val="21"/>
          <w:b w:val="1"/>
          <w:bCs w:val="1"/>
          <w:color w:val="auto"/>
        </w:rPr>
        <w:t>5.02 Authorization; No Contravention</w:t>
      </w:r>
      <w:r>
        <w:rPr>
          <w:rFonts w:ascii="Arial" w:cs="Arial" w:eastAsia="Arial" w:hAnsi="Arial"/>
          <w:sz w:val="21"/>
          <w:szCs w:val="21"/>
          <w:color w:val="auto"/>
        </w:rPr>
        <w:t>. The execution, delivery and performance by each Loan Party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(ii) any order, injunction, writ or decree of any Governmental Authority or any arbitral award to which such Person or its property is subject; or (c) violate any Law; except in each case referred to in </w:t>
      </w:r>
      <w:r>
        <w:rPr>
          <w:rFonts w:ascii="Arial" w:cs="Arial" w:eastAsia="Arial" w:hAnsi="Arial"/>
          <w:sz w:val="21"/>
          <w:szCs w:val="21"/>
          <w:u w:val="single" w:color="auto"/>
          <w:color w:val="auto"/>
        </w:rPr>
        <w:t>clauses (b)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5.02</w:t>
      </w:r>
      <w:r>
        <w:rPr>
          <w:rFonts w:ascii="Arial" w:cs="Arial" w:eastAsia="Arial" w:hAnsi="Arial"/>
          <w:sz w:val="21"/>
          <w:szCs w:val="21"/>
          <w:color w:val="auto"/>
        </w:rPr>
        <w:t>, to the extent such conflict, breach, contravention, creation, payment or violation could not reasonably be expected to have a Material Adverse Effect.</w:t>
      </w:r>
    </w:p>
    <w:p>
      <w:pPr>
        <w:spacing w:after="0" w:line="176" w:lineRule="exact"/>
        <w:rPr>
          <w:sz w:val="20"/>
          <w:szCs w:val="20"/>
          <w:color w:val="auto"/>
        </w:rPr>
      </w:pPr>
    </w:p>
    <w:p>
      <w:pPr>
        <w:jc w:val="both"/>
        <w:ind w:left="24" w:right="20" w:firstLine="648"/>
        <w:spacing w:after="0" w:line="236" w:lineRule="auto"/>
        <w:rPr>
          <w:sz w:val="20"/>
          <w:szCs w:val="20"/>
          <w:color w:val="auto"/>
        </w:rPr>
      </w:pPr>
      <w:r>
        <w:rPr>
          <w:rFonts w:ascii="Arial" w:cs="Arial" w:eastAsia="Arial" w:hAnsi="Arial"/>
          <w:sz w:val="22"/>
          <w:szCs w:val="22"/>
          <w:b w:val="1"/>
          <w:bCs w:val="1"/>
          <w:color w:val="auto"/>
        </w:rPr>
        <w:t>5.03 Governmental Authorization; Other Consents</w:t>
      </w:r>
      <w:r>
        <w:rPr>
          <w:rFonts w:ascii="Arial" w:cs="Arial" w:eastAsia="Arial" w:hAnsi="Arial"/>
          <w:sz w:val="22"/>
          <w:szCs w:val="22"/>
          <w:color w:val="auto"/>
        </w:rPr>
        <w:t>. No approval, consent, exemption,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action by, or notice to, or filing with, any Governmental Authority or any other Person is necessary or required in connection with the execution, delivery or performance by, or enforcement against, any Loan Party of this Agreement or any other Loan Document (other than any consent or approval which has been obtained and is in full force and effect) and except to the extent the failure to obtain the same could not reasonably be expected to have a Material Adverse Effect.</w:t>
      </w:r>
    </w:p>
    <w:p>
      <w:pPr>
        <w:spacing w:after="0" w:line="182" w:lineRule="exact"/>
        <w:rPr>
          <w:sz w:val="20"/>
          <w:szCs w:val="20"/>
          <w:color w:val="auto"/>
        </w:rPr>
      </w:pPr>
    </w:p>
    <w:p>
      <w:pPr>
        <w:jc w:val="both"/>
        <w:ind w:left="24" w:firstLine="648"/>
        <w:spacing w:after="0" w:line="237" w:lineRule="auto"/>
        <w:rPr>
          <w:sz w:val="20"/>
          <w:szCs w:val="20"/>
          <w:color w:val="auto"/>
        </w:rPr>
      </w:pPr>
      <w:r>
        <w:rPr>
          <w:rFonts w:ascii="Arial" w:cs="Arial" w:eastAsia="Arial" w:hAnsi="Arial"/>
          <w:sz w:val="22"/>
          <w:szCs w:val="22"/>
          <w:b w:val="1"/>
          <w:bCs w:val="1"/>
          <w:color w:val="auto"/>
        </w:rPr>
        <w:t>5.04 Binding Effect</w:t>
      </w:r>
      <w:r>
        <w:rPr>
          <w:rFonts w:ascii="Arial" w:cs="Arial" w:eastAsia="Arial" w:hAnsi="Arial"/>
          <w:sz w:val="22"/>
          <w:szCs w:val="22"/>
          <w:color w:val="auto"/>
        </w:rPr>
        <w:t>. This Agreement has been, and each other Loan Document, when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will have been, duly executed and delivered by each Loan Party that is party thereto. This Agreement constitutes, and each other Loan Document when so delivered will constitute, a legal, valid and binding obligation of each Loan Party that is a party thereto, enforceable against such Loan Party in accordance with its terms, subject to (i) bankruptcy,</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38" w:name="page139"/>
    <w:bookmarkEnd w:id="138"/>
    <w:p>
      <w:pPr>
        <w:jc w:val="both"/>
        <w:ind w:left="24" w:right="20"/>
        <w:spacing w:after="0" w:line="238" w:lineRule="auto"/>
        <w:rPr>
          <w:sz w:val="20"/>
          <w:szCs w:val="20"/>
          <w:color w:val="auto"/>
        </w:rPr>
      </w:pPr>
      <w:r>
        <w:rPr>
          <w:rFonts w:ascii="Arial" w:cs="Arial" w:eastAsia="Arial" w:hAnsi="Arial"/>
          <w:sz w:val="22"/>
          <w:szCs w:val="22"/>
          <w:color w:val="auto"/>
        </w:rPr>
        <w:t>insolvency and similar laws affecting the enforceability of creditors’ rights generally and to general principles of equity, and (ii) any lack of enforceability of any “keepwell” provision included in any Loan Document against any Loan Party that is a Foreign Subsidiary (other than any Foreign Subsidiary that is a Borrower) as a result of laws applicable to such Loan Party.</w:t>
      </w:r>
    </w:p>
    <w:p>
      <w:pPr>
        <w:spacing w:after="0" w:line="179"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5.05</w:t>
      </w:r>
      <w:r>
        <w:rPr>
          <w:sz w:val="20"/>
          <w:szCs w:val="20"/>
          <w:color w:val="auto"/>
        </w:rPr>
        <w:tab/>
      </w:r>
      <w:r>
        <w:rPr>
          <w:rFonts w:ascii="Arial" w:cs="Arial" w:eastAsia="Arial" w:hAnsi="Arial"/>
          <w:sz w:val="19"/>
          <w:szCs w:val="19"/>
          <w:b w:val="1"/>
          <w:bCs w:val="1"/>
          <w:color w:val="auto"/>
        </w:rPr>
        <w:t>Financial Statements; No Material Adverse Effect</w:t>
      </w:r>
      <w:r>
        <w:rPr>
          <w:rFonts w:ascii="Arial" w:cs="Arial" w:eastAsia="Arial" w:hAnsi="Arial"/>
          <w:sz w:val="19"/>
          <w:szCs w:val="19"/>
          <w:color w:val="auto"/>
        </w:rPr>
        <w:t>.</w:t>
      </w:r>
    </w:p>
    <w:p>
      <w:pPr>
        <w:spacing w:after="0" w:line="212" w:lineRule="exact"/>
        <w:rPr>
          <w:sz w:val="20"/>
          <w:szCs w:val="20"/>
          <w:color w:val="auto"/>
        </w:rPr>
      </w:pPr>
    </w:p>
    <w:p>
      <w:pPr>
        <w:jc w:val="both"/>
        <w:ind w:left="4" w:firstLine="645"/>
        <w:spacing w:after="0" w:line="279" w:lineRule="auto"/>
        <w:tabs>
          <w:tab w:leader="none" w:pos="129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 present the consolidated financial condition of WFS and its Subsidiaries as of the date thereof and their consolidated results of operations for the period covered thereby in accordance with GAAP consistently applied throughout the period covered thereby, except as otherwise expressly noted therein; and (iii) show all material indebtedness and other material liabilities, direct or contingent, of WFS and its Subsidiaries as of the date thereof.</w:t>
      </w:r>
    </w:p>
    <w:p>
      <w:pPr>
        <w:spacing w:after="0" w:line="150" w:lineRule="exact"/>
        <w:rPr>
          <w:rFonts w:ascii="Arial" w:cs="Arial" w:eastAsia="Arial" w:hAnsi="Arial"/>
          <w:sz w:val="19"/>
          <w:szCs w:val="19"/>
          <w:color w:val="auto"/>
        </w:rPr>
      </w:pPr>
    </w:p>
    <w:p>
      <w:pPr>
        <w:jc w:val="both"/>
        <w:ind w:left="4" w:right="20" w:firstLine="645"/>
        <w:spacing w:after="0" w:line="271" w:lineRule="auto"/>
        <w:tabs>
          <w:tab w:leader="none" w:pos="1309"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unaudited consolidated balance sheets of WFS and its Subsidiaries dated June 30, 2013 delivered pursuant to the Existing Credit Agreement,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w:t>
      </w:r>
    </w:p>
    <w:p>
      <w:pPr>
        <w:spacing w:after="0" w:line="3" w:lineRule="exact"/>
        <w:rPr>
          <w:rFonts w:ascii="Arial" w:cs="Arial" w:eastAsia="Arial" w:hAnsi="Arial"/>
          <w:sz w:val="19"/>
          <w:szCs w:val="19"/>
          <w:color w:val="auto"/>
        </w:rPr>
      </w:pPr>
    </w:p>
    <w:p>
      <w:pPr>
        <w:jc w:val="both"/>
        <w:ind w:left="4" w:right="20" w:hanging="4"/>
        <w:spacing w:after="0" w:line="234" w:lineRule="auto"/>
        <w:tabs>
          <w:tab w:leader="none" w:pos="34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fairly present the consolidated financial condition of WFS and its Subsidiaries as of the date thereof and their results of operations for the period covered thereby, subject, in the case of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to the absence of footnotes and to normal year-end audit adjustments.</w:t>
      </w:r>
    </w:p>
    <w:p>
      <w:pPr>
        <w:spacing w:after="0" w:line="187" w:lineRule="exact"/>
        <w:rPr>
          <w:rFonts w:ascii="Arial" w:cs="Arial" w:eastAsia="Arial" w:hAnsi="Arial"/>
          <w:sz w:val="22"/>
          <w:szCs w:val="22"/>
          <w:color w:val="auto"/>
        </w:rPr>
      </w:pPr>
    </w:p>
    <w:p>
      <w:pPr>
        <w:ind w:left="4" w:firstLine="645"/>
        <w:spacing w:after="0" w:line="328" w:lineRule="auto"/>
        <w:tabs>
          <w:tab w:leader="none" w:pos="129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Since the date of the Audited Financial Statements, there has been no event or circumstance, either individually or in the aggregate, that has had or could reasonably be expected to have a Material Adverse Effect.</w:t>
      </w:r>
    </w:p>
    <w:p>
      <w:pPr>
        <w:spacing w:after="0" w:line="105" w:lineRule="exact"/>
        <w:rPr>
          <w:rFonts w:ascii="Arial" w:cs="Arial" w:eastAsia="Arial" w:hAnsi="Arial"/>
          <w:sz w:val="19"/>
          <w:szCs w:val="19"/>
          <w:color w:val="auto"/>
        </w:rPr>
      </w:pPr>
    </w:p>
    <w:p>
      <w:pPr>
        <w:jc w:val="both"/>
        <w:ind w:left="4" w:firstLine="645"/>
        <w:spacing w:after="0" w:line="248" w:lineRule="auto"/>
        <w:tabs>
          <w:tab w:leader="none" w:pos="1309" w:val="left"/>
        </w:tabs>
        <w:numPr>
          <w:ilvl w:val="1"/>
          <w:numId w:val="133"/>
        </w:numPr>
        <w:rPr>
          <w:rFonts w:ascii="Arial" w:cs="Arial" w:eastAsia="Arial" w:hAnsi="Arial"/>
          <w:sz w:val="21"/>
          <w:szCs w:val="21"/>
          <w:color w:val="auto"/>
        </w:rPr>
      </w:pPr>
      <w:r>
        <w:rPr>
          <w:rFonts w:ascii="Arial" w:cs="Arial" w:eastAsia="Arial" w:hAnsi="Arial"/>
          <w:sz w:val="21"/>
          <w:szCs w:val="21"/>
          <w:color w:val="auto"/>
        </w:rPr>
        <w:t xml:space="preserve">The consolidated forecasted balance sheet and related consolidated statements of income and cash flows of WFS and its Subsidiaries most recently delivered pursuant to </w:t>
      </w:r>
      <w:r>
        <w:rPr>
          <w:rFonts w:ascii="Arial" w:cs="Arial" w:eastAsia="Arial" w:hAnsi="Arial"/>
          <w:sz w:val="21"/>
          <w:szCs w:val="21"/>
          <w:u w:val="single" w:color="auto"/>
          <w:color w:val="auto"/>
        </w:rPr>
        <w:t>Section 6.01(c)</w:t>
      </w:r>
      <w:r>
        <w:rPr>
          <w:rFonts w:ascii="Arial" w:cs="Arial" w:eastAsia="Arial" w:hAnsi="Arial"/>
          <w:sz w:val="21"/>
          <w:szCs w:val="21"/>
          <w:color w:val="auto"/>
        </w:rPr>
        <w:t xml:space="preserve"> were prepared in good faith on the basis of the assumptions that were reasonable in light of the conditions existing at the time of delivery of such forecasts, it being understood that projections, forecasts and other forward looking information are subject to significant contingencies and uncertainties, many of which are beyond the control of WFS and that no assurance can be given that such projections and forecasts will be realized.</w:t>
      </w:r>
    </w:p>
    <w:p>
      <w:pPr>
        <w:spacing w:after="0" w:line="171" w:lineRule="exact"/>
        <w:rPr>
          <w:sz w:val="20"/>
          <w:szCs w:val="20"/>
          <w:color w:val="auto"/>
        </w:rPr>
      </w:pPr>
    </w:p>
    <w:p>
      <w:pPr>
        <w:jc w:val="both"/>
        <w:ind w:left="24" w:firstLine="648"/>
        <w:spacing w:after="0" w:line="284" w:lineRule="auto"/>
        <w:rPr>
          <w:sz w:val="20"/>
          <w:szCs w:val="20"/>
          <w:color w:val="auto"/>
        </w:rPr>
      </w:pPr>
      <w:r>
        <w:rPr>
          <w:rFonts w:ascii="Arial" w:cs="Arial" w:eastAsia="Arial" w:hAnsi="Arial"/>
          <w:sz w:val="19"/>
          <w:szCs w:val="19"/>
          <w:b w:val="1"/>
          <w:bCs w:val="1"/>
          <w:color w:val="auto"/>
        </w:rPr>
        <w:t>5.06 Litigation</w:t>
      </w:r>
      <w:r>
        <w:rPr>
          <w:rFonts w:ascii="Arial" w:cs="Arial" w:eastAsia="Arial" w:hAnsi="Arial"/>
          <w:sz w:val="19"/>
          <w:szCs w:val="19"/>
          <w:color w:val="auto"/>
        </w:rPr>
        <w:t>. There are no actions, suits, proceedings, claims or disputes pending or, to the knowledge</w:t>
      </w:r>
      <w:r>
        <w:rPr>
          <w:rFonts w:ascii="Arial" w:cs="Arial" w:eastAsia="Arial" w:hAnsi="Arial"/>
          <w:sz w:val="19"/>
          <w:szCs w:val="19"/>
          <w:b w:val="1"/>
          <w:bCs w:val="1"/>
          <w:color w:val="auto"/>
        </w:rPr>
        <w:t xml:space="preserve"> </w:t>
      </w:r>
      <w:r>
        <w:rPr>
          <w:rFonts w:ascii="Arial" w:cs="Arial" w:eastAsia="Arial" w:hAnsi="Arial"/>
          <w:sz w:val="19"/>
          <w:szCs w:val="19"/>
          <w:color w:val="auto"/>
        </w:rPr>
        <w:t>of any Borrower, threatened, at law, in equity, in arbitration or before any Governmental Authority, by or against any Borrower or any Restricted Subsidiary or against any of their properties that (a) purport to affect or pertain to this Agreement or any other Loan Document, or any of the transactions contemplated hereby, or (b) either individually or in the aggregate could reasonably be expected to have a Material Adverse Effect.</w:t>
      </w:r>
    </w:p>
    <w:p>
      <w:pPr>
        <w:spacing w:after="0" w:line="139" w:lineRule="exact"/>
        <w:rPr>
          <w:sz w:val="20"/>
          <w:szCs w:val="20"/>
          <w:color w:val="auto"/>
        </w:rPr>
      </w:pPr>
    </w:p>
    <w:p>
      <w:pPr>
        <w:jc w:val="both"/>
        <w:ind w:left="24" w:right="20" w:firstLine="648"/>
        <w:spacing w:after="0" w:line="243" w:lineRule="auto"/>
        <w:rPr>
          <w:sz w:val="20"/>
          <w:szCs w:val="20"/>
          <w:color w:val="auto"/>
        </w:rPr>
      </w:pPr>
      <w:r>
        <w:rPr>
          <w:rFonts w:ascii="Arial" w:cs="Arial" w:eastAsia="Arial" w:hAnsi="Arial"/>
          <w:sz w:val="22"/>
          <w:szCs w:val="22"/>
          <w:b w:val="1"/>
          <w:bCs w:val="1"/>
          <w:color w:val="auto"/>
        </w:rPr>
        <w:t>5.07 No Default</w:t>
      </w:r>
      <w:r>
        <w:rPr>
          <w:rFonts w:ascii="Arial" w:cs="Arial" w:eastAsia="Arial" w:hAnsi="Arial"/>
          <w:sz w:val="22"/>
          <w:szCs w:val="22"/>
          <w:color w:val="auto"/>
        </w:rPr>
        <w:t>. Neither any Loan Party nor any Restricted Subsidiary thereof is in default under or</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Contractual Obligation that could, either individually or in the aggregate, reasonably be expected to have a Material Adverse Effect. No Default has</w:t>
      </w:r>
    </w:p>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39" w:name="page140"/>
    <w:bookmarkEnd w:id="139"/>
    <w:p>
      <w:pPr>
        <w:jc w:val="both"/>
        <w:ind w:left="20" w:right="20"/>
        <w:spacing w:after="0" w:line="251" w:lineRule="auto"/>
        <w:rPr>
          <w:sz w:val="20"/>
          <w:szCs w:val="20"/>
          <w:color w:val="auto"/>
        </w:rPr>
      </w:pPr>
      <w:r>
        <w:rPr>
          <w:rFonts w:ascii="Arial" w:cs="Arial" w:eastAsia="Arial" w:hAnsi="Arial"/>
          <w:sz w:val="22"/>
          <w:szCs w:val="22"/>
          <w:color w:val="auto"/>
        </w:rPr>
        <w:t>occurred and is continuing or would result from the consummation of the transactions contemplated by this Agreement or any other Loan Document.</w:t>
      </w:r>
    </w:p>
    <w:p>
      <w:pPr>
        <w:spacing w:after="0" w:line="168" w:lineRule="exact"/>
        <w:rPr>
          <w:sz w:val="20"/>
          <w:szCs w:val="20"/>
          <w:color w:val="auto"/>
        </w:rPr>
      </w:pPr>
    </w:p>
    <w:p>
      <w:pPr>
        <w:jc w:val="both"/>
        <w:ind w:left="20" w:firstLine="648"/>
        <w:spacing w:after="0" w:line="251" w:lineRule="auto"/>
        <w:rPr>
          <w:sz w:val="20"/>
          <w:szCs w:val="20"/>
          <w:color w:val="auto"/>
        </w:rPr>
      </w:pPr>
      <w:r>
        <w:rPr>
          <w:rFonts w:ascii="Arial" w:cs="Arial" w:eastAsia="Arial" w:hAnsi="Arial"/>
          <w:sz w:val="21"/>
          <w:szCs w:val="21"/>
          <w:b w:val="1"/>
          <w:bCs w:val="1"/>
          <w:color w:val="auto"/>
        </w:rPr>
        <w:t>5.08 Ownership of Property; Liens</w:t>
      </w:r>
      <w:r>
        <w:rPr>
          <w:rFonts w:ascii="Arial" w:cs="Arial" w:eastAsia="Arial" w:hAnsi="Arial"/>
          <w:sz w:val="21"/>
          <w:szCs w:val="21"/>
          <w:color w:val="auto"/>
        </w:rPr>
        <w:t>. Each of the Borrowers and each Restricted Subsidiary has good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No property of any Borrower or any Restricted Subsidiary is subject to any Liens, other than Liens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w:t>
      </w:r>
    </w:p>
    <w:p>
      <w:pPr>
        <w:spacing w:after="0" w:line="169" w:lineRule="exact"/>
        <w:rPr>
          <w:sz w:val="20"/>
          <w:szCs w:val="20"/>
          <w:color w:val="auto"/>
        </w:rPr>
      </w:pPr>
    </w:p>
    <w:p>
      <w:pPr>
        <w:jc w:val="both"/>
        <w:ind w:left="20" w:right="20" w:firstLine="648"/>
        <w:spacing w:after="0" w:line="236" w:lineRule="auto"/>
        <w:rPr>
          <w:sz w:val="20"/>
          <w:szCs w:val="20"/>
          <w:color w:val="auto"/>
        </w:rPr>
      </w:pPr>
      <w:r>
        <w:rPr>
          <w:rFonts w:ascii="Arial" w:cs="Arial" w:eastAsia="Arial" w:hAnsi="Arial"/>
          <w:sz w:val="22"/>
          <w:szCs w:val="22"/>
          <w:b w:val="1"/>
          <w:bCs w:val="1"/>
          <w:color w:val="auto"/>
        </w:rPr>
        <w:t>5.09 Environmental Compliance</w:t>
      </w:r>
      <w:r>
        <w:rPr>
          <w:rFonts w:ascii="Arial" w:cs="Arial" w:eastAsia="Arial" w:hAnsi="Arial"/>
          <w:sz w:val="22"/>
          <w:szCs w:val="22"/>
          <w:color w:val="auto"/>
        </w:rPr>
        <w:t>. Each Borrower and each Restricted Subsidiary conducts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ordinary course of business a review of the effect of existing Environmental Laws and claims alleging potential liability or responsibility for violation of any Environmental Law on their respective businesses, operations and properties, and as a result thereof each Borrower and each Restricted Subsidiary has reasonably concluded that such Environmental Laws and claims could not, individually or in the aggregate, reasonably be expected to have a Material Adverse Effect.</w:t>
      </w:r>
    </w:p>
    <w:p>
      <w:pPr>
        <w:spacing w:after="0" w:line="182"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22"/>
          <w:szCs w:val="22"/>
          <w:b w:val="1"/>
          <w:bCs w:val="1"/>
          <w:color w:val="auto"/>
        </w:rPr>
        <w:t>5.10 Insurance</w:t>
      </w:r>
      <w:r>
        <w:rPr>
          <w:rFonts w:ascii="Arial" w:cs="Arial" w:eastAsia="Arial" w:hAnsi="Arial"/>
          <w:sz w:val="22"/>
          <w:szCs w:val="22"/>
          <w:color w:val="auto"/>
        </w:rPr>
        <w:t>. The properties of each Borrower and each Restricted Subsidiary are insured with</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financially sound and reputable insurance companies, in such amounts, with such deductibles and covering such risks as are customarily carried by companies engaged in similar businesses and owning similar properties in localities where such Borrower or such Restricted Subsidiary operates.</w:t>
      </w:r>
    </w:p>
    <w:p>
      <w:pPr>
        <w:spacing w:after="0" w:line="181" w:lineRule="exact"/>
        <w:rPr>
          <w:sz w:val="20"/>
          <w:szCs w:val="20"/>
          <w:color w:val="auto"/>
        </w:rPr>
      </w:pPr>
    </w:p>
    <w:p>
      <w:pPr>
        <w:jc w:val="both"/>
        <w:ind w:left="20" w:right="20" w:firstLine="648"/>
        <w:spacing w:after="0" w:line="278" w:lineRule="auto"/>
        <w:rPr>
          <w:sz w:val="20"/>
          <w:szCs w:val="20"/>
          <w:color w:val="auto"/>
        </w:rPr>
      </w:pPr>
      <w:r>
        <w:rPr>
          <w:rFonts w:ascii="Arial" w:cs="Arial" w:eastAsia="Arial" w:hAnsi="Arial"/>
          <w:sz w:val="19"/>
          <w:szCs w:val="19"/>
          <w:b w:val="1"/>
          <w:bCs w:val="1"/>
          <w:color w:val="auto"/>
        </w:rPr>
        <w:t>5.11 Taxes</w:t>
      </w:r>
      <w:r>
        <w:rPr>
          <w:rFonts w:ascii="Arial" w:cs="Arial" w:eastAsia="Arial" w:hAnsi="Arial"/>
          <w:sz w:val="19"/>
          <w:szCs w:val="19"/>
          <w:color w:val="auto"/>
        </w:rPr>
        <w:t>. Each Borrower and each Restricted Subsidiary have filed all Federal, state and other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Restricted Subsidiary that would, if made, have a Material Adverse Effect. Neither any Loan Party nor any Restricted Subsidiary thereof is party to any tax sharing agreement.</w:t>
      </w:r>
    </w:p>
    <w:p>
      <w:pPr>
        <w:spacing w:after="0" w:line="14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19"/>
          <w:szCs w:val="19"/>
          <w:b w:val="1"/>
          <w:bCs w:val="1"/>
          <w:color w:val="auto"/>
        </w:rPr>
        <w:t>ERISA Compliance</w:t>
      </w:r>
      <w:r>
        <w:rPr>
          <w:rFonts w:ascii="Arial" w:cs="Arial" w:eastAsia="Arial" w:hAnsi="Arial"/>
          <w:sz w:val="19"/>
          <w:szCs w:val="19"/>
          <w:color w:val="auto"/>
        </w:rPr>
        <w:t>.</w:t>
      </w:r>
    </w:p>
    <w:p>
      <w:pPr>
        <w:spacing w:after="0" w:line="212" w:lineRule="exact"/>
        <w:rPr>
          <w:sz w:val="20"/>
          <w:szCs w:val="20"/>
          <w:color w:val="auto"/>
        </w:rPr>
      </w:pPr>
    </w:p>
    <w:p>
      <w:pPr>
        <w:jc w:val="both"/>
        <w:ind w:right="20" w:firstLine="645"/>
        <w:spacing w:after="0" w:line="275" w:lineRule="auto"/>
        <w:tabs>
          <w:tab w:leader="none" w:pos="129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except to the extent that such noncompliance could not reasonably be expected to have a Material Adverse Effect.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each Borrower, nothing has occurred that would prevent or cause the loss of such tax-qualified status.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40" w:name="page141"/>
    <w:bookmarkEnd w:id="140"/>
    <w:p>
      <w:pPr>
        <w:jc w:val="both"/>
        <w:ind w:firstLine="645"/>
        <w:spacing w:after="0" w:line="271" w:lineRule="auto"/>
        <w:tabs>
          <w:tab w:leader="none" w:pos="150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in each case, to the extent the liability resulting therefrom could not reasonably be expected to exceed the Threshold Amount;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in each case, to the extent the liability resulting therefrom could not reasonably be expected to exceed the Threshold Amount; (iv) neither any Borrower nor any ERISA Affiliate has incurred any liability to the PBGC other than for the payment of premiums, and there are no premium payments which have become due that are unpaid; (v) neither any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645"/>
        <w:spacing w:after="0" w:line="238" w:lineRule="auto"/>
        <w:tabs>
          <w:tab w:leader="none" w:pos="129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Neither any Borrower nor any ERISA Affiliate maintains or contributes to, or has any unsatisfied obligation to contribute to, or liability under, any active or terminated Pension Plan other than (A) on the Closing Date, those listed on </w:t>
      </w:r>
      <w:r>
        <w:rPr>
          <w:rFonts w:ascii="Arial" w:cs="Arial" w:eastAsia="Arial" w:hAnsi="Arial"/>
          <w:sz w:val="22"/>
          <w:szCs w:val="22"/>
          <w:u w:val="single" w:color="auto"/>
          <w:color w:val="auto"/>
        </w:rPr>
        <w:t>Schedule 5.12(c)</w:t>
      </w:r>
      <w:r>
        <w:rPr>
          <w:rFonts w:ascii="Arial" w:cs="Arial" w:eastAsia="Arial" w:hAnsi="Arial"/>
          <w:sz w:val="22"/>
          <w:szCs w:val="22"/>
          <w:color w:val="auto"/>
        </w:rPr>
        <w:t xml:space="preserve"> hereto and (B) thereafter, Pension Plans not otherwise prohibited by this Agreement.</w:t>
      </w:r>
    </w:p>
    <w:p>
      <w:pPr>
        <w:spacing w:after="0" w:line="185" w:lineRule="exact"/>
        <w:rPr>
          <w:rFonts w:ascii="Arial" w:cs="Arial" w:eastAsia="Arial" w:hAnsi="Arial"/>
          <w:sz w:val="22"/>
          <w:szCs w:val="22"/>
          <w:color w:val="auto"/>
        </w:rPr>
      </w:pPr>
    </w:p>
    <w:p>
      <w:pPr>
        <w:jc w:val="both"/>
        <w:ind w:right="20" w:firstLine="645"/>
        <w:spacing w:after="0" w:line="238" w:lineRule="auto"/>
        <w:tabs>
          <w:tab w:leader="none" w:pos="130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With respect to each scheme or arrangement mandated by a government other than the United States (a “</w:t>
      </w:r>
      <w:r>
        <w:rPr>
          <w:rFonts w:ascii="Arial" w:cs="Arial" w:eastAsia="Arial" w:hAnsi="Arial"/>
          <w:sz w:val="22"/>
          <w:szCs w:val="22"/>
          <w:u w:val="single" w:color="auto"/>
          <w:color w:val="auto"/>
        </w:rPr>
        <w:t>Foreign Government Scheme or Arrangement</w:t>
      </w:r>
      <w:r>
        <w:rPr>
          <w:rFonts w:ascii="Arial" w:cs="Arial" w:eastAsia="Arial" w:hAnsi="Arial"/>
          <w:sz w:val="22"/>
          <w:szCs w:val="22"/>
          <w:color w:val="auto"/>
        </w:rPr>
        <w:t>”) and with respect to each employee benefit plan maintained or contributed to by any Loan Party or any Restricted Subsidiary of any Loan Party that is not subject to United States law (a “</w:t>
      </w:r>
      <w:r>
        <w:rPr>
          <w:rFonts w:ascii="Arial" w:cs="Arial" w:eastAsia="Arial" w:hAnsi="Arial"/>
          <w:sz w:val="22"/>
          <w:szCs w:val="22"/>
          <w:u w:val="single" w:color="auto"/>
          <w:color w:val="auto"/>
        </w:rPr>
        <w:t>Foreign Plan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800" w:right="20" w:firstLine="655"/>
        <w:spacing w:after="0" w:line="287" w:lineRule="auto"/>
        <w:tabs>
          <w:tab w:leader="none" w:pos="2111"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w:t>
      </w:r>
    </w:p>
    <w:p>
      <w:pPr>
        <w:spacing w:after="0" w:line="143" w:lineRule="exact"/>
        <w:rPr>
          <w:rFonts w:ascii="Arial" w:cs="Arial" w:eastAsia="Arial" w:hAnsi="Arial"/>
          <w:sz w:val="19"/>
          <w:szCs w:val="19"/>
          <w:color w:val="auto"/>
        </w:rPr>
      </w:pPr>
    </w:p>
    <w:p>
      <w:pPr>
        <w:jc w:val="both"/>
        <w:ind w:left="800" w:right="20" w:firstLine="655"/>
        <w:spacing w:after="0" w:line="277" w:lineRule="auto"/>
        <w:tabs>
          <w:tab w:leader="none" w:pos="2144"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to the extent that such insufficiency could not reasonably be expected to have a Material Adverse Effect;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41" w:name="page142"/>
    <w:bookmarkEnd w:id="141"/>
    <w:p>
      <w:pPr>
        <w:jc w:val="both"/>
        <w:ind w:left="800" w:right="20" w:firstLine="655"/>
        <w:spacing w:after="0" w:line="298" w:lineRule="auto"/>
        <w:tabs>
          <w:tab w:leader="none" w:pos="23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w:t>
      </w:r>
    </w:p>
    <w:p>
      <w:pPr>
        <w:spacing w:after="0" w:line="126"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9"/>
          <w:szCs w:val="19"/>
          <w:b w:val="1"/>
          <w:bCs w:val="1"/>
          <w:color w:val="auto"/>
        </w:rPr>
        <w:t>5.13 Subsidiaries; Equity Interests</w:t>
      </w:r>
      <w:r>
        <w:rPr>
          <w:rFonts w:ascii="Arial" w:cs="Arial" w:eastAsia="Arial" w:hAnsi="Arial"/>
          <w:sz w:val="19"/>
          <w:szCs w:val="19"/>
          <w:color w:val="auto"/>
        </w:rPr>
        <w:t>. As of the Closing Date, WFS has no Subsidiaries other than those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specifically disclosed in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and as of the Closing Date all of the outstanding Equity Interests in such Subsidiaries have been validly issued, are fully paid and non-assessable and are owned by WFS or a Subsidiary in the amounts specified on </w:t>
      </w:r>
      <w:r>
        <w:rPr>
          <w:rFonts w:ascii="Arial" w:cs="Arial" w:eastAsia="Arial" w:hAnsi="Arial"/>
          <w:sz w:val="19"/>
          <w:szCs w:val="19"/>
          <w:u w:val="single" w:color="auto"/>
          <w:color w:val="auto"/>
        </w:rPr>
        <w:t>Part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free and clear of all Liens except those created under the Pledge Agreement. As of the Closing Date, none of WFS or any of its Restricted Subsidiaries has any equity investments in any other corporation or entity other than those specifically disclosed in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or otherwise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All of the outstanding Equity Interests in WFS have been validly issued, are fully paid and non-assessable. Set forth on Part (c)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(if any) issued to it by the jurisdiction of its incorporation. The copy of the charter of each Loan Party and each amendment thereto provided pursuant to </w:t>
      </w:r>
      <w:r>
        <w:rPr>
          <w:rFonts w:ascii="Arial" w:cs="Arial" w:eastAsia="Arial" w:hAnsi="Arial"/>
          <w:sz w:val="19"/>
          <w:szCs w:val="19"/>
          <w:u w:val="single" w:color="auto"/>
          <w:color w:val="auto"/>
        </w:rPr>
        <w:t>Section 4.01(a)(vi)</w:t>
      </w:r>
      <w:r>
        <w:rPr>
          <w:rFonts w:ascii="Arial" w:cs="Arial" w:eastAsia="Arial" w:hAnsi="Arial"/>
          <w:sz w:val="19"/>
          <w:szCs w:val="19"/>
          <w:color w:val="auto"/>
        </w:rPr>
        <w:t xml:space="preserve"> is a true and correct copy of each such document, each of which is valid and in full force and effect as of the Closing Date.</w:t>
      </w:r>
    </w:p>
    <w:p>
      <w:pPr>
        <w:spacing w:after="0" w:line="40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5.14</w:t>
      </w:r>
      <w:r>
        <w:rPr>
          <w:sz w:val="20"/>
          <w:szCs w:val="20"/>
          <w:color w:val="auto"/>
        </w:rPr>
        <w:tab/>
      </w:r>
      <w:r>
        <w:rPr>
          <w:rFonts w:ascii="Arial" w:cs="Arial" w:eastAsia="Arial" w:hAnsi="Arial"/>
          <w:sz w:val="19"/>
          <w:szCs w:val="19"/>
          <w:b w:val="1"/>
          <w:bCs w:val="1"/>
          <w:color w:val="auto"/>
        </w:rPr>
        <w:t>Margin Regulations; Investment Company Act</w:t>
      </w:r>
      <w:r>
        <w:rPr>
          <w:rFonts w:ascii="Arial" w:cs="Arial" w:eastAsia="Arial" w:hAnsi="Arial"/>
          <w:sz w:val="19"/>
          <w:szCs w:val="19"/>
          <w:color w:val="auto"/>
        </w:rPr>
        <w:t>.</w:t>
      </w:r>
    </w:p>
    <w:p>
      <w:pPr>
        <w:spacing w:after="0" w:line="212" w:lineRule="exact"/>
        <w:rPr>
          <w:sz w:val="20"/>
          <w:szCs w:val="20"/>
          <w:color w:val="auto"/>
        </w:rPr>
      </w:pPr>
    </w:p>
    <w:p>
      <w:pPr>
        <w:jc w:val="both"/>
        <w:ind w:right="20" w:firstLine="645"/>
        <w:spacing w:after="0" w:line="275" w:lineRule="auto"/>
        <w:tabs>
          <w:tab w:leader="none" w:pos="129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and Bankers’ Acceptance, not more than 25% of the value of the assets (either of any Borrower by itself or any Borrower and its Restricted Subsidiaries on a consolidated basis) subject to the provisions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or subject to any restriction contained in any agreement or instrument between such Borrower, or among one or more Borrowers, and any Lender or any Affiliate of any Lender relating to Indebtedness and within the scope of </w:t>
      </w:r>
      <w:r>
        <w:rPr>
          <w:rFonts w:ascii="Arial" w:cs="Arial" w:eastAsia="Arial" w:hAnsi="Arial"/>
          <w:sz w:val="19"/>
          <w:szCs w:val="19"/>
          <w:u w:val="single" w:color="auto"/>
          <w:color w:val="auto"/>
        </w:rPr>
        <w:t>Section 8.01(e)</w:t>
      </w:r>
      <w:r>
        <w:rPr>
          <w:rFonts w:ascii="Arial" w:cs="Arial" w:eastAsia="Arial" w:hAnsi="Arial"/>
          <w:sz w:val="19"/>
          <w:szCs w:val="19"/>
          <w:color w:val="auto"/>
        </w:rPr>
        <w:t xml:space="preserve"> will be margin stock.</w:t>
      </w:r>
    </w:p>
    <w:p>
      <w:pPr>
        <w:spacing w:after="0" w:line="158" w:lineRule="exact"/>
        <w:rPr>
          <w:rFonts w:ascii="Arial" w:cs="Arial" w:eastAsia="Arial" w:hAnsi="Arial"/>
          <w:sz w:val="19"/>
          <w:szCs w:val="19"/>
          <w:color w:val="auto"/>
        </w:rPr>
      </w:pPr>
    </w:p>
    <w:p>
      <w:pPr>
        <w:ind w:right="20" w:firstLine="645"/>
        <w:spacing w:after="0" w:line="251" w:lineRule="auto"/>
        <w:tabs>
          <w:tab w:leader="none" w:pos="130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No Loan Party is or is required to be registered as an “investment company” under the Investment Company Act of 1940.</w:t>
      </w:r>
    </w:p>
    <w:p>
      <w:pPr>
        <w:spacing w:after="0" w:line="167" w:lineRule="exact"/>
        <w:rPr>
          <w:sz w:val="20"/>
          <w:szCs w:val="20"/>
          <w:color w:val="auto"/>
        </w:rPr>
      </w:pPr>
    </w:p>
    <w:p>
      <w:pPr>
        <w:jc w:val="both"/>
        <w:ind w:left="20" w:firstLine="648"/>
        <w:spacing w:after="0" w:line="248" w:lineRule="auto"/>
        <w:rPr>
          <w:sz w:val="20"/>
          <w:szCs w:val="20"/>
          <w:color w:val="auto"/>
        </w:rPr>
      </w:pPr>
      <w:r>
        <w:rPr>
          <w:rFonts w:ascii="Arial" w:cs="Arial" w:eastAsia="Arial" w:hAnsi="Arial"/>
          <w:sz w:val="21"/>
          <w:szCs w:val="21"/>
          <w:b w:val="1"/>
          <w:bCs w:val="1"/>
          <w:color w:val="auto"/>
        </w:rPr>
        <w:t>5.15 Disclosure</w:t>
      </w:r>
      <w:r>
        <w:rPr>
          <w:rFonts w:ascii="Arial" w:cs="Arial" w:eastAsia="Arial" w:hAnsi="Arial"/>
          <w:sz w:val="21"/>
          <w:szCs w:val="21"/>
          <w:color w:val="auto"/>
        </w:rPr>
        <w:t>. No report, financial statement, certificate or other information furnished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projected financial information, each Borrower represents only that such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information was prepared in good faith based upon assumptions believed to be reasonable at the time.</w:t>
      </w:r>
    </w:p>
    <w:p>
      <w:pPr>
        <w:spacing w:after="0" w:line="2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5.16 Compliance with Laws</w:t>
      </w:r>
      <w:r>
        <w:rPr>
          <w:rFonts w:ascii="Arial" w:cs="Arial" w:eastAsia="Arial" w:hAnsi="Arial"/>
          <w:sz w:val="22"/>
          <w:szCs w:val="22"/>
          <w:color w:val="auto"/>
        </w:rPr>
        <w:t>. Each Loan Party and each Restricted Subsidiary thereof is in compliance</w:t>
      </w:r>
      <w:r>
        <w:rPr>
          <w:rFonts w:ascii="Arial" w:cs="Arial" w:eastAsia="Arial" w:hAnsi="Arial"/>
          <w:sz w:val="22"/>
          <w:szCs w:val="22"/>
          <w:b w:val="1"/>
          <w:bCs w:val="1"/>
          <w:color w:val="auto"/>
        </w:rPr>
        <w:t xml:space="preserve"> </w:t>
      </w:r>
      <w:r>
        <w:rPr>
          <w:rFonts w:ascii="Arial" w:cs="Arial" w:eastAsia="Arial" w:hAnsi="Arial"/>
          <w:sz w:val="22"/>
          <w:szCs w:val="22"/>
          <w:color w:val="auto"/>
        </w:rPr>
        <w:t>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5.17 Intellectual Property; Licenses, Etc</w:t>
      </w:r>
      <w:r>
        <w:rPr>
          <w:rFonts w:ascii="Arial" w:cs="Arial" w:eastAsia="Arial" w:hAnsi="Arial"/>
          <w:sz w:val="21"/>
          <w:szCs w:val="21"/>
          <w:color w:val="auto"/>
        </w:rPr>
        <w:t>. Except for such failure to own, possess or have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use that could reasonably be expected to have a Material Adverse Effect, each Borrower and each Restricted Subsidiary owns, or possesses the right to use, all of the trademarks, service marks, trade names, copyrights, patents, patent rights, franchises, licenses and other intellectual property rights (collectively, “</w:t>
      </w:r>
      <w:r>
        <w:rPr>
          <w:rFonts w:ascii="Arial" w:cs="Arial" w:eastAsia="Arial" w:hAnsi="Arial"/>
          <w:sz w:val="21"/>
          <w:szCs w:val="21"/>
          <w:u w:val="single" w:color="auto"/>
          <w:color w:val="auto"/>
        </w:rPr>
        <w:t>IP Rights</w:t>
      </w:r>
      <w:r>
        <w:rPr>
          <w:rFonts w:ascii="Arial" w:cs="Arial" w:eastAsia="Arial" w:hAnsi="Arial"/>
          <w:sz w:val="21"/>
          <w:szCs w:val="21"/>
          <w:color w:val="auto"/>
        </w:rPr>
        <w:t xml:space="preserve">”) that are reasonably necessary for the operation of their respective businesses, without conflict with the rights of any other Person. To the knowledge of each Borrower, (a) no slogan or other advertising device, product, process, method, substance, part or other material now employed, or now contemplated to be employed, by any Borrower or any Restricted Subsidiary infringes upon any rights held by any other Person and (b) no claim or litigation regarding any of the foregoing is pending or, to the knowledge of any Borrower, threatened, which, in the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5.17</w:t>
      </w:r>
      <w:r>
        <w:rPr>
          <w:rFonts w:ascii="Arial" w:cs="Arial" w:eastAsia="Arial" w:hAnsi="Arial"/>
          <w:sz w:val="21"/>
          <w:szCs w:val="21"/>
          <w:color w:val="auto"/>
        </w:rPr>
        <w:t xml:space="preserve"> either individually or in the aggregate, could reasonably be expected to have a Material Adverse Effect.</w:t>
      </w:r>
    </w:p>
    <w:p>
      <w:pPr>
        <w:spacing w:after="0" w:line="17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5.18 Solvency. </w:t>
      </w:r>
      <w:r>
        <w:rPr>
          <w:rFonts w:ascii="Arial" w:cs="Arial" w:eastAsia="Arial" w:hAnsi="Arial"/>
          <w:sz w:val="22"/>
          <w:szCs w:val="22"/>
          <w:color w:val="auto"/>
        </w:rPr>
        <w:t>Each Loan Party is, individually and together with its Restricted Subsidiaries on a</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consolidated basis, Solvent.</w:t>
      </w:r>
    </w:p>
    <w:p>
      <w:pPr>
        <w:spacing w:after="0" w:line="163"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5.19 No Burdensome Agreements</w:t>
      </w:r>
      <w:r>
        <w:rPr>
          <w:rFonts w:ascii="Arial" w:cs="Arial" w:eastAsia="Arial" w:hAnsi="Arial"/>
          <w:sz w:val="22"/>
          <w:szCs w:val="22"/>
          <w:color w:val="auto"/>
        </w:rPr>
        <w:t>. No Loan Party is a party to any agreement or contract or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restriction contained in its Organizational Documents which could reasonably be expected to have a Material Adverse Effect.</w:t>
      </w:r>
    </w:p>
    <w:p>
      <w:pPr>
        <w:spacing w:after="0" w:line="17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1"/>
          <w:szCs w:val="21"/>
          <w:b w:val="1"/>
          <w:bCs w:val="1"/>
          <w:color w:val="auto"/>
        </w:rPr>
        <w:t>5.20 OFAC</w:t>
      </w:r>
      <w:r>
        <w:rPr>
          <w:rFonts w:ascii="Arial" w:cs="Arial" w:eastAsia="Arial" w:hAnsi="Arial"/>
          <w:sz w:val="21"/>
          <w:szCs w:val="21"/>
          <w:color w:val="auto"/>
        </w:rPr>
        <w:t>. Neither any Borrower, nor any of their respective Subsidiaries, nor, to the knowledge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or their respective Subsidiaries, any director, officer or employee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applicable Sanctions authority or (iii) located, organized, resident or doing business in a Designated Jurisdiction except, in each case, as authorized by the applicable Sanctions authority or not prohibited by any Sanction.</w:t>
      </w:r>
    </w:p>
    <w:p>
      <w:pPr>
        <w:spacing w:after="0" w:line="171"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9"/>
          <w:szCs w:val="19"/>
          <w:b w:val="1"/>
          <w:bCs w:val="1"/>
          <w:color w:val="auto"/>
        </w:rPr>
        <w:t>5.21 Anti-Corruption Laws</w:t>
      </w:r>
      <w:r>
        <w:rPr>
          <w:rFonts w:ascii="Arial" w:cs="Arial" w:eastAsia="Arial" w:hAnsi="Arial"/>
          <w:sz w:val="19"/>
          <w:szCs w:val="19"/>
          <w:color w:val="auto"/>
        </w:rPr>
        <w:t>. The Borrowers and their respective Subsidiaries conduct their businesses</w:t>
      </w:r>
      <w:r>
        <w:rPr>
          <w:rFonts w:ascii="Arial" w:cs="Arial" w:eastAsia="Arial" w:hAnsi="Arial"/>
          <w:sz w:val="19"/>
          <w:szCs w:val="19"/>
          <w:b w:val="1"/>
          <w:bCs w:val="1"/>
          <w:color w:val="auto"/>
        </w:rPr>
        <w:t xml:space="preserve"> </w:t>
      </w:r>
      <w:r>
        <w:rPr>
          <w:rFonts w:ascii="Arial" w:cs="Arial" w:eastAsia="Arial" w:hAnsi="Arial"/>
          <w:sz w:val="19"/>
          <w:szCs w:val="19"/>
          <w:color w:val="auto"/>
        </w:rPr>
        <w:t>in compliance with the United States Foreign Corrupt Practices Act of 1977, the UK Bribery Act 2010, and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 and have instituted and</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63500</wp:posOffset>
            </wp:positionV>
            <wp:extent cx="6465570"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20" w:top="118" w:right="879" w:bottom="1440" w:gutter="0" w:footer="0" w:header="0"/>
        </w:sectPr>
      </w:pPr>
    </w:p>
    <w:bookmarkStart w:id="143" w:name="page144"/>
    <w:bookmarkEnd w:id="143"/>
    <w:p>
      <w:pPr>
        <w:ind w:left="20"/>
        <w:spacing w:after="0"/>
        <w:rPr>
          <w:sz w:val="20"/>
          <w:szCs w:val="20"/>
          <w:color w:val="auto"/>
        </w:rPr>
      </w:pPr>
      <w:r>
        <w:rPr>
          <w:rFonts w:ascii="Arial" w:cs="Arial" w:eastAsia="Arial" w:hAnsi="Arial"/>
          <w:sz w:val="22"/>
          <w:szCs w:val="22"/>
          <w:color w:val="auto"/>
        </w:rPr>
        <w:t>maintain policies and procedures designed to promote and achieve such compliance with such laws.</w:t>
      </w:r>
    </w:p>
    <w:p>
      <w:pPr>
        <w:spacing w:after="0" w:line="201"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ARTICLE VI. AFFIRMATIVE COVENANTS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So long as any Lender shall have any Commitment hereunder, any Loan or other Obligation hereunder shall remain unpaid or unsatisfied, or any Letter of Credit or Bankers’ Acceptance shall remain outstanding, each Borrower shall, and shall (except in the case of the covenants set forth in </w:t>
      </w:r>
      <w:r>
        <w:rPr>
          <w:rFonts w:ascii="Arial" w:cs="Arial" w:eastAsia="Arial" w:hAnsi="Arial"/>
          <w:sz w:val="22"/>
          <w:szCs w:val="22"/>
          <w:u w:val="single" w:color="auto"/>
          <w:color w:val="auto"/>
        </w:rPr>
        <w:t>Sections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6.03</w:t>
      </w:r>
      <w:r>
        <w:rPr>
          <w:rFonts w:ascii="Arial" w:cs="Arial" w:eastAsia="Arial" w:hAnsi="Arial"/>
          <w:sz w:val="22"/>
          <w:szCs w:val="22"/>
          <w:color w:val="auto"/>
        </w:rPr>
        <w:t>) cause each Restricted Subsidiary to:</w:t>
      </w:r>
    </w:p>
    <w:p>
      <w:pPr>
        <w:spacing w:after="0" w:line="17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color w:val="auto"/>
        </w:rPr>
        <w:t>Financial Statements</w:t>
      </w:r>
      <w:r>
        <w:rPr>
          <w:rFonts w:ascii="Arial" w:cs="Arial" w:eastAsia="Arial" w:hAnsi="Arial"/>
          <w:sz w:val="19"/>
          <w:szCs w:val="19"/>
          <w:color w:val="auto"/>
        </w:rPr>
        <w:t>.  Deliver to the Administrative Agent:</w:t>
      </w:r>
    </w:p>
    <w:p>
      <w:pPr>
        <w:spacing w:after="0" w:line="212" w:lineRule="exact"/>
        <w:rPr>
          <w:sz w:val="20"/>
          <w:szCs w:val="20"/>
          <w:color w:val="auto"/>
        </w:rPr>
      </w:pPr>
    </w:p>
    <w:p>
      <w:pPr>
        <w:jc w:val="both"/>
        <w:ind w:firstLine="645"/>
        <w:spacing w:after="0" w:line="272" w:lineRule="auto"/>
        <w:tabs>
          <w:tab w:leader="none" w:pos="129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as soon as available, but in any event within 90 days after the end of each fiscal year of WFS (or, if earlier, 5 days after the date required to be filed with the SEC (without giving effect to any extension permitted by the SEC)) (commencing with the fiscal year ended December 31, 2013), a consolidated balance sheet of WFS and its Subsidiaries as at the end of such fiscal year, and the related consolidated statements of income or operations, changes in shareholders’ equity, and cash flows for such fiscal year, setting forth in each case in comparative form the figures for the previous fiscal year, prepared in accordance with GAAP, such consolidated statements to be (i)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 (ii)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157" w:lineRule="exact"/>
        <w:rPr>
          <w:rFonts w:ascii="Arial" w:cs="Arial" w:eastAsia="Arial" w:hAnsi="Arial"/>
          <w:sz w:val="19"/>
          <w:szCs w:val="19"/>
          <w:color w:val="auto"/>
        </w:rPr>
      </w:pPr>
    </w:p>
    <w:p>
      <w:pPr>
        <w:jc w:val="both"/>
        <w:ind w:firstLine="645"/>
        <w:spacing w:after="0" w:line="271" w:lineRule="auto"/>
        <w:tabs>
          <w:tab w:leader="none" w:pos="130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end of each of the first three fiscal quarters of each fiscal year of the Borrowers (or, if earlier, 5 days after the date required to be filed with the SEC (without giving effect to any extension permitted by the SEC)) (commencing with the fiscal quarter ended September 30, 2013), a consolidated balance sheet of WFS and its Subsidiaries as at the end of such fiscal quarter, the related consolidated statements of income or operations for such fiscal quarter and for the portion of the WFS’s fiscal year then ended, and the related consolidated statements of changes in shareholders’ equity, and cash flows for the portion of the WFS’s fiscal year then ended, in each case setting forth in comparative form, as applicable, the figures for the corresponding fiscal quarter of the previous fiscal year, such consolidated statements to be certified by the chief executive officer, chief financial officer, treasurer or controller of WFS as fairly presenting the consolidated financial condition, results of operations, shareholders’ equity and cash flows of WFS and its Subsidiaries in accordance with GAAP, subject only to normal year-end audit adjustments and the absence of footnotes; such consolidated statements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44" w:name="page145"/>
    <w:bookmarkEnd w:id="144"/>
    <w:p>
      <w:pPr>
        <w:jc w:val="both"/>
        <w:ind w:left="4" w:firstLine="645"/>
        <w:spacing w:after="0" w:line="248" w:lineRule="auto"/>
        <w:tabs>
          <w:tab w:leader="none" w:pos="150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as soon as available, but in any event at least 15 days before the end of each fiscal year of WFS, forecasts prepared by management of WFS, in form reasonably satisfactory to the Administrative Agent, of (i) consolidated balance sheets and related consolidated statements of income or operations and cash flows of WFS and its Subsidiaries on a quarterly basis for the immediately following fiscal year and (ii) consolidated balance sheets and related consolidated statements of income or operations and cash flows of WFS and its Restricted Subsidiaries on a quarterly basis for the immediately following fiscal year.</w:t>
      </w:r>
    </w:p>
    <w:p>
      <w:pPr>
        <w:spacing w:after="0" w:line="178" w:lineRule="exact"/>
        <w:rPr>
          <w:sz w:val="20"/>
          <w:szCs w:val="20"/>
          <w:color w:val="auto"/>
        </w:rPr>
      </w:pPr>
    </w:p>
    <w:p>
      <w:pPr>
        <w:jc w:val="both"/>
        <w:ind w:left="4"/>
        <w:spacing w:after="0" w:line="273"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the Borrowers shall not be separately required to furnish such information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but the foregoing shall not be in derogation of the obligation of the Borrowers to furnish the information and materials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w:t>
      </w:r>
    </w:p>
    <w:p>
      <w:pPr>
        <w:spacing w:after="0" w:line="2" w:lineRule="exact"/>
        <w:rPr>
          <w:sz w:val="20"/>
          <w:szCs w:val="20"/>
          <w:color w:val="auto"/>
        </w:rPr>
      </w:pPr>
    </w:p>
    <w:p>
      <w:pPr>
        <w:ind w:left="304" w:hanging="304"/>
        <w:spacing w:after="0"/>
        <w:tabs>
          <w:tab w:leader="none" w:pos="304" w:val="left"/>
        </w:tabs>
        <w:numPr>
          <w:ilvl w:val="0"/>
          <w:numId w:val="140"/>
        </w:numPr>
        <w:rPr>
          <w:rFonts w:ascii="Arial" w:cs="Arial" w:eastAsia="Arial" w:hAnsi="Arial"/>
          <w:sz w:val="22"/>
          <w:szCs w:val="22"/>
          <w:u w:val="single" w:color="auto"/>
          <w:color w:val="auto"/>
        </w:rPr>
      </w:pPr>
      <w:r>
        <w:rPr>
          <w:rFonts w:ascii="Arial" w:cs="Arial" w:eastAsia="Arial" w:hAnsi="Arial"/>
          <w:sz w:val="22"/>
          <w:szCs w:val="22"/>
          <w:color w:val="auto"/>
        </w:rPr>
        <w:t>above at the times specified therein.</w:t>
      </w:r>
    </w:p>
    <w:p>
      <w:pPr>
        <w:spacing w:after="0" w:line="182"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Certificates; Other Information</w:t>
      </w:r>
      <w:r>
        <w:rPr>
          <w:rFonts w:ascii="Arial" w:cs="Arial" w:eastAsia="Arial" w:hAnsi="Arial"/>
          <w:sz w:val="19"/>
          <w:szCs w:val="19"/>
          <w:color w:val="auto"/>
        </w:rPr>
        <w:t>. Deliver to the Administrative Agent:</w:t>
      </w:r>
    </w:p>
    <w:p>
      <w:pPr>
        <w:spacing w:after="0" w:line="212" w:lineRule="exact"/>
        <w:rPr>
          <w:sz w:val="20"/>
          <w:szCs w:val="20"/>
          <w:color w:val="auto"/>
        </w:rPr>
      </w:pPr>
    </w:p>
    <w:p>
      <w:pPr>
        <w:jc w:val="both"/>
        <w:ind w:left="4" w:firstLine="645"/>
        <w:spacing w:after="0" w:line="246" w:lineRule="auto"/>
        <w:tabs>
          <w:tab w:leader="none" w:pos="1297"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(i) concurrently with the delivery of the financial statements referred to in </w:t>
      </w:r>
      <w:r>
        <w:rPr>
          <w:rFonts w:ascii="Arial" w:cs="Arial" w:eastAsia="Arial" w:hAnsi="Arial"/>
          <w:sz w:val="21"/>
          <w:szCs w:val="21"/>
          <w:u w:val="single" w:color="auto"/>
          <w:color w:val="auto"/>
        </w:rPr>
        <w:t>Sections 6.01(a)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 duly completed Compliance Certificate signed by the chief executive officer, chief financial officer, treasurer, assistant treasurer or controller of WFS (which delivery may, unless the Administrative Agent requests executed originals, be by electronic communication including fax or e-mail and shall be deemed to be an original authentic counterpart thereof for all purposes); (ii) concurrently with the delivery of the financial statements referred to in </w:t>
      </w:r>
      <w:r>
        <w:rPr>
          <w:rFonts w:ascii="Arial" w:cs="Arial" w:eastAsia="Arial" w:hAnsi="Arial"/>
          <w:sz w:val="21"/>
          <w:szCs w:val="21"/>
          <w:u w:val="single" w:color="auto"/>
          <w:color w:val="auto"/>
        </w:rPr>
        <w:t>Sections 6.01(a)</w:t>
      </w:r>
      <w:r>
        <w:rPr>
          <w:rFonts w:ascii="Arial" w:cs="Arial" w:eastAsia="Arial" w:hAnsi="Arial"/>
          <w:sz w:val="21"/>
          <w:szCs w:val="21"/>
          <w:color w:val="auto"/>
        </w:rPr>
        <w:t>, a list of the Guarantors as of the end of such fiscal year and the aggregate book value of assets (including Equity Interests but excluding Investments that are eliminated in consolidation) represented by each such Guarantor on an individual basis as of the end of such fiscal year;</w:t>
      </w:r>
    </w:p>
    <w:p>
      <w:pPr>
        <w:spacing w:after="0" w:line="180" w:lineRule="exact"/>
        <w:rPr>
          <w:rFonts w:ascii="Arial" w:cs="Arial" w:eastAsia="Arial" w:hAnsi="Arial"/>
          <w:sz w:val="21"/>
          <w:szCs w:val="21"/>
          <w:color w:val="auto"/>
        </w:rPr>
      </w:pPr>
    </w:p>
    <w:p>
      <w:pPr>
        <w:jc w:val="both"/>
        <w:ind w:left="4" w:firstLine="645"/>
        <w:spacing w:after="0" w:line="236" w:lineRule="auto"/>
        <w:tabs>
          <w:tab w:leader="none" w:pos="130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promptly after the same are available, copies of each annual report, proxy or financial statement or other report or communication sent to the stockholders of WFS, and copies of all annual, regular, periodic and special reports and registration statements which WFS may file or be required to file with the SEC under Section 13 or 15(d) of the Securities Exchange Act of 1934, and not otherwise required to be delivered to the Administrative Agent pursuant hereto;</w:t>
      </w:r>
    </w:p>
    <w:p>
      <w:pPr>
        <w:spacing w:after="0" w:line="187" w:lineRule="exact"/>
        <w:rPr>
          <w:rFonts w:ascii="Arial" w:cs="Arial" w:eastAsia="Arial" w:hAnsi="Arial"/>
          <w:sz w:val="22"/>
          <w:szCs w:val="22"/>
          <w:color w:val="auto"/>
        </w:rPr>
      </w:pPr>
    </w:p>
    <w:p>
      <w:pPr>
        <w:jc w:val="both"/>
        <w:ind w:left="4" w:right="20" w:firstLine="645"/>
        <w:spacing w:after="0" w:line="287" w:lineRule="auto"/>
        <w:tabs>
          <w:tab w:leader="none" w:pos="129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promptly after the furnishing thereof, copies of any statement or report furnished to any holder of debt securities of any Loan Party or any Restricted Subsidiary thereof pursuant to the terms of any indenture, loan or credit or similar agreement and not otherwise required to be furnished to the Lenders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any other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unless waived by the Administrative Agent at the request of the Borrowing Agent;</w:t>
      </w:r>
    </w:p>
    <w:p>
      <w:pPr>
        <w:spacing w:after="0" w:line="143" w:lineRule="exact"/>
        <w:rPr>
          <w:rFonts w:ascii="Arial" w:cs="Arial" w:eastAsia="Arial" w:hAnsi="Arial"/>
          <w:sz w:val="19"/>
          <w:szCs w:val="19"/>
          <w:color w:val="auto"/>
        </w:rPr>
      </w:pPr>
    </w:p>
    <w:p>
      <w:pPr>
        <w:jc w:val="both"/>
        <w:ind w:left="4" w:right="20" w:firstLine="645"/>
        <w:spacing w:after="0" w:line="282" w:lineRule="auto"/>
        <w:tabs>
          <w:tab w:leader="none" w:pos="130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promptly, and in any event within five Business Days after receipt thereof by any Loan Party or any Restricted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Restricted Subsidiary thereof that if adversely determined could reasonably be expected to have a Material Adverse Effect;</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45" w:name="page146"/>
    <w:bookmarkEnd w:id="145"/>
    <w:p>
      <w:pPr>
        <w:jc w:val="both"/>
        <w:ind w:right="20" w:firstLine="645"/>
        <w:spacing w:after="0" w:line="241" w:lineRule="auto"/>
        <w:tabs>
          <w:tab w:leader="none" w:pos="14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promptly, such additional information regarding the business, financial or corporate affairs of the Borrowers or any Restricted Subsidiary, or compliance with the terms of the Loan Documents, as the Administrative Agent or any Lender may from time to time reasonably request;</w:t>
      </w:r>
    </w:p>
    <w:p>
      <w:pPr>
        <w:spacing w:after="0" w:line="183" w:lineRule="exact"/>
        <w:rPr>
          <w:rFonts w:ascii="Arial" w:cs="Arial" w:eastAsia="Arial" w:hAnsi="Arial"/>
          <w:sz w:val="22"/>
          <w:szCs w:val="22"/>
          <w:color w:val="auto"/>
        </w:rPr>
      </w:pPr>
    </w:p>
    <w:p>
      <w:pPr>
        <w:ind w:right="20" w:firstLine="645"/>
        <w:spacing w:after="0" w:line="274" w:lineRule="auto"/>
        <w:tabs>
          <w:tab w:leader="none" w:pos="131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promptly following receipt, copies of any notices (including notices of default or acceleration) received from any holder or trustee of, under or with respect to any Subordinated Debt; and</w:t>
      </w:r>
    </w:p>
    <w:p>
      <w:pPr>
        <w:spacing w:after="0" w:line="150" w:lineRule="exact"/>
        <w:rPr>
          <w:rFonts w:ascii="Arial" w:cs="Arial" w:eastAsia="Arial" w:hAnsi="Arial"/>
          <w:sz w:val="21"/>
          <w:szCs w:val="21"/>
          <w:color w:val="auto"/>
        </w:rPr>
      </w:pPr>
    </w:p>
    <w:p>
      <w:pPr>
        <w:jc w:val="both"/>
        <w:ind w:firstLine="645"/>
        <w:spacing w:after="0" w:line="258" w:lineRule="auto"/>
        <w:tabs>
          <w:tab w:leader="none" w:pos="1305" w:val="left"/>
        </w:tabs>
        <w:numPr>
          <w:ilvl w:val="0"/>
          <w:numId w:val="142"/>
        </w:numPr>
        <w:rPr>
          <w:rFonts w:ascii="Arial" w:cs="Arial" w:eastAsia="Arial" w:hAnsi="Arial"/>
          <w:sz w:val="21"/>
          <w:szCs w:val="21"/>
          <w:color w:val="auto"/>
        </w:rPr>
      </w:pPr>
      <w:r>
        <w:rPr>
          <w:rFonts w:ascii="Arial" w:cs="Arial" w:eastAsia="Arial" w:hAnsi="Arial"/>
          <w:sz w:val="21"/>
          <w:szCs w:val="21"/>
          <w:color w:val="auto"/>
        </w:rPr>
        <w:t>promptly after the assertion or occurrence thereof, notice of any action or proceeding against or of any noncompliance by any Loan Party or any of its Restricted Subsidiaries with any Environmental Law or Environmental Permit that could reasonably be expected to have a Material Adverse Effect.</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WFS posts such documents, or provides a link thereto on WFS’s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or (ii) on which such documents are posted on WFS’s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WFS shall deliver paper copies of such documents to the Administrative Agent or any Lender upon its request to the Borrowing Agent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WFS with any such request by a Lender for delivery, and each Lender shall be solely responsible for requesting delivery to it or maintaining its copies of such documents.</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Borrowers hereby acknowledge that (a) the Administrative Agent and/or the Joint Lead Arrangers will make available to the Lenders and the L/C-BA Issuer materials and/or information provided by or on behalf of the Borrowers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Borrowers or their respective Affiliates, or the respective securities of any of the foregoing, and who may be engaged in investment and other market-related activities with respect to such Persons’ securities. The Borrowers hereby agree that so long as any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L/C-BA Issuer and the Lenders to treat such Borrower Materials as not containing any material non-public information with respect to any Borrower or its securities for purposes of United States Federal and state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46" w:name="page147"/>
    <w:bookmarkEnd w:id="146"/>
    <w:p>
      <w:pPr>
        <w:jc w:val="both"/>
        <w:ind w:right="20"/>
        <w:spacing w:after="0" w:line="234" w:lineRule="auto"/>
        <w:rPr>
          <w:sz w:val="20"/>
          <w:szCs w:val="20"/>
          <w:color w:val="auto"/>
        </w:rPr>
      </w:pPr>
      <w:r>
        <w:rPr>
          <w:rFonts w:ascii="Arial" w:cs="Arial" w:eastAsia="Arial" w:hAnsi="Arial"/>
          <w:sz w:val="22"/>
          <w:szCs w:val="22"/>
          <w:color w:val="auto"/>
        </w:rPr>
        <w:t>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to the extent such Borrower Materials constitute Information, they shall be treated as set forth in </w:t>
      </w:r>
      <w:r>
        <w:rPr>
          <w:rFonts w:ascii="Arial" w:cs="Arial" w:eastAsia="Arial" w:hAnsi="Arial"/>
          <w:sz w:val="22"/>
          <w:szCs w:val="22"/>
          <w:u w:val="single" w:color="auto"/>
          <w:color w:val="auto"/>
        </w:rPr>
        <w:t>Section 10.07</w:t>
      </w:r>
      <w:r>
        <w:rPr>
          <w:rFonts w:ascii="Arial" w:cs="Arial" w:eastAsia="Arial" w:hAnsi="Arial"/>
          <w:sz w:val="22"/>
          <w:szCs w:val="22"/>
          <w:color w:val="auto"/>
        </w:rPr>
        <w:t>);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the Borrowers shall be under no obligation to mark any Borrower Materials “PUBLIC.”</w:t>
      </w:r>
    </w:p>
    <w:p>
      <w:pPr>
        <w:spacing w:after="0" w:line="18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Notices</w:t>
      </w:r>
      <w:r>
        <w:rPr>
          <w:rFonts w:ascii="Arial" w:cs="Arial" w:eastAsia="Arial" w:hAnsi="Arial"/>
          <w:sz w:val="19"/>
          <w:szCs w:val="19"/>
          <w:color w:val="auto"/>
        </w:rPr>
        <w:t>. Promptly notify the Administrative Agent:</w:t>
      </w:r>
    </w:p>
    <w:p>
      <w:pPr>
        <w:spacing w:after="0" w:line="212" w:lineRule="exact"/>
        <w:rPr>
          <w:sz w:val="20"/>
          <w:szCs w:val="20"/>
          <w:color w:val="auto"/>
        </w:rPr>
      </w:pPr>
    </w:p>
    <w:p>
      <w:pPr>
        <w:ind w:left="1280" w:hanging="635"/>
        <w:spacing w:after="0"/>
        <w:tabs>
          <w:tab w:leader="none" w:pos="12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of the occurrence of any Default;</w:t>
      </w:r>
    </w:p>
    <w:p>
      <w:pPr>
        <w:spacing w:after="0" w:line="206" w:lineRule="exact"/>
        <w:rPr>
          <w:rFonts w:ascii="Arial" w:cs="Arial" w:eastAsia="Arial" w:hAnsi="Arial"/>
          <w:sz w:val="22"/>
          <w:szCs w:val="22"/>
          <w:color w:val="auto"/>
        </w:rPr>
      </w:pPr>
    </w:p>
    <w:p>
      <w:pPr>
        <w:jc w:val="both"/>
        <w:ind w:firstLine="645"/>
        <w:spacing w:after="0" w:line="248" w:lineRule="auto"/>
        <w:tabs>
          <w:tab w:leader="none" w:pos="1305" w:val="left"/>
        </w:tabs>
        <w:numPr>
          <w:ilvl w:val="0"/>
          <w:numId w:val="143"/>
        </w:numPr>
        <w:rPr>
          <w:rFonts w:ascii="Arial" w:cs="Arial" w:eastAsia="Arial" w:hAnsi="Arial"/>
          <w:sz w:val="21"/>
          <w:szCs w:val="21"/>
          <w:color w:val="auto"/>
        </w:rPr>
      </w:pPr>
      <w:r>
        <w:rPr>
          <w:rFonts w:ascii="Arial" w:cs="Arial" w:eastAsia="Arial" w:hAnsi="Arial"/>
          <w:sz w:val="21"/>
          <w:szCs w:val="21"/>
          <w:color w:val="auto"/>
        </w:rPr>
        <w:t>of any matter that has resulted or could reasonably be expected to result in a Material Adverse Effect, including (i) breach or non-performance of, or any default under, a Contractual Obligation of any Borrower or any Restricted Subsidiary; (ii) any dispute, litigation, investigation, proceeding or suspension between any Borrower or any Restricted Subsidiary and any Governmental Authority; or (iii) the commencement of, or any material development in, any litigation or proceeding affecting any Borrower or any Restricted Subsidiary, including pursuant to any applicable Environmental Laws;</w:t>
      </w:r>
    </w:p>
    <w:p>
      <w:pPr>
        <w:spacing w:after="0" w:line="177" w:lineRule="exact"/>
        <w:rPr>
          <w:rFonts w:ascii="Arial" w:cs="Arial" w:eastAsia="Arial" w:hAnsi="Arial"/>
          <w:sz w:val="21"/>
          <w:szCs w:val="21"/>
          <w:color w:val="auto"/>
        </w:rPr>
      </w:pPr>
    </w:p>
    <w:p>
      <w:pPr>
        <w:ind w:left="1280" w:hanging="635"/>
        <w:spacing w:after="0"/>
        <w:tabs>
          <w:tab w:leader="none" w:pos="12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of the occurrence of any ERISA Event; and</w:t>
      </w:r>
    </w:p>
    <w:p>
      <w:pPr>
        <w:spacing w:after="0" w:line="206" w:lineRule="exact"/>
        <w:rPr>
          <w:rFonts w:ascii="Arial" w:cs="Arial" w:eastAsia="Arial" w:hAnsi="Arial"/>
          <w:sz w:val="22"/>
          <w:szCs w:val="22"/>
          <w:color w:val="auto"/>
        </w:rPr>
      </w:pPr>
    </w:p>
    <w:p>
      <w:pPr>
        <w:ind w:left="1300" w:hanging="655"/>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of any determination by the Borrowers referred to in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Each notice pursuant to this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shall be accompanied by a statement of a Responsible Officer of the Borrowing Agent setting forth in reasonable detail the event or events referred to therein and stating what action the applicable Borrower has taken and proposes to take with respect thereto.</w:t>
      </w:r>
    </w:p>
    <w:p>
      <w:pPr>
        <w:spacing w:after="0" w:line="180"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9"/>
          <w:szCs w:val="19"/>
          <w:b w:val="1"/>
          <w:bCs w:val="1"/>
          <w:color w:val="auto"/>
        </w:rPr>
        <w:t>6.04 Payment of Obligations</w:t>
      </w:r>
      <w:r>
        <w:rPr>
          <w:rFonts w:ascii="Arial" w:cs="Arial" w:eastAsia="Arial" w:hAnsi="Arial"/>
          <w:sz w:val="19"/>
          <w:szCs w:val="19"/>
          <w:color w:val="auto"/>
        </w:rPr>
        <w:t>. Except where failure to so pay or discharge could not reasonably be</w:t>
      </w:r>
      <w:r>
        <w:rPr>
          <w:rFonts w:ascii="Arial" w:cs="Arial" w:eastAsia="Arial" w:hAnsi="Arial"/>
          <w:sz w:val="19"/>
          <w:szCs w:val="19"/>
          <w:b w:val="1"/>
          <w:bCs w:val="1"/>
          <w:color w:val="auto"/>
        </w:rPr>
        <w:t xml:space="preserve"> </w:t>
      </w:r>
      <w:r>
        <w:rPr>
          <w:rFonts w:ascii="Arial" w:cs="Arial" w:eastAsia="Arial" w:hAnsi="Arial"/>
          <w:sz w:val="19"/>
          <w:szCs w:val="19"/>
          <w:color w:val="auto"/>
        </w:rPr>
        <w:t>expected to have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such Borrowers or such Restricted Subsidiary; (b) all lawful claims which, if unpaid, would by law become a Lien upon its property; and</w:t>
      </w:r>
    </w:p>
    <w:p>
      <w:pPr>
        <w:spacing w:after="0" w:line="2" w:lineRule="exact"/>
        <w:rPr>
          <w:sz w:val="20"/>
          <w:szCs w:val="20"/>
          <w:color w:val="auto"/>
        </w:rPr>
      </w:pPr>
    </w:p>
    <w:p>
      <w:pPr>
        <w:jc w:val="both"/>
        <w:ind w:left="20" w:firstLine="1"/>
        <w:spacing w:after="0" w:line="234" w:lineRule="auto"/>
        <w:tabs>
          <w:tab w:leader="none" w:pos="37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all Indebtedness, but subject to any subordination provisions contained in any instrument or agreement evidencing such Indebtedness, except where the failure to pay or discharge could not reasonably be expected to have a Material Adverse Effect.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6.05</w:t>
      </w:r>
      <w:r>
        <w:rPr>
          <w:sz w:val="20"/>
          <w:szCs w:val="20"/>
          <w:color w:val="auto"/>
        </w:rPr>
        <w:tab/>
      </w:r>
      <w:r>
        <w:rPr>
          <w:rFonts w:ascii="Arial" w:cs="Arial" w:eastAsia="Arial" w:hAnsi="Arial"/>
          <w:sz w:val="19"/>
          <w:szCs w:val="19"/>
          <w:b w:val="1"/>
          <w:bCs w:val="1"/>
          <w:color w:val="auto"/>
        </w:rPr>
        <w:t>Preservation of Existence, Etc</w:t>
      </w:r>
      <w:r>
        <w:rPr>
          <w:rFonts w:ascii="Arial" w:cs="Arial" w:eastAsia="Arial" w:hAnsi="Arial"/>
          <w:sz w:val="19"/>
          <w:szCs w:val="19"/>
          <w:color w:val="auto"/>
        </w:rPr>
        <w:t>.</w:t>
      </w:r>
    </w:p>
    <w:p>
      <w:pPr>
        <w:spacing w:after="0" w:line="212" w:lineRule="exact"/>
        <w:rPr>
          <w:sz w:val="20"/>
          <w:szCs w:val="20"/>
          <w:color w:val="auto"/>
        </w:rPr>
      </w:pPr>
    </w:p>
    <w:p>
      <w:pPr>
        <w:jc w:val="both"/>
        <w:ind w:right="20" w:firstLine="645"/>
        <w:spacing w:after="0" w:line="236" w:lineRule="auto"/>
        <w:tabs>
          <w:tab w:leader="none" w:pos="129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Preserve, renew and maintain in full force and effect its legal existence and, with respect to each Borrower and Material Subsidiary, good standing under the Laws of the jurisdiction of its organization except in a transaction permitted by </w:t>
      </w:r>
      <w:r>
        <w:rPr>
          <w:rFonts w:ascii="Arial" w:cs="Arial" w:eastAsia="Arial" w:hAnsi="Arial"/>
          <w:sz w:val="22"/>
          <w:szCs w:val="22"/>
          <w:u w:val="single" w:color="auto"/>
          <w:color w:val="auto"/>
        </w:rPr>
        <w:t>Section 7.04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7.05</w:t>
      </w:r>
      <w:r>
        <w:rPr>
          <w:rFonts w:ascii="Arial" w:cs="Arial" w:eastAsia="Arial" w:hAnsi="Arial"/>
          <w:sz w:val="22"/>
          <w:szCs w:val="22"/>
          <w:color w:val="auto"/>
        </w:rPr>
        <w:t>; (b) take all reasonable action to maintain all rights, privileges, permits, licenses and franchises necessary or desirable in the normal conduct of its business, except to the extent that failure to do so could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47" w:name="page148"/>
    <w:bookmarkEnd w:id="147"/>
    <w:p>
      <w:pPr>
        <w:jc w:val="both"/>
        <w:ind w:right="20"/>
        <w:spacing w:after="0" w:line="241" w:lineRule="auto"/>
        <w:rPr>
          <w:sz w:val="20"/>
          <w:szCs w:val="20"/>
          <w:color w:val="auto"/>
        </w:rPr>
      </w:pPr>
      <w:r>
        <w:rPr>
          <w:rFonts w:ascii="Arial" w:cs="Arial" w:eastAsia="Arial" w:hAnsi="Arial"/>
          <w:sz w:val="22"/>
          <w:szCs w:val="22"/>
          <w:color w:val="auto"/>
        </w:rPr>
        <w:t>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6.06</w:t>
      </w:r>
      <w:r>
        <w:rPr>
          <w:sz w:val="20"/>
          <w:szCs w:val="20"/>
          <w:color w:val="auto"/>
        </w:rPr>
        <w:tab/>
      </w:r>
      <w:r>
        <w:rPr>
          <w:rFonts w:ascii="Arial" w:cs="Arial" w:eastAsia="Arial" w:hAnsi="Arial"/>
          <w:sz w:val="19"/>
          <w:szCs w:val="19"/>
          <w:b w:val="1"/>
          <w:bCs w:val="1"/>
          <w:color w:val="auto"/>
        </w:rPr>
        <w:t>Maintenance of Properties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87" w:lineRule="auto"/>
        <w:tabs>
          <w:tab w:leader="none" w:pos="129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Maintain, preserve and protect all of its material properties and equipment necessary in the operation of its business in good working order and condition, ordinary wear and tear excepted; and (b) make all necessary repairs thereto and renewals and replacements thereof except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where the failure to do so could not reasonably be expected to have a Material Adverse Effect.</w:t>
      </w:r>
    </w:p>
    <w:p>
      <w:pPr>
        <w:spacing w:after="0" w:line="137" w:lineRule="exact"/>
        <w:rPr>
          <w:sz w:val="20"/>
          <w:szCs w:val="20"/>
          <w:color w:val="auto"/>
        </w:rPr>
      </w:pPr>
    </w:p>
    <w:p>
      <w:pPr>
        <w:jc w:val="both"/>
        <w:ind w:left="20" w:right="20" w:firstLine="648"/>
        <w:spacing w:after="0" w:line="239" w:lineRule="auto"/>
        <w:rPr>
          <w:sz w:val="20"/>
          <w:szCs w:val="20"/>
          <w:color w:val="auto"/>
        </w:rPr>
      </w:pPr>
      <w:r>
        <w:rPr>
          <w:rFonts w:ascii="Arial" w:cs="Arial" w:eastAsia="Arial" w:hAnsi="Arial"/>
          <w:sz w:val="22"/>
          <w:szCs w:val="22"/>
          <w:b w:val="1"/>
          <w:bCs w:val="1"/>
          <w:color w:val="auto"/>
        </w:rPr>
        <w:t>6.07 Maintenance of Insurance</w:t>
      </w:r>
      <w:r>
        <w:rPr>
          <w:rFonts w:ascii="Arial" w:cs="Arial" w:eastAsia="Arial" w:hAnsi="Arial"/>
          <w:sz w:val="22"/>
          <w:szCs w:val="22"/>
          <w:color w:val="auto"/>
        </w:rPr>
        <w:t>. Maintain with financially sound and reputable insurance companies,</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81" w:lineRule="exact"/>
        <w:rPr>
          <w:sz w:val="20"/>
          <w:szCs w:val="20"/>
          <w:color w:val="auto"/>
        </w:rPr>
      </w:pPr>
    </w:p>
    <w:p>
      <w:pPr>
        <w:jc w:val="both"/>
        <w:ind w:left="20" w:right="20" w:firstLine="648"/>
        <w:spacing w:after="0" w:line="280" w:lineRule="auto"/>
        <w:rPr>
          <w:sz w:val="20"/>
          <w:szCs w:val="20"/>
          <w:color w:val="auto"/>
        </w:rPr>
      </w:pPr>
      <w:r>
        <w:rPr>
          <w:rFonts w:ascii="Arial" w:cs="Arial" w:eastAsia="Arial" w:hAnsi="Arial"/>
          <w:sz w:val="19"/>
          <w:szCs w:val="19"/>
          <w:b w:val="1"/>
          <w:bCs w:val="1"/>
          <w:color w:val="auto"/>
        </w:rPr>
        <w:t>6.08 Compliance with Laws</w:t>
      </w:r>
      <w:r>
        <w:rPr>
          <w:rFonts w:ascii="Arial" w:cs="Arial" w:eastAsia="Arial" w:hAnsi="Arial"/>
          <w:sz w:val="19"/>
          <w:szCs w:val="19"/>
          <w:color w:val="auto"/>
        </w:rPr>
        <w:t>. Comply in all material respects with the requirements of all Laws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orders, writs, injunctions and decrees applicable to it or to its business or property, except in such instances in which</w:t>
      </w:r>
    </w:p>
    <w:p>
      <w:pPr>
        <w:jc w:val="both"/>
        <w:ind w:left="20" w:right="20" w:firstLine="1"/>
        <w:spacing w:after="0" w:line="234" w:lineRule="auto"/>
        <w:tabs>
          <w:tab w:leader="none" w:pos="343" w:val="left"/>
        </w:tabs>
        <w:numPr>
          <w:ilvl w:val="0"/>
          <w:numId w:val="147"/>
        </w:numPr>
        <w:rPr>
          <w:rFonts w:ascii="Arial" w:cs="Arial" w:eastAsia="Arial" w:hAnsi="Arial"/>
          <w:sz w:val="22"/>
          <w:szCs w:val="22"/>
          <w:color w:val="auto"/>
        </w:rPr>
      </w:pPr>
      <w:r>
        <w:rPr>
          <w:rFonts w:ascii="Arial" w:cs="Arial" w:eastAsia="Arial" w:hAnsi="Arial"/>
          <w:sz w:val="22"/>
          <w:szCs w:val="22"/>
          <w:color w:val="auto"/>
        </w:rPr>
        <w:t>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6.09</w:t>
      </w:r>
      <w:r>
        <w:rPr>
          <w:sz w:val="20"/>
          <w:szCs w:val="20"/>
          <w:color w:val="auto"/>
        </w:rPr>
        <w:tab/>
      </w:r>
      <w:r>
        <w:rPr>
          <w:rFonts w:ascii="Arial" w:cs="Arial" w:eastAsia="Arial" w:hAnsi="Arial"/>
          <w:sz w:val="19"/>
          <w:szCs w:val="19"/>
          <w:b w:val="1"/>
          <w:bCs w:val="1"/>
          <w:color w:val="auto"/>
        </w:rPr>
        <w:t>Books and Records</w:t>
      </w:r>
      <w:r>
        <w:rPr>
          <w:rFonts w:ascii="Arial" w:cs="Arial" w:eastAsia="Arial" w:hAnsi="Arial"/>
          <w:sz w:val="19"/>
          <w:szCs w:val="19"/>
          <w:color w:val="auto"/>
        </w:rPr>
        <w:t>.</w:t>
      </w:r>
    </w:p>
    <w:p>
      <w:pPr>
        <w:spacing w:after="0" w:line="212" w:lineRule="exact"/>
        <w:rPr>
          <w:sz w:val="20"/>
          <w:szCs w:val="20"/>
          <w:color w:val="auto"/>
        </w:rPr>
      </w:pPr>
    </w:p>
    <w:p>
      <w:pPr>
        <w:jc w:val="both"/>
        <w:ind w:firstLine="645"/>
        <w:spacing w:after="0" w:line="282" w:lineRule="auto"/>
        <w:tabs>
          <w:tab w:leader="none" w:pos="129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Maintain proper books of record and account, in which full, true and correct entries in conformity with GAAP consistently applied shall be made of all financial transactions and matters involving the assets and business of such Borrower or such Restricted Subsidiary, as the case may be; and (b) maintain such books of record and account in material conformity with all applicable requirements of any Governmental Authority having regulatory jurisdiction over such Borrower or such Restricted Subsidiary, as the case may be.</w:t>
      </w:r>
    </w:p>
    <w:p>
      <w:pPr>
        <w:spacing w:after="0" w:line="142"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19"/>
          <w:szCs w:val="19"/>
          <w:b w:val="1"/>
          <w:bCs w:val="1"/>
          <w:color w:val="auto"/>
        </w:rPr>
        <w:t>6.10 Inspection Rights</w:t>
      </w:r>
      <w:r>
        <w:rPr>
          <w:rFonts w:ascii="Arial" w:cs="Arial" w:eastAsia="Arial" w:hAnsi="Arial"/>
          <w:sz w:val="19"/>
          <w:szCs w:val="19"/>
          <w:color w:val="auto"/>
        </w:rPr>
        <w:t>. Permit representatives and independent contractors of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Borrowers and at such reasonable times during normal business hours and as often as may be reasonably desired, upon reasonable advance notice to the Borrowing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no Event of Default exists, (x) the Borrowers shall not be obligated to reimburse the expenses associated with more than one visit and inspection per calendar year and (y) there shall be not more than one visit and inspection per fiscal quarter in the aggregate for the Administrative Agent and the Lenders; and (ii)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48" w:name="page149"/>
    <w:bookmarkEnd w:id="148"/>
    <w:p>
      <w:pPr>
        <w:ind w:left="24" w:right="20" w:firstLine="648"/>
        <w:spacing w:after="0" w:line="257" w:lineRule="auto"/>
        <w:rPr>
          <w:sz w:val="20"/>
          <w:szCs w:val="20"/>
          <w:color w:val="auto"/>
        </w:rPr>
      </w:pPr>
      <w:r>
        <w:rPr>
          <w:rFonts w:ascii="Arial" w:cs="Arial" w:eastAsia="Arial" w:hAnsi="Arial"/>
          <w:sz w:val="22"/>
          <w:szCs w:val="22"/>
          <w:b w:val="1"/>
          <w:bCs w:val="1"/>
          <w:color w:val="auto"/>
        </w:rPr>
        <w:t>6.11 Use of Proceeds</w:t>
      </w:r>
      <w:r>
        <w:rPr>
          <w:rFonts w:ascii="Arial" w:cs="Arial" w:eastAsia="Arial" w:hAnsi="Arial"/>
          <w:sz w:val="22"/>
          <w:szCs w:val="22"/>
          <w:color w:val="auto"/>
        </w:rPr>
        <w:t>. Use the proceeds of the Credit Extensions for general corporate purposes not</w:t>
      </w:r>
      <w:r>
        <w:rPr>
          <w:rFonts w:ascii="Arial" w:cs="Arial" w:eastAsia="Arial" w:hAnsi="Arial"/>
          <w:sz w:val="22"/>
          <w:szCs w:val="22"/>
          <w:b w:val="1"/>
          <w:bCs w:val="1"/>
          <w:color w:val="auto"/>
        </w:rPr>
        <w:t xml:space="preserve"> </w:t>
      </w:r>
      <w:r>
        <w:rPr>
          <w:rFonts w:ascii="Arial" w:cs="Arial" w:eastAsia="Arial" w:hAnsi="Arial"/>
          <w:sz w:val="22"/>
          <w:szCs w:val="22"/>
          <w:color w:val="auto"/>
        </w:rPr>
        <w:t>in contravention of any Law or of any Loan Document.</w:t>
      </w:r>
    </w:p>
    <w:p>
      <w:pPr>
        <w:spacing w:after="0" w:line="161"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color w:val="auto"/>
        </w:rPr>
        <w:t>Additional Guarantors</w:t>
      </w:r>
      <w:r>
        <w:rPr>
          <w:rFonts w:ascii="Arial" w:cs="Arial" w:eastAsia="Arial" w:hAnsi="Arial"/>
          <w:sz w:val="19"/>
          <w:szCs w:val="19"/>
          <w:color w:val="auto"/>
        </w:rPr>
        <w:t>.</w:t>
      </w:r>
    </w:p>
    <w:p>
      <w:pPr>
        <w:spacing w:after="0" w:line="212" w:lineRule="exact"/>
        <w:rPr>
          <w:sz w:val="20"/>
          <w:szCs w:val="20"/>
          <w:color w:val="auto"/>
        </w:rPr>
      </w:pPr>
    </w:p>
    <w:p>
      <w:pPr>
        <w:jc w:val="both"/>
        <w:ind w:left="4" w:right="20" w:firstLine="645"/>
        <w:spacing w:after="0" w:line="274" w:lineRule="auto"/>
        <w:tabs>
          <w:tab w:leader="none" w:pos="1297"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Material Subsidiaries; Guarantors of Permitted Convertible Notes</w:t>
      </w:r>
      <w:r>
        <w:rPr>
          <w:rFonts w:ascii="Arial" w:cs="Arial" w:eastAsia="Arial" w:hAnsi="Arial"/>
          <w:sz w:val="19"/>
          <w:szCs w:val="19"/>
          <w:color w:val="auto"/>
        </w:rPr>
        <w:t xml:space="preserve">. (i) Promptly notify the Administrative Agent at the time that any Person is or becomes a Material Subsidiary or is or becomes a guarantor of any Indebtedness owing with respect to any Permitted Convertible Notes (if, in either case, not already a Guarantor hereunder), and (ii) promptly (and in any event, with respect to Domestic Subsidiaries, within thirty (30) days, and, with respect to Foreign Subsidiaries, within sixty (60) days) cause such Person to become a Guarantor by executing and delivering to the Administrative Agent a Guaranty Joinder Agreement or such other document as the Administrative Agent shall deem appropriate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Foreign Subsidiary shall be required to become a Guarantor pursuant to this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if such guaranty would violate applicable Law or result in a material adverse tax consequence to the Borrowers or any Subsidiary.</w:t>
      </w:r>
    </w:p>
    <w:p>
      <w:pPr>
        <w:spacing w:after="0" w:line="158" w:lineRule="exact"/>
        <w:rPr>
          <w:rFonts w:ascii="Arial" w:cs="Arial" w:eastAsia="Arial" w:hAnsi="Arial"/>
          <w:sz w:val="19"/>
          <w:szCs w:val="19"/>
          <w:color w:val="auto"/>
        </w:rPr>
      </w:pPr>
    </w:p>
    <w:p>
      <w:pPr>
        <w:jc w:val="both"/>
        <w:ind w:left="4" w:firstLine="645"/>
        <w:spacing w:after="0" w:line="270" w:lineRule="auto"/>
        <w:tabs>
          <w:tab w:leader="none" w:pos="1309"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Other Subsidiaries</w:t>
      </w:r>
      <w:r>
        <w:rPr>
          <w:rFonts w:ascii="Arial" w:cs="Arial" w:eastAsia="Arial" w:hAnsi="Arial"/>
          <w:sz w:val="19"/>
          <w:szCs w:val="19"/>
          <w:color w:val="auto"/>
        </w:rPr>
        <w:t>. If, as of the end of any fiscal quarter of WFS occurring after the Closing Date, the aggregate book value of assets of all then existing Guarantors, on a consolidated basis, (including Equity Interests in other Subsidiaries, but excluding Investments that are eliminated in consolidation) do not represent at least 75% of the aggregate book value of assets of WFS and its Subsidiaries on a consolidated basis as of the end of WFS’s most recently completed fiscal year (the “</w:t>
      </w:r>
      <w:r>
        <w:rPr>
          <w:rFonts w:ascii="Arial" w:cs="Arial" w:eastAsia="Arial" w:hAnsi="Arial"/>
          <w:sz w:val="19"/>
          <w:szCs w:val="19"/>
          <w:u w:val="single" w:color="auto"/>
          <w:color w:val="auto"/>
        </w:rPr>
        <w:t>75% Guaranty Threshold</w:t>
      </w:r>
      <w:r>
        <w:rPr>
          <w:rFonts w:ascii="Arial" w:cs="Arial" w:eastAsia="Arial" w:hAnsi="Arial"/>
          <w:sz w:val="19"/>
          <w:szCs w:val="19"/>
          <w:color w:val="auto"/>
        </w:rPr>
        <w:t>”), then the Borrowing Agent shall</w:t>
      </w:r>
    </w:p>
    <w:p>
      <w:pPr>
        <w:spacing w:after="0" w:line="4" w:lineRule="exact"/>
        <w:rPr>
          <w:rFonts w:ascii="Arial" w:cs="Arial" w:eastAsia="Arial" w:hAnsi="Arial"/>
          <w:sz w:val="19"/>
          <w:szCs w:val="19"/>
          <w:color w:val="auto"/>
        </w:rPr>
      </w:pPr>
    </w:p>
    <w:p>
      <w:pPr>
        <w:jc w:val="both"/>
        <w:ind w:left="4" w:hanging="4"/>
        <w:spacing w:after="0" w:line="242" w:lineRule="auto"/>
        <w:tabs>
          <w:tab w:leader="none" w:pos="286"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promptly notify the Administrative Agent that the 75% Guaranty Threshold is not met and identify additional Domestic Subsidiaries, and if necessary, additional Foreign Subsidiaries (without regard to any material adverse tax consequences which may result therefrom), to become Guarantors such that upon such identified Subsidiaries becoming Guarantors, the 75% Guaranty Threshold will be satisfied, and (ii) promptly (and in any event, with respect to any Domestic Subsidiary, within thirty (30) days, and, with respect to any Foreign Subsidiary, within sixty (60) days), in each case, which period may extended by the Administrative Agent in its sole discretion, cause each such Subsidiary to become a Guarantor by executing and delivering to the Administrative Agent a Guaranty Joinder Agreement or such other document as the Administrative Agent shall deem appropriate for such purpose;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no Foreign Subsidiary shall be required to become a Guarantor pursuant to this subsection (b) if such guaranty would violate applicable Law and (y) none of Atlantic Fuel Services, IRC and Resource Recovery shall be required to become a Guarantor pursuant to this </w:t>
      </w:r>
      <w:r>
        <w:rPr>
          <w:rFonts w:ascii="Arial" w:cs="Arial" w:eastAsia="Arial" w:hAnsi="Arial"/>
          <w:sz w:val="21"/>
          <w:szCs w:val="21"/>
          <w:u w:val="single" w:color="auto"/>
          <w:color w:val="auto"/>
        </w:rPr>
        <w:t>subsection (b)</w:t>
      </w:r>
      <w:r>
        <w:rPr>
          <w:rFonts w:ascii="Arial" w:cs="Arial" w:eastAsia="Arial" w:hAnsi="Arial"/>
          <w:sz w:val="21"/>
          <w:szCs w:val="21"/>
          <w:color w:val="auto"/>
        </w:rPr>
        <w:t xml:space="preserve"> so long as such Subsidiary is in compliance with </w:t>
      </w:r>
      <w:r>
        <w:rPr>
          <w:rFonts w:ascii="Arial" w:cs="Arial" w:eastAsia="Arial" w:hAnsi="Arial"/>
          <w:sz w:val="21"/>
          <w:szCs w:val="21"/>
          <w:u w:val="single" w:color="auto"/>
          <w:color w:val="auto"/>
        </w:rPr>
        <w:t>Section 7.13</w:t>
      </w:r>
      <w:r>
        <w:rPr>
          <w:rFonts w:ascii="Arial" w:cs="Arial" w:eastAsia="Arial" w:hAnsi="Arial"/>
          <w:sz w:val="21"/>
          <w:szCs w:val="21"/>
          <w:color w:val="auto"/>
        </w:rPr>
        <w:t>.</w:t>
      </w:r>
    </w:p>
    <w:p>
      <w:pPr>
        <w:spacing w:after="0" w:line="193" w:lineRule="exact"/>
        <w:rPr>
          <w:rFonts w:ascii="Arial" w:cs="Arial" w:eastAsia="Arial" w:hAnsi="Arial"/>
          <w:sz w:val="21"/>
          <w:szCs w:val="21"/>
          <w:color w:val="auto"/>
        </w:rPr>
      </w:pPr>
    </w:p>
    <w:p>
      <w:pPr>
        <w:jc w:val="both"/>
        <w:ind w:left="4" w:right="20" w:firstLine="645"/>
        <w:spacing w:after="0" w:line="246" w:lineRule="auto"/>
        <w:tabs>
          <w:tab w:leader="none" w:pos="1297"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Additional Collateral; Documents</w:t>
      </w:r>
      <w:r>
        <w:rPr>
          <w:rFonts w:ascii="Arial" w:cs="Arial" w:eastAsia="Arial" w:hAnsi="Arial"/>
          <w:sz w:val="21"/>
          <w:szCs w:val="21"/>
          <w:color w:val="auto"/>
        </w:rPr>
        <w:t xml:space="preserve">. In the event that any Subsidiary becomes a Guarantor after the Closing Date pursuant to </w:t>
      </w:r>
      <w:r>
        <w:rPr>
          <w:rFonts w:ascii="Arial" w:cs="Arial" w:eastAsia="Arial" w:hAnsi="Arial"/>
          <w:sz w:val="21"/>
          <w:szCs w:val="21"/>
          <w:u w:val="single" w:color="auto"/>
          <w:color w:val="auto"/>
        </w:rPr>
        <w:t>subsections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6.12</w:t>
      </w:r>
      <w:r>
        <w:rPr>
          <w:rFonts w:ascii="Arial" w:cs="Arial" w:eastAsia="Arial" w:hAnsi="Arial"/>
          <w:sz w:val="21"/>
          <w:szCs w:val="21"/>
          <w:color w:val="auto"/>
        </w:rPr>
        <w:t>, promptly (and in any event, with respect to any Domestic Subsidiary, within thirty (30) days, and, with respect to any Foreign Subsidiary, within sixty (60) days, in each case, which period may extended by the Administrative Agent in its sole discretion) cause (i) each such Subsidiary to (A) if such Subsidiary is a Domestic Subsidiary and in fact has one or more Subsidiaries, become a party to the Pledge Agreement by executing and delivering to the Administrative Agent a Pledge Joinder Agreement or such other document as the Administrative Agent shall deem appropriate for such purpose and comply with the requirements therein, and (B) deliver to the</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149" w:name="page150"/>
    <w:bookmarkEnd w:id="149"/>
    <w:p>
      <w:pPr>
        <w:jc w:val="both"/>
        <w:spacing w:after="0" w:line="246" w:lineRule="auto"/>
        <w:rPr>
          <w:sz w:val="20"/>
          <w:szCs w:val="20"/>
          <w:color w:val="auto"/>
        </w:rPr>
      </w:pPr>
      <w:r>
        <w:rPr>
          <w:rFonts w:ascii="Arial" w:cs="Arial" w:eastAsia="Arial" w:hAnsi="Arial"/>
          <w:sz w:val="21"/>
          <w:szCs w:val="21"/>
          <w:color w:val="auto"/>
        </w:rPr>
        <w:t xml:space="preserve">Administrative Agent documents of the types referred to in </w:t>
      </w:r>
      <w:r>
        <w:rPr>
          <w:rFonts w:ascii="Arial" w:cs="Arial" w:eastAsia="Arial" w:hAnsi="Arial"/>
          <w:sz w:val="21"/>
          <w:szCs w:val="21"/>
          <w:u w:val="single" w:color="auto"/>
          <w:color w:val="auto"/>
        </w:rPr>
        <w:t>clauses (v)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and, if requested by the Administrative Agent, favorable opinions of counsel to such Person (which shall cover, among other things, the legality, validity, binding effect and enforceability of the documentation required to entered into by such Subsidiary pursuant to this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and (ii) each owner of the Equity Interests of such Subsidiary (if such owner is WFS or any of its Domestic Subsidiaries that is a Guarantor) shall deliver a Pledge Agreement Supplement or Pledge Joinder Agreement, as applicable, pursuant to which such owner shall pledge its then owned Pledged Interests in such Subsidiary, in the case of each of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in form, content and scope reasonably satisfactory to the Administrative Agent.</w:t>
      </w:r>
    </w:p>
    <w:p>
      <w:pPr>
        <w:spacing w:after="0" w:line="175"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19"/>
          <w:szCs w:val="19"/>
          <w:b w:val="1"/>
          <w:bCs w:val="1"/>
          <w:color w:val="auto"/>
        </w:rPr>
        <w:t xml:space="preserve">6.13 Compliance with Environmental Laws. </w:t>
      </w:r>
      <w:r>
        <w:rPr>
          <w:rFonts w:ascii="Arial" w:cs="Arial" w:eastAsia="Arial" w:hAnsi="Arial"/>
          <w:sz w:val="19"/>
          <w:szCs w:val="19"/>
          <w:color w:val="auto"/>
        </w:rPr>
        <w:t>Comply, and cause all lessees and other Persons operating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occupying its properties to comply with all applicable Environmental Laws and Environmental Permits, except if the failure to so comply could not reasonably be expected to have a Material Adverse Effect; obtain and renew all Environmental Permits required by all applicable Environmental Laws for its operations and properties, except to the extent the failure to obtain or renew the same could not reasonably be expected to have a Material Adverse Effect;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any Borrower nor any Restricted Subsidiary shall be required to undertake any such cleanup, removal, remedial or other action (a) to the extent that its obligation to do so is being contested in good faith and by proper proceedings and appropriate reserves are being maintained with respect to such circumstances in accordance with GAAP or (b) if the failure to do so could not reasonably be expected to have a Material Adverse Effect.</w:t>
      </w:r>
    </w:p>
    <w:p>
      <w:pPr>
        <w:spacing w:after="0" w:line="151" w:lineRule="exact"/>
        <w:rPr>
          <w:sz w:val="20"/>
          <w:szCs w:val="20"/>
          <w:color w:val="auto"/>
        </w:rPr>
      </w:pPr>
    </w:p>
    <w:p>
      <w:pPr>
        <w:jc w:val="both"/>
        <w:ind w:left="20" w:right="20" w:firstLine="648"/>
        <w:spacing w:after="0" w:line="272" w:lineRule="auto"/>
        <w:rPr>
          <w:sz w:val="20"/>
          <w:szCs w:val="20"/>
          <w:color w:val="auto"/>
        </w:rPr>
      </w:pPr>
      <w:r>
        <w:rPr>
          <w:rFonts w:ascii="Arial" w:cs="Arial" w:eastAsia="Arial" w:hAnsi="Arial"/>
          <w:sz w:val="19"/>
          <w:szCs w:val="19"/>
          <w:b w:val="1"/>
          <w:bCs w:val="1"/>
          <w:color w:val="auto"/>
        </w:rPr>
        <w:t xml:space="preserve">6.14 Further Assurances. </w:t>
      </w:r>
      <w:r>
        <w:rPr>
          <w:rFonts w:ascii="Arial" w:cs="Arial" w:eastAsia="Arial" w:hAnsi="Arial"/>
          <w:sz w:val="19"/>
          <w:szCs w:val="19"/>
          <w:color w:val="auto"/>
        </w:rPr>
        <w:t>Within a reasonable time following the request by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400" w:lineRule="exact"/>
        <w:rPr>
          <w:sz w:val="20"/>
          <w:szCs w:val="20"/>
          <w:color w:val="auto"/>
        </w:rPr>
      </w:pPr>
    </w:p>
    <w:p>
      <w:pPr>
        <w:jc w:val="both"/>
        <w:ind w:left="20" w:right="20" w:firstLine="648"/>
        <w:spacing w:after="0" w:line="256" w:lineRule="auto"/>
        <w:rPr>
          <w:sz w:val="20"/>
          <w:szCs w:val="20"/>
          <w:color w:val="auto"/>
        </w:rPr>
      </w:pPr>
      <w:r>
        <w:rPr>
          <w:rFonts w:ascii="Arial" w:cs="Arial" w:eastAsia="Arial" w:hAnsi="Arial"/>
          <w:sz w:val="22"/>
          <w:szCs w:val="22"/>
          <w:b w:val="1"/>
          <w:bCs w:val="1"/>
          <w:color w:val="auto"/>
        </w:rPr>
        <w:t xml:space="preserve">6.15 Material Contracts. </w:t>
      </w:r>
      <w:r>
        <w:rPr>
          <w:rFonts w:ascii="Arial" w:cs="Arial" w:eastAsia="Arial" w:hAnsi="Arial"/>
          <w:sz w:val="22"/>
          <w:szCs w:val="22"/>
          <w:color w:val="auto"/>
        </w:rPr>
        <w:t>Perform and observe all the material terms and provisions of each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to be performed or observed by it, maintain each such Material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50" w:name="page151"/>
    <w:bookmarkEnd w:id="150"/>
    <w:p>
      <w:pPr>
        <w:ind w:left="20"/>
        <w:spacing w:after="0"/>
        <w:rPr>
          <w:sz w:val="20"/>
          <w:szCs w:val="20"/>
          <w:color w:val="auto"/>
        </w:rPr>
      </w:pPr>
      <w:r>
        <w:rPr>
          <w:rFonts w:ascii="Arial" w:cs="Arial" w:eastAsia="Arial" w:hAnsi="Arial"/>
          <w:sz w:val="22"/>
          <w:szCs w:val="22"/>
          <w:color w:val="auto"/>
        </w:rPr>
        <w:t>Contract in full force and effect and enforce each such Material Contract in accordance with its terms.</w:t>
      </w:r>
    </w:p>
    <w:p>
      <w:pPr>
        <w:spacing w:after="0" w:line="201" w:lineRule="exact"/>
        <w:rPr>
          <w:sz w:val="20"/>
          <w:szCs w:val="20"/>
          <w:color w:val="auto"/>
        </w:rPr>
      </w:pPr>
    </w:p>
    <w:p>
      <w:pPr>
        <w:jc w:val="both"/>
        <w:ind w:left="20" w:right="20" w:firstLine="648"/>
        <w:spacing w:after="0" w:line="243" w:lineRule="auto"/>
        <w:rPr>
          <w:sz w:val="20"/>
          <w:szCs w:val="20"/>
          <w:color w:val="auto"/>
        </w:rPr>
      </w:pPr>
      <w:r>
        <w:rPr>
          <w:rFonts w:ascii="Arial" w:cs="Arial" w:eastAsia="Arial" w:hAnsi="Arial"/>
          <w:sz w:val="22"/>
          <w:szCs w:val="22"/>
          <w:b w:val="1"/>
          <w:bCs w:val="1"/>
          <w:color w:val="auto"/>
        </w:rPr>
        <w:t>6.16 BSA Provision</w:t>
      </w:r>
      <w:r>
        <w:rPr>
          <w:rFonts w:ascii="Arial" w:cs="Arial" w:eastAsia="Arial" w:hAnsi="Arial"/>
          <w:sz w:val="22"/>
          <w:szCs w:val="22"/>
          <w:color w:val="auto"/>
        </w:rPr>
        <w:t>. The Borrowers shall use commercially reasonable efforts to comply, and cause</w:t>
      </w:r>
      <w:r>
        <w:rPr>
          <w:rFonts w:ascii="Arial" w:cs="Arial" w:eastAsia="Arial" w:hAnsi="Arial"/>
          <w:sz w:val="22"/>
          <w:szCs w:val="22"/>
          <w:b w:val="1"/>
          <w:bCs w:val="1"/>
          <w:color w:val="auto"/>
        </w:rPr>
        <w:t xml:space="preserve"> </w:t>
      </w:r>
      <w:r>
        <w:rPr>
          <w:rFonts w:ascii="Arial" w:cs="Arial" w:eastAsia="Arial" w:hAnsi="Arial"/>
          <w:sz w:val="22"/>
          <w:szCs w:val="22"/>
          <w:color w:val="auto"/>
        </w:rPr>
        <w:t>each Restricted Subsidiary to use commercially reasonable efforts to comply, with all applicable Bank Secrecy Act laws and regulations, as amended.</w:t>
      </w:r>
    </w:p>
    <w:p>
      <w:pPr>
        <w:spacing w:after="0" w:line="177" w:lineRule="exact"/>
        <w:rPr>
          <w:sz w:val="20"/>
          <w:szCs w:val="20"/>
          <w:color w:val="auto"/>
        </w:rPr>
      </w:pPr>
    </w:p>
    <w:p>
      <w:pPr>
        <w:jc w:val="both"/>
        <w:ind w:left="20" w:right="20" w:firstLine="648"/>
        <w:spacing w:after="0" w:line="236" w:lineRule="auto"/>
        <w:rPr>
          <w:sz w:val="20"/>
          <w:szCs w:val="20"/>
          <w:color w:val="auto"/>
        </w:rPr>
      </w:pPr>
      <w:r>
        <w:rPr>
          <w:rFonts w:ascii="Arial" w:cs="Arial" w:eastAsia="Arial" w:hAnsi="Arial"/>
          <w:sz w:val="22"/>
          <w:szCs w:val="22"/>
          <w:b w:val="1"/>
          <w:bCs w:val="1"/>
          <w:color w:val="auto"/>
        </w:rPr>
        <w:t>6.17 Anti-Corruption Laws</w:t>
      </w:r>
      <w:r>
        <w:rPr>
          <w:rFonts w:ascii="Arial" w:cs="Arial" w:eastAsia="Arial" w:hAnsi="Arial"/>
          <w:sz w:val="22"/>
          <w:szCs w:val="22"/>
          <w:color w:val="auto"/>
        </w:rPr>
        <w:t>. Conduct its businesses in compliance with the United States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Corrupt Practices Act of 1977, the UK Bribery Act 2010, and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 and maintain policies and procedures designed to promote and achieve such compliance with such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NEGATIVE COVENANTS</w:t>
      </w:r>
    </w:p>
    <w:p>
      <w:pPr>
        <w:spacing w:after="0" w:line="212"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So long as any Lender shall have any Commitment hereunder, any Loan or other outstanding Obligation hereunder shall remain unpaid or unsatisfied, or any Letter of Credit or Bankers’ Acceptance shall remain outstanding, no Borrower shall, nor shall any Borrower permit any Restricted Subsidiary to, directly or indirectly:</w:t>
      </w:r>
    </w:p>
    <w:p>
      <w:pPr>
        <w:spacing w:after="0" w:line="128" w:lineRule="exact"/>
        <w:rPr>
          <w:sz w:val="20"/>
          <w:szCs w:val="20"/>
          <w:color w:val="auto"/>
        </w:rPr>
      </w:pPr>
    </w:p>
    <w:p>
      <w:pPr>
        <w:ind w:left="20" w:firstLine="648"/>
        <w:spacing w:after="0" w:line="256" w:lineRule="auto"/>
        <w:rPr>
          <w:sz w:val="20"/>
          <w:szCs w:val="20"/>
          <w:color w:val="auto"/>
        </w:rPr>
      </w:pPr>
      <w:r>
        <w:rPr>
          <w:rFonts w:ascii="Arial" w:cs="Arial" w:eastAsia="Arial" w:hAnsi="Arial"/>
          <w:sz w:val="22"/>
          <w:szCs w:val="22"/>
          <w:b w:val="1"/>
          <w:bCs w:val="1"/>
          <w:color w:val="auto"/>
        </w:rPr>
        <w:t>7.01 Liens</w:t>
      </w:r>
      <w:r>
        <w:rPr>
          <w:rFonts w:ascii="Arial" w:cs="Arial" w:eastAsia="Arial" w:hAnsi="Arial"/>
          <w:sz w:val="22"/>
          <w:szCs w:val="22"/>
          <w:color w:val="auto"/>
        </w:rPr>
        <w:t>. Create, incur, assume or suffer to exist any Lien upon any of its property, assets or revenues,</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now owned or hereafter acquired, other than the following:</w:t>
      </w:r>
    </w:p>
    <w:p>
      <w:pPr>
        <w:spacing w:after="0" w:line="169" w:lineRule="exact"/>
        <w:rPr>
          <w:sz w:val="20"/>
          <w:szCs w:val="20"/>
          <w:color w:val="auto"/>
        </w:rPr>
      </w:pPr>
    </w:p>
    <w:p>
      <w:pPr>
        <w:ind w:left="1280" w:hanging="635"/>
        <w:spacing w:after="0"/>
        <w:tabs>
          <w:tab w:leader="none" w:pos="12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Liens pursuant to any Loan Document;</w:t>
      </w:r>
    </w:p>
    <w:p>
      <w:pPr>
        <w:spacing w:after="0" w:line="206" w:lineRule="exact"/>
        <w:rPr>
          <w:rFonts w:ascii="Arial" w:cs="Arial" w:eastAsia="Arial" w:hAnsi="Arial"/>
          <w:sz w:val="22"/>
          <w:szCs w:val="22"/>
          <w:color w:val="auto"/>
        </w:rPr>
      </w:pPr>
    </w:p>
    <w:p>
      <w:pPr>
        <w:jc w:val="both"/>
        <w:ind w:right="20" w:firstLine="645"/>
        <w:spacing w:after="0" w:line="252" w:lineRule="auto"/>
        <w:tabs>
          <w:tab w:leader="none" w:pos="1305"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Liens existing on the Closing Date and listed on </w:t>
      </w:r>
      <w:r>
        <w:rPr>
          <w:rFonts w:ascii="Arial" w:cs="Arial" w:eastAsia="Arial" w:hAnsi="Arial"/>
          <w:sz w:val="21"/>
          <w:szCs w:val="21"/>
          <w:u w:val="single" w:color="auto"/>
          <w:color w:val="auto"/>
        </w:rPr>
        <w:t>Schedule 7.01</w:t>
      </w:r>
      <w:r>
        <w:rPr>
          <w:rFonts w:ascii="Arial" w:cs="Arial" w:eastAsia="Arial" w:hAnsi="Arial"/>
          <w:sz w:val="21"/>
          <w:szCs w:val="21"/>
          <w:color w:val="auto"/>
        </w:rPr>
        <w:t xml:space="preserve"> and any renewals or extensions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actual property covered thereby is not expanded, (ii) the amount secured or benefited thereby is not increased except as contemplated by </w:t>
      </w:r>
      <w:r>
        <w:rPr>
          <w:rFonts w:ascii="Arial" w:cs="Arial" w:eastAsia="Arial" w:hAnsi="Arial"/>
          <w:sz w:val="21"/>
          <w:szCs w:val="21"/>
          <w:u w:val="single" w:color="auto"/>
          <w:color w:val="auto"/>
        </w:rPr>
        <w:t>Section 7.03(b)</w:t>
      </w:r>
      <w:r>
        <w:rPr>
          <w:rFonts w:ascii="Arial" w:cs="Arial" w:eastAsia="Arial" w:hAnsi="Arial"/>
          <w:sz w:val="21"/>
          <w:szCs w:val="21"/>
          <w:color w:val="auto"/>
        </w:rPr>
        <w:t xml:space="preserve">, and (iii) any renewal or extension of the obligations secured or benefited thereby is permitted by </w:t>
      </w:r>
      <w:r>
        <w:rPr>
          <w:rFonts w:ascii="Arial" w:cs="Arial" w:eastAsia="Arial" w:hAnsi="Arial"/>
          <w:sz w:val="21"/>
          <w:szCs w:val="21"/>
          <w:u w:val="single" w:color="auto"/>
          <w:color w:val="auto"/>
        </w:rPr>
        <w:t>Section 7.03(b)</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firstLine="645"/>
        <w:spacing w:after="0"/>
        <w:tabs>
          <w:tab w:leader="none" w:pos="129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Liens for taxes not yet due or which are being contested in good faith by appropriate proceedings and with respect to which adequate reserves or other appropriate provisions are being maintained to the extent required by GAAP;</w:t>
      </w:r>
    </w:p>
    <w:p>
      <w:pPr>
        <w:spacing w:after="0" w:line="186" w:lineRule="exact"/>
        <w:rPr>
          <w:rFonts w:ascii="Arial" w:cs="Arial" w:eastAsia="Arial" w:hAnsi="Arial"/>
          <w:sz w:val="22"/>
          <w:szCs w:val="22"/>
          <w:color w:val="auto"/>
        </w:rPr>
      </w:pPr>
    </w:p>
    <w:p>
      <w:pPr>
        <w:jc w:val="both"/>
        <w:ind w:right="20" w:firstLine="645"/>
        <w:spacing w:after="0" w:line="236" w:lineRule="auto"/>
        <w:tabs>
          <w:tab w:leader="none" w:pos="130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Liens of landlords arising by statute and Liens of suppliers, mechanics, carriers, materialmen, warehousemen or workmen and other similar Liens, in each case, (i) imposed by law or arising in the ordinary course of business, (ii) for amounts not yet due or that are being contested in good faith by appropriate proceedings and (iii) with respect to which adequate reserves or other appropriate provisions are being maintained to the extent required by GAAP;</w:t>
      </w:r>
    </w:p>
    <w:p>
      <w:pPr>
        <w:spacing w:after="0" w:line="187" w:lineRule="exact"/>
        <w:rPr>
          <w:rFonts w:ascii="Arial" w:cs="Arial" w:eastAsia="Arial" w:hAnsi="Arial"/>
          <w:sz w:val="22"/>
          <w:szCs w:val="22"/>
          <w:color w:val="auto"/>
        </w:rPr>
      </w:pPr>
    </w:p>
    <w:p>
      <w:pPr>
        <w:jc w:val="both"/>
        <w:ind w:firstLine="645"/>
        <w:spacing w:after="0"/>
        <w:tabs>
          <w:tab w:leader="none" w:pos="129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encumbrances arising under leases or subleases of real property that do not, in the aggregate, materially detract from the value of such real property or interfere with the ordinary conduct of the business conducted or proposed to be conducted on or at such real property;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51" w:name="page152"/>
    <w:bookmarkEnd w:id="151"/>
    <w:p>
      <w:pPr>
        <w:jc w:val="both"/>
        <w:ind w:firstLine="645"/>
        <w:spacing w:after="0" w:line="241" w:lineRule="auto"/>
        <w:tabs>
          <w:tab w:leader="none" w:pos="147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Liens in favor of lessors securing operating leases and financing statements with respect to a lessor’s right in and to personal property leased in the ordinary course of business other than through a Capital Lease;</w:t>
      </w:r>
    </w:p>
    <w:p>
      <w:pPr>
        <w:spacing w:after="0" w:line="183" w:lineRule="exact"/>
        <w:rPr>
          <w:rFonts w:ascii="Arial" w:cs="Arial" w:eastAsia="Arial" w:hAnsi="Arial"/>
          <w:sz w:val="22"/>
          <w:szCs w:val="22"/>
          <w:color w:val="auto"/>
        </w:rPr>
      </w:pPr>
    </w:p>
    <w:p>
      <w:pPr>
        <w:jc w:val="both"/>
        <w:ind w:firstLine="645"/>
        <w:spacing w:after="0"/>
        <w:tabs>
          <w:tab w:leader="none" w:pos="130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title transfer, retention of title, hire purchase or conditional sale arrangement or arrangements having a similar effect arising in the ordinary course of business in connection with the deferred purchase price of goods or services in favor of the suppliers thereof;</w:t>
      </w:r>
    </w:p>
    <w:p>
      <w:pPr>
        <w:spacing w:after="0" w:line="186" w:lineRule="exact"/>
        <w:rPr>
          <w:rFonts w:ascii="Arial" w:cs="Arial" w:eastAsia="Arial" w:hAnsi="Arial"/>
          <w:sz w:val="22"/>
          <w:szCs w:val="22"/>
          <w:color w:val="auto"/>
        </w:rPr>
      </w:pPr>
    </w:p>
    <w:p>
      <w:pPr>
        <w:ind w:firstLine="645"/>
        <w:spacing w:after="0" w:line="251" w:lineRule="auto"/>
        <w:tabs>
          <w:tab w:leader="none" w:pos="130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pledges or deposits in the ordinary course of business in connection with workers’ compensation, unemployment insurance and other social security legislation;</w:t>
      </w:r>
    </w:p>
    <w:p>
      <w:pPr>
        <w:spacing w:after="0" w:line="173" w:lineRule="exact"/>
        <w:rPr>
          <w:rFonts w:ascii="Arial" w:cs="Arial" w:eastAsia="Arial" w:hAnsi="Arial"/>
          <w:sz w:val="22"/>
          <w:szCs w:val="22"/>
          <w:color w:val="auto"/>
        </w:rPr>
      </w:pPr>
    </w:p>
    <w:p>
      <w:pPr>
        <w:jc w:val="both"/>
        <w:ind w:firstLine="645"/>
        <w:spacing w:after="0"/>
        <w:tabs>
          <w:tab w:leader="none" w:pos="131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deposits to secure the performance of bids, tenders, sales, trade contracts and leases (other than Indebtedness), statutory obligations, surety and appeal bonds, performance bonds and other obligations of a like nature incurred in the ordinary course of business;</w:t>
      </w:r>
    </w:p>
    <w:p>
      <w:pPr>
        <w:spacing w:after="0" w:line="186" w:lineRule="exact"/>
        <w:rPr>
          <w:rFonts w:ascii="Arial" w:cs="Arial" w:eastAsia="Arial" w:hAnsi="Arial"/>
          <w:sz w:val="22"/>
          <w:szCs w:val="22"/>
          <w:color w:val="auto"/>
        </w:rPr>
      </w:pPr>
    </w:p>
    <w:p>
      <w:pPr>
        <w:jc w:val="both"/>
        <w:ind w:firstLine="645"/>
        <w:spacing w:after="0"/>
        <w:tabs>
          <w:tab w:leader="none" w:pos="129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86" w:lineRule="exact"/>
        <w:rPr>
          <w:rFonts w:ascii="Arial" w:cs="Arial" w:eastAsia="Arial" w:hAnsi="Arial"/>
          <w:sz w:val="22"/>
          <w:szCs w:val="22"/>
          <w:color w:val="auto"/>
        </w:rPr>
      </w:pPr>
    </w:p>
    <w:p>
      <w:pPr>
        <w:ind w:firstLine="645"/>
        <w:spacing w:after="0" w:line="251" w:lineRule="auto"/>
        <w:tabs>
          <w:tab w:leader="none" w:pos="130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Liens securing judgments for the payment of money not constituting an Event of Default under </w:t>
      </w:r>
      <w:r>
        <w:rPr>
          <w:rFonts w:ascii="Arial" w:cs="Arial" w:eastAsia="Arial" w:hAnsi="Arial"/>
          <w:sz w:val="22"/>
          <w:szCs w:val="22"/>
          <w:u w:val="single" w:color="auto"/>
          <w:color w:val="auto"/>
        </w:rPr>
        <w:t>Section 8.01(h)</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firstLine="645"/>
        <w:spacing w:after="0" w:line="328" w:lineRule="auto"/>
        <w:tabs>
          <w:tab w:leader="none" w:pos="131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7.03(f)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at any time encumber any property other than the property financed by such Indebtedness (and proceeds of such property);</w:t>
      </w:r>
    </w:p>
    <w:p>
      <w:pPr>
        <w:spacing w:after="0" w:line="105" w:lineRule="exact"/>
        <w:rPr>
          <w:rFonts w:ascii="Arial" w:cs="Arial" w:eastAsia="Arial" w:hAnsi="Arial"/>
          <w:sz w:val="19"/>
          <w:szCs w:val="19"/>
          <w:color w:val="auto"/>
        </w:rPr>
      </w:pPr>
    </w:p>
    <w:p>
      <w:pPr>
        <w:jc w:val="both"/>
        <w:ind w:firstLine="645"/>
        <w:spacing w:after="0" w:line="328" w:lineRule="auto"/>
        <w:tabs>
          <w:tab w:leader="none" w:pos="133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7.03(k)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at any time encumber any property other than the property financed by such Indebtedness (and proceeds of such property);</w:t>
      </w:r>
    </w:p>
    <w:p>
      <w:pPr>
        <w:spacing w:after="0" w:line="105" w:lineRule="exact"/>
        <w:rPr>
          <w:rFonts w:ascii="Arial" w:cs="Arial" w:eastAsia="Arial" w:hAnsi="Arial"/>
          <w:sz w:val="19"/>
          <w:szCs w:val="19"/>
          <w:color w:val="auto"/>
        </w:rPr>
      </w:pPr>
    </w:p>
    <w:p>
      <w:pPr>
        <w:jc w:val="both"/>
        <w:ind w:firstLine="645"/>
        <w:spacing w:after="0" w:line="297" w:lineRule="auto"/>
        <w:tabs>
          <w:tab w:leader="none" w:pos="130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7.03(l)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Collateral and (ii) the aggregate value of property (calculated using the cost thereof) subject to such Liens at any time shall not exceed 105% of the aggregate principal amount of such Indebtedness;</w:t>
      </w:r>
    </w:p>
    <w:p>
      <w:pPr>
        <w:spacing w:after="0" w:line="134" w:lineRule="exact"/>
        <w:rPr>
          <w:rFonts w:ascii="Arial" w:cs="Arial" w:eastAsia="Arial" w:hAnsi="Arial"/>
          <w:sz w:val="19"/>
          <w:szCs w:val="19"/>
          <w:color w:val="auto"/>
        </w:rPr>
      </w:pPr>
    </w:p>
    <w:p>
      <w:pPr>
        <w:jc w:val="both"/>
        <w:ind w:firstLine="645"/>
        <w:spacing w:after="0"/>
        <w:tabs>
          <w:tab w:leader="none" w:pos="130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cash collateral provided in the ordinary course of business under commodities hedging agreements (including synthetic hedging agreements) permitted under </w:t>
      </w:r>
      <w:r>
        <w:rPr>
          <w:rFonts w:ascii="Arial" w:cs="Arial" w:eastAsia="Arial" w:hAnsi="Arial"/>
          <w:sz w:val="22"/>
          <w:szCs w:val="22"/>
          <w:u w:val="single" w:color="auto"/>
          <w:color w:val="auto"/>
        </w:rPr>
        <w:t>Section 7.03(e)</w:t>
      </w:r>
      <w:r>
        <w:rPr>
          <w:rFonts w:ascii="Arial" w:cs="Arial" w:eastAsia="Arial" w:hAnsi="Arial"/>
          <w:sz w:val="22"/>
          <w:szCs w:val="22"/>
          <w:color w:val="auto"/>
        </w:rPr>
        <w:t xml:space="preserve"> as required due to fluctuations in the price of the underlying commodities of such agreements;</w:t>
      </w:r>
    </w:p>
    <w:p>
      <w:pPr>
        <w:spacing w:after="0" w:line="186" w:lineRule="exact"/>
        <w:rPr>
          <w:rFonts w:ascii="Arial" w:cs="Arial" w:eastAsia="Arial" w:hAnsi="Arial"/>
          <w:sz w:val="22"/>
          <w:szCs w:val="22"/>
          <w:color w:val="auto"/>
        </w:rPr>
      </w:pPr>
    </w:p>
    <w:p>
      <w:pPr>
        <w:ind w:firstLine="645"/>
        <w:spacing w:after="0" w:line="274" w:lineRule="auto"/>
        <w:tabs>
          <w:tab w:leader="none" w:pos="130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Liens on Related Rights and Property (i) in favor of any transferee of accounts receivable Disposed of pursuant to </w:t>
      </w:r>
      <w:r>
        <w:rPr>
          <w:rFonts w:ascii="Arial" w:cs="Arial" w:eastAsia="Arial" w:hAnsi="Arial"/>
          <w:sz w:val="21"/>
          <w:szCs w:val="21"/>
          <w:u w:val="single" w:color="auto"/>
          <w:color w:val="auto"/>
        </w:rPr>
        <w:t>Section 7.05(e)</w:t>
      </w:r>
      <w:r>
        <w:rPr>
          <w:rFonts w:ascii="Arial" w:cs="Arial" w:eastAsia="Arial" w:hAnsi="Arial"/>
          <w:sz w:val="21"/>
          <w:szCs w:val="21"/>
          <w:color w:val="auto"/>
        </w:rPr>
        <w:t xml:space="preserve"> and (ii) securing Indebtedness permitted under </w:t>
      </w:r>
      <w:r>
        <w:rPr>
          <w:rFonts w:ascii="Arial" w:cs="Arial" w:eastAsia="Arial" w:hAnsi="Arial"/>
          <w:sz w:val="21"/>
          <w:szCs w:val="21"/>
          <w:u w:val="single" w:color="auto"/>
          <w:color w:val="auto"/>
        </w:rPr>
        <w:t>Section 7.03(f)(ii)</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left="1300" w:hanging="655"/>
        <w:spacing w:after="0"/>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under </w:t>
      </w:r>
      <w:r>
        <w:rPr>
          <w:rFonts w:ascii="Arial" w:cs="Arial" w:eastAsia="Arial" w:hAnsi="Arial"/>
          <w:sz w:val="22"/>
          <w:szCs w:val="22"/>
          <w:u w:val="single" w:color="auto"/>
          <w:color w:val="auto"/>
        </w:rPr>
        <w:t>Section 7.03(p)</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45"/>
        <w:spacing w:after="0"/>
        <w:tabs>
          <w:tab w:leader="none" w:pos="131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Liens incurred in connection with any Netting Arrangement,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do not encumber any property of a Borrower or a Restricted Subsidiary other than the rights of such Borrower or Restricted Subsidiary in any obligations owing to it by a Counterparty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8" w:right="899" w:bottom="1440" w:gutter="0" w:footer="0" w:header="0"/>
        </w:sectPr>
      </w:pPr>
    </w:p>
    <w:bookmarkStart w:id="152" w:name="page153"/>
    <w:bookmarkEnd w:id="152"/>
    <w:p>
      <w:pPr>
        <w:spacing w:after="0" w:line="251" w:lineRule="auto"/>
        <w:rPr>
          <w:sz w:val="20"/>
          <w:szCs w:val="20"/>
          <w:color w:val="auto"/>
        </w:rPr>
      </w:pPr>
      <w:r>
        <w:rPr>
          <w:rFonts w:ascii="Arial" w:cs="Arial" w:eastAsia="Arial" w:hAnsi="Arial"/>
          <w:sz w:val="22"/>
          <w:szCs w:val="22"/>
          <w:color w:val="auto"/>
        </w:rPr>
        <w:t>under any transaction and its contractual rights against a Counterparty under any transaction (i.e., all receivables and general intangibles for which such Counterparty is the obligor);</w:t>
      </w:r>
    </w:p>
    <w:p>
      <w:pPr>
        <w:spacing w:after="0" w:line="174" w:lineRule="exact"/>
        <w:rPr>
          <w:sz w:val="20"/>
          <w:szCs w:val="20"/>
          <w:color w:val="auto"/>
        </w:rPr>
      </w:pPr>
    </w:p>
    <w:p>
      <w:pPr>
        <w:ind w:right="20" w:firstLine="645"/>
        <w:spacing w:after="0" w:line="251" w:lineRule="auto"/>
        <w:tabs>
          <w:tab w:leader="none" w:pos="130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Liens not otherwise permitted hereunder securing obligations the amount of which shall at no time exceed $1,000,000 in the aggregate; and</w:t>
      </w:r>
    </w:p>
    <w:p>
      <w:pPr>
        <w:spacing w:after="0" w:line="173" w:lineRule="exact"/>
        <w:rPr>
          <w:rFonts w:ascii="Arial" w:cs="Arial" w:eastAsia="Arial" w:hAnsi="Arial"/>
          <w:sz w:val="22"/>
          <w:szCs w:val="22"/>
          <w:color w:val="auto"/>
        </w:rPr>
      </w:pPr>
    </w:p>
    <w:p>
      <w:pPr>
        <w:ind w:right="20" w:firstLine="645"/>
        <w:spacing w:after="0" w:line="328" w:lineRule="auto"/>
        <w:tabs>
          <w:tab w:leader="none" w:pos="129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7.03(q)</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at any time encumber any property other than the property financed by such Indebtedness (and proceeds of such property).</w:t>
      </w:r>
    </w:p>
    <w:p>
      <w:pPr>
        <w:spacing w:after="0" w:line="9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color w:val="auto"/>
        </w:rPr>
        <w:t>Investments</w:t>
      </w:r>
      <w:r>
        <w:rPr>
          <w:rFonts w:ascii="Arial" w:cs="Arial" w:eastAsia="Arial" w:hAnsi="Arial"/>
          <w:sz w:val="19"/>
          <w:szCs w:val="19"/>
          <w:color w:val="auto"/>
        </w:rPr>
        <w:t>. Make any Investments, except:</w:t>
      </w:r>
    </w:p>
    <w:p>
      <w:pPr>
        <w:spacing w:after="0" w:line="212" w:lineRule="exact"/>
        <w:rPr>
          <w:sz w:val="20"/>
          <w:szCs w:val="20"/>
          <w:color w:val="auto"/>
        </w:rPr>
      </w:pPr>
    </w:p>
    <w:p>
      <w:pPr>
        <w:ind w:right="20" w:firstLine="645"/>
        <w:spacing w:after="0" w:line="251" w:lineRule="auto"/>
        <w:tabs>
          <w:tab w:leader="none" w:pos="129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Investments held by such Borrower or such Restricted Subsidiary in the form of cash, cash equivalents or short-term marketable debt securities;</w:t>
      </w:r>
    </w:p>
    <w:p>
      <w:pPr>
        <w:spacing w:after="0" w:line="173" w:lineRule="exact"/>
        <w:rPr>
          <w:rFonts w:ascii="Arial" w:cs="Arial" w:eastAsia="Arial" w:hAnsi="Arial"/>
          <w:sz w:val="22"/>
          <w:szCs w:val="22"/>
          <w:color w:val="auto"/>
        </w:rPr>
      </w:pPr>
    </w:p>
    <w:p>
      <w:pPr>
        <w:jc w:val="both"/>
        <w:ind w:right="20" w:firstLine="645"/>
        <w:spacing w:after="0" w:line="238" w:lineRule="auto"/>
        <w:tabs>
          <w:tab w:leader="none" w:pos="130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(i) Investments by any Borrower or any Restricted Subsidiary in their respective Restricted Subsidiaries outstanding on the date hereof and (ii) additional Investments after the Closing Date by any Borrower or any Restricted Subsidiary in another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immediately upon giving effect to such Investment in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the 75% Guarantor Threshold is satisfied;</w:t>
      </w:r>
    </w:p>
    <w:p>
      <w:pPr>
        <w:spacing w:after="0" w:line="185" w:lineRule="exact"/>
        <w:rPr>
          <w:rFonts w:ascii="Arial" w:cs="Arial" w:eastAsia="Arial" w:hAnsi="Arial"/>
          <w:sz w:val="22"/>
          <w:szCs w:val="22"/>
          <w:color w:val="auto"/>
        </w:rPr>
      </w:pPr>
    </w:p>
    <w:p>
      <w:pPr>
        <w:jc w:val="both"/>
        <w:ind w:firstLine="645"/>
        <w:spacing w:after="0" w:line="238" w:lineRule="auto"/>
        <w:tabs>
          <w:tab w:leader="none" w:pos="129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5" w:lineRule="exact"/>
        <w:rPr>
          <w:rFonts w:ascii="Arial" w:cs="Arial" w:eastAsia="Arial" w:hAnsi="Arial"/>
          <w:sz w:val="22"/>
          <w:szCs w:val="22"/>
          <w:color w:val="auto"/>
        </w:rPr>
      </w:pPr>
    </w:p>
    <w:p>
      <w:pPr>
        <w:ind w:right="20" w:firstLine="645"/>
        <w:spacing w:after="0" w:line="251" w:lineRule="auto"/>
        <w:tabs>
          <w:tab w:leader="none" w:pos="130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Guarantees permitted by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and, to the extent constituting Investments, transactions permitted under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firstLine="645"/>
        <w:spacing w:after="0" w:line="238" w:lineRule="auto"/>
        <w:tabs>
          <w:tab w:leader="none" w:pos="129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Investments (i) existing on the date hereof (other than those referred to in </w:t>
      </w:r>
      <w:r>
        <w:rPr>
          <w:rFonts w:ascii="Arial" w:cs="Arial" w:eastAsia="Arial" w:hAnsi="Arial"/>
          <w:sz w:val="22"/>
          <w:szCs w:val="22"/>
          <w:u w:val="single" w:color="auto"/>
          <w:color w:val="auto"/>
        </w:rPr>
        <w:t>Section 7.02(b)(i)</w:t>
      </w:r>
      <w:r>
        <w:rPr>
          <w:rFonts w:ascii="Arial" w:cs="Arial" w:eastAsia="Arial" w:hAnsi="Arial"/>
          <w:sz w:val="22"/>
          <w:szCs w:val="22"/>
          <w:color w:val="auto"/>
        </w:rPr>
        <w:t xml:space="preserve">) and set forth on Part (a) of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and on Part (b) of Schedule 7.03 and (ii) existing on the Amendment No. 1 Effective Date and set forth on Part (b) of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(other than those Investments referenced on Part (b) of </w:t>
      </w:r>
      <w:r>
        <w:rPr>
          <w:rFonts w:ascii="Arial" w:cs="Arial" w:eastAsia="Arial" w:hAnsi="Arial"/>
          <w:sz w:val="22"/>
          <w:szCs w:val="22"/>
          <w:u w:val="single" w:color="auto"/>
          <w:color w:val="auto"/>
        </w:rPr>
        <w:t>Schedule 7.03</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645"/>
        <w:spacing w:after="0" w:line="251" w:lineRule="auto"/>
        <w:tabs>
          <w:tab w:leader="none" w:pos="131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Investments constituting Acquisitions;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each Acquisition made pursuant to this </w:t>
      </w:r>
      <w:r>
        <w:rPr>
          <w:rFonts w:ascii="Arial" w:cs="Arial" w:eastAsia="Arial" w:hAnsi="Arial"/>
          <w:sz w:val="22"/>
          <w:szCs w:val="22"/>
          <w:u w:val="single" w:color="auto"/>
          <w:color w:val="auto"/>
        </w:rPr>
        <w:t>Section 7.02(f)</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800" w:right="20" w:firstLine="655"/>
        <w:spacing w:after="0" w:line="251" w:lineRule="auto"/>
        <w:tabs>
          <w:tab w:leader="none" w:pos="211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any Restricted Subsidiary created to consummate, or acquired as a result of, such Acquisition shall comply with the applicable requirements of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800" w:right="20" w:firstLine="655"/>
        <w:spacing w:after="0" w:line="238" w:lineRule="auto"/>
        <w:tabs>
          <w:tab w:leader="none" w:pos="21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lines of business of the Person to be (or the property of which is to be) so purchased or otherwise acquired shall not be substantially different from the marketing, sale, financing, distribution or brokerage of fuel and/or energy products or the provision of ancillary services related or incidental thereto;</w:t>
      </w:r>
    </w:p>
    <w:p>
      <w:pPr>
        <w:spacing w:after="0" w:line="185" w:lineRule="exact"/>
        <w:rPr>
          <w:rFonts w:ascii="Arial" w:cs="Arial" w:eastAsia="Arial" w:hAnsi="Arial"/>
          <w:sz w:val="22"/>
          <w:szCs w:val="22"/>
          <w:color w:val="auto"/>
        </w:rPr>
      </w:pPr>
    </w:p>
    <w:p>
      <w:pPr>
        <w:ind w:left="800" w:right="20" w:firstLine="655"/>
        <w:spacing w:after="0" w:line="251" w:lineRule="auto"/>
        <w:tabs>
          <w:tab w:leader="none" w:pos="216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any such Acquisition no Default shall have occurred and be continuing,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53" w:name="page154"/>
    <w:bookmarkEnd w:id="153"/>
    <w:p>
      <w:pPr>
        <w:jc w:val="both"/>
        <w:ind w:left="800" w:right="20" w:firstLine="655"/>
        <w:spacing w:after="0" w:line="271" w:lineRule="auto"/>
        <w:tabs>
          <w:tab w:leader="none" w:pos="2368"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the Consolidated Senior Leverage Ratio is less than </w:t>
      </w:r>
      <w:r>
        <w:rPr>
          <w:rFonts w:ascii="Arial" w:cs="Arial" w:eastAsia="Arial" w:hAnsi="Arial"/>
          <w:sz w:val="19"/>
          <w:szCs w:val="19"/>
          <w:u w:val="single" w:color="auto"/>
          <w:color w:val="auto"/>
        </w:rPr>
        <w:t>3.50</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1.00</w:t>
      </w:r>
      <w:r>
        <w:rPr>
          <w:rFonts w:ascii="Arial" w:cs="Arial" w:eastAsia="Arial" w:hAnsi="Arial"/>
          <w:sz w:val="19"/>
          <w:szCs w:val="19"/>
          <w:color w:val="auto"/>
        </w:rPr>
        <w:t xml:space="preserve"> (or for the period from January 1, 2015 to September 29, 2016, less than </w:t>
      </w:r>
      <w:r>
        <w:rPr>
          <w:rFonts w:ascii="Arial" w:cs="Arial" w:eastAsia="Arial" w:hAnsi="Arial"/>
          <w:sz w:val="19"/>
          <w:szCs w:val="19"/>
          <w:u w:val="single" w:color="auto"/>
          <w:color w:val="auto"/>
        </w:rPr>
        <w:t>3.75</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1.00</w:t>
      </w:r>
      <w:r>
        <w:rPr>
          <w:rFonts w:ascii="Arial" w:cs="Arial" w:eastAsia="Arial" w:hAnsi="Arial"/>
          <w:sz w:val="19"/>
          <w:szCs w:val="19"/>
          <w:color w:val="auto"/>
        </w:rPr>
        <w:t xml:space="preserve">), both immediately before such Acquisition and immediately after giving effect to such Acquisition on a pro forma basis as if such Acquisition occurred on the first day of the four-fiscal quarter period most recently ended for which financial information has been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w:t>
      </w:r>
    </w:p>
    <w:p>
      <w:pPr>
        <w:jc w:val="both"/>
        <w:ind w:left="800"/>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(b)</w:t>
      </w:r>
      <w:r>
        <w:rPr>
          <w:rFonts w:ascii="Arial" w:cs="Arial" w:eastAsia="Arial" w:hAnsi="Arial"/>
          <w:sz w:val="19"/>
          <w:szCs w:val="19"/>
          <w:color w:val="auto"/>
        </w:rPr>
        <w:t xml:space="preserve">, as the case may be (except that, in the case of any Acquisition consummated after the end of the fourth fiscal quarter of a fiscal year and prior to the delivery of audited financials for such fiscal year, such pro forma calculations may be based, to the extent approved by Administrative Agent, on financial information that complies with the requirements of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and, in the case of any Acquisition for consideration in excess of the Threshold Amount, WFS shall have delivered to the Administrative Agent a Compliance Certificate demonstrating compliance with the requirements of this </w:t>
      </w:r>
      <w:r>
        <w:rPr>
          <w:rFonts w:ascii="Arial" w:cs="Arial" w:eastAsia="Arial" w:hAnsi="Arial"/>
          <w:sz w:val="19"/>
          <w:szCs w:val="19"/>
          <w:u w:val="single" w:color="auto"/>
          <w:color w:val="auto"/>
        </w:rPr>
        <w:t>clause (iv)</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800" w:right="20" w:firstLine="655"/>
        <w:spacing w:after="0"/>
        <w:tabs>
          <w:tab w:leader="none" w:pos="2105" w:val="left"/>
        </w:tabs>
        <w:numPr>
          <w:ilvl w:val="1"/>
          <w:numId w:val="155"/>
        </w:numPr>
        <w:rPr>
          <w:rFonts w:ascii="Arial" w:cs="Arial" w:eastAsia="Arial" w:hAnsi="Arial"/>
          <w:sz w:val="22"/>
          <w:szCs w:val="22"/>
          <w:color w:val="auto"/>
        </w:rPr>
      </w:pPr>
      <w:r>
        <w:rPr>
          <w:rFonts w:ascii="Arial" w:cs="Arial" w:eastAsia="Arial" w:hAnsi="Arial"/>
          <w:sz w:val="22"/>
          <w:szCs w:val="22"/>
          <w:color w:val="auto"/>
        </w:rPr>
        <w:t xml:space="preserve">on the date of the certificate delivered pursuant to </w:t>
      </w:r>
      <w:r>
        <w:rPr>
          <w:rFonts w:ascii="Arial" w:cs="Arial" w:eastAsia="Arial" w:hAnsi="Arial"/>
          <w:sz w:val="22"/>
          <w:szCs w:val="22"/>
          <w:u w:val="single" w:color="auto"/>
          <w:color w:val="auto"/>
        </w:rPr>
        <w:t>clause (vi)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7.02(f)</w:t>
      </w:r>
      <w:r>
        <w:rPr>
          <w:rFonts w:ascii="Arial" w:cs="Arial" w:eastAsia="Arial" w:hAnsi="Arial"/>
          <w:sz w:val="22"/>
          <w:szCs w:val="22"/>
          <w:color w:val="auto"/>
        </w:rPr>
        <w:t xml:space="preserve"> and after giving effect to any such Acquisition (and any incurrence of Indebtedness in connection therewith) Available Liquidity shall not be less than $200,000,000; and</w:t>
      </w:r>
    </w:p>
    <w:p>
      <w:pPr>
        <w:spacing w:after="0" w:line="186" w:lineRule="exact"/>
        <w:rPr>
          <w:rFonts w:ascii="Arial" w:cs="Arial" w:eastAsia="Arial" w:hAnsi="Arial"/>
          <w:sz w:val="22"/>
          <w:szCs w:val="22"/>
          <w:color w:val="auto"/>
        </w:rPr>
      </w:pPr>
    </w:p>
    <w:p>
      <w:pPr>
        <w:jc w:val="both"/>
        <w:ind w:left="800" w:right="20" w:firstLine="655"/>
        <w:spacing w:after="0" w:line="249" w:lineRule="auto"/>
        <w:tabs>
          <w:tab w:leader="none" w:pos="2152" w:val="left"/>
        </w:tabs>
        <w:numPr>
          <w:ilvl w:val="1"/>
          <w:numId w:val="155"/>
        </w:numPr>
        <w:rPr>
          <w:rFonts w:ascii="Arial" w:cs="Arial" w:eastAsia="Arial" w:hAnsi="Arial"/>
          <w:sz w:val="21"/>
          <w:szCs w:val="21"/>
          <w:color w:val="auto"/>
        </w:rPr>
      </w:pPr>
      <w:r>
        <w:rPr>
          <w:rFonts w:ascii="Arial" w:cs="Arial" w:eastAsia="Arial" w:hAnsi="Arial"/>
          <w:sz w:val="21"/>
          <w:szCs w:val="21"/>
          <w:color w:val="auto"/>
        </w:rPr>
        <w:t xml:space="preserve">if such Acquisition is for consideration in excess of the Threshold Amount, the Borrowing Agent shall have delivered to the Administrative Agent, on or prior to the date on which such Acquisition is to be consummated, a certificate of a Responsible Officer certifying that all of the requirements set forth in this </w:t>
      </w:r>
      <w:r>
        <w:rPr>
          <w:rFonts w:ascii="Arial" w:cs="Arial" w:eastAsia="Arial" w:hAnsi="Arial"/>
          <w:sz w:val="21"/>
          <w:szCs w:val="21"/>
          <w:u w:val="single" w:color="auto"/>
          <w:color w:val="auto"/>
        </w:rPr>
        <w:t>subsection (f)</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subsection (f)</w:t>
      </w:r>
      <w:r>
        <w:rPr>
          <w:rFonts w:ascii="Arial" w:cs="Arial" w:eastAsia="Arial" w:hAnsi="Arial"/>
          <w:sz w:val="21"/>
          <w:szCs w:val="21"/>
          <w:color w:val="auto"/>
        </w:rPr>
        <w:t>) have been satisfied or will be satisfied on or prior to the consummation of such Acquisition;</w:t>
      </w:r>
    </w:p>
    <w:p>
      <w:pPr>
        <w:spacing w:after="0" w:line="178" w:lineRule="exact"/>
        <w:rPr>
          <w:rFonts w:ascii="Arial" w:cs="Arial" w:eastAsia="Arial" w:hAnsi="Arial"/>
          <w:sz w:val="21"/>
          <w:szCs w:val="21"/>
          <w:color w:val="auto"/>
        </w:rPr>
      </w:pPr>
    </w:p>
    <w:p>
      <w:pPr>
        <w:jc w:val="both"/>
        <w:ind w:right="20" w:firstLine="645"/>
        <w:spacing w:after="0" w:line="258" w:lineRule="auto"/>
        <w:tabs>
          <w:tab w:leader="none" w:pos="1305"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Investments in the form of loans or other similar credit arrangements made to customers in consideration for the receipt of a commercial contract for the marketing, sale, financing, distribution or brokerage of fuel and/or energy products or the provision of ancillary services related or incidental thereto;</w:t>
      </w:r>
    </w:p>
    <w:p>
      <w:pPr>
        <w:spacing w:after="0" w:line="166" w:lineRule="exact"/>
        <w:rPr>
          <w:rFonts w:ascii="Arial" w:cs="Arial" w:eastAsia="Arial" w:hAnsi="Arial"/>
          <w:sz w:val="21"/>
          <w:szCs w:val="21"/>
          <w:color w:val="auto"/>
        </w:rPr>
      </w:pPr>
    </w:p>
    <w:p>
      <w:pPr>
        <w:ind w:right="20" w:firstLine="645"/>
        <w:spacing w:after="0" w:line="251" w:lineRule="auto"/>
        <w:tabs>
          <w:tab w:leader="none" w:pos="130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in securities of Account Debtors received pursuant to any plan of reorganization or similar arrangement upon the bankruptcy or insolvency of such Account Debtors;</w:t>
      </w:r>
    </w:p>
    <w:p>
      <w:pPr>
        <w:spacing w:after="0" w:line="173" w:lineRule="exact"/>
        <w:rPr>
          <w:rFonts w:ascii="Arial" w:cs="Arial" w:eastAsia="Arial" w:hAnsi="Arial"/>
          <w:sz w:val="22"/>
          <w:szCs w:val="22"/>
          <w:color w:val="auto"/>
        </w:rPr>
      </w:pPr>
    </w:p>
    <w:p>
      <w:pPr>
        <w:ind w:right="20" w:firstLine="645"/>
        <w:spacing w:after="0" w:line="251" w:lineRule="auto"/>
        <w:tabs>
          <w:tab w:leader="none" w:pos="131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in Unrestricted Subsidiaries in an aggregate amount not to exceed $150,000,000 outstanding at any time; and</w:t>
      </w:r>
    </w:p>
    <w:p>
      <w:pPr>
        <w:spacing w:after="0" w:line="173" w:lineRule="exact"/>
        <w:rPr>
          <w:rFonts w:ascii="Arial" w:cs="Arial" w:eastAsia="Arial" w:hAnsi="Arial"/>
          <w:sz w:val="22"/>
          <w:szCs w:val="22"/>
          <w:color w:val="auto"/>
        </w:rPr>
      </w:pPr>
    </w:p>
    <w:p>
      <w:pPr>
        <w:ind w:left="1300" w:hanging="655"/>
        <w:spacing w:after="0"/>
        <w:tabs>
          <w:tab w:leader="none" w:pos="13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other Investments, including Investments in excess of amounts permitted by </w:t>
      </w:r>
      <w:r>
        <w:rPr>
          <w:rFonts w:ascii="Arial" w:cs="Arial" w:eastAsia="Arial" w:hAnsi="Arial"/>
          <w:sz w:val="21"/>
          <w:szCs w:val="21"/>
          <w:u w:val="single" w:color="auto"/>
          <w:color w:val="auto"/>
        </w:rPr>
        <w:t>Section 7.02(i)</w:t>
      </w:r>
      <w:r>
        <w:rPr>
          <w:rFonts w:ascii="Arial" w:cs="Arial" w:eastAsia="Arial" w:hAnsi="Arial"/>
          <w:sz w:val="21"/>
          <w:szCs w:val="21"/>
          <w:color w:val="auto"/>
        </w:rPr>
        <w:t>,</w:t>
      </w:r>
    </w:p>
    <w:p>
      <w:pPr>
        <w:spacing w:after="0" w:line="20" w:lineRule="exact"/>
        <w:rPr>
          <w:sz w:val="20"/>
          <w:szCs w:val="20"/>
          <w:color w:val="auto"/>
        </w:rPr>
      </w:pPr>
    </w:p>
    <w:p>
      <w:pPr>
        <w:jc w:val="both"/>
        <w:ind w:right="20" w:firstLine="95"/>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book value thereof, together with Investments in Unrestricted Subsidiaries made pursuant to </w:t>
      </w:r>
      <w:r>
        <w:rPr>
          <w:rFonts w:ascii="Arial" w:cs="Arial" w:eastAsia="Arial" w:hAnsi="Arial"/>
          <w:sz w:val="19"/>
          <w:szCs w:val="19"/>
          <w:u w:val="single" w:color="auto"/>
          <w:color w:val="auto"/>
        </w:rPr>
        <w:t>Section 7.02(i)</w:t>
      </w:r>
      <w:r>
        <w:rPr>
          <w:rFonts w:ascii="Arial" w:cs="Arial" w:eastAsia="Arial" w:hAnsi="Arial"/>
          <w:sz w:val="19"/>
          <w:szCs w:val="19"/>
          <w:color w:val="auto"/>
        </w:rPr>
        <w:t>, shall not exceed 13% of the aggregate book value of the assets (tangible and intangible) of WFS and its Restricted Subsidiaries, on a consolidated basis, without giving effect to any such Investment.</w:t>
      </w:r>
    </w:p>
    <w:p>
      <w:pPr>
        <w:spacing w:after="0" w:line="1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7.03</w:t>
      </w:r>
      <w:r>
        <w:rPr>
          <w:sz w:val="20"/>
          <w:szCs w:val="20"/>
          <w:color w:val="auto"/>
        </w:rPr>
        <w:tab/>
      </w:r>
      <w:r>
        <w:rPr>
          <w:rFonts w:ascii="Arial" w:cs="Arial" w:eastAsia="Arial" w:hAnsi="Arial"/>
          <w:sz w:val="19"/>
          <w:szCs w:val="19"/>
          <w:b w:val="1"/>
          <w:bCs w:val="1"/>
          <w:color w:val="auto"/>
        </w:rPr>
        <w:t>Indebtedness</w:t>
      </w:r>
      <w:r>
        <w:rPr>
          <w:rFonts w:ascii="Arial" w:cs="Arial" w:eastAsia="Arial" w:hAnsi="Arial"/>
          <w:sz w:val="19"/>
          <w:szCs w:val="19"/>
          <w:color w:val="auto"/>
        </w:rPr>
        <w:t>. Create, incur, assume or suffer to exist any Indebtedness, except:</w:t>
      </w:r>
    </w:p>
    <w:p>
      <w:pPr>
        <w:spacing w:after="0" w:line="212" w:lineRule="exact"/>
        <w:rPr>
          <w:sz w:val="20"/>
          <w:szCs w:val="20"/>
          <w:color w:val="auto"/>
        </w:rPr>
      </w:pPr>
    </w:p>
    <w:p>
      <w:pPr>
        <w:ind w:left="1280" w:hanging="635"/>
        <w:spacing w:after="0"/>
        <w:tabs>
          <w:tab w:leader="none" w:pos="12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Indebtedness under the Loan Documents;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54" w:name="page155"/>
    <w:bookmarkEnd w:id="154"/>
    <w:p>
      <w:pPr>
        <w:jc w:val="both"/>
        <w:ind w:firstLine="645"/>
        <w:spacing w:after="0" w:line="273" w:lineRule="auto"/>
        <w:tabs>
          <w:tab w:leader="none" w:pos="150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Indebtedness outstanding on the Closing Date and listed on </w:t>
      </w:r>
      <w:r>
        <w:rPr>
          <w:rFonts w:ascii="Arial" w:cs="Arial" w:eastAsia="Arial" w:hAnsi="Arial"/>
          <w:sz w:val="19"/>
          <w:szCs w:val="19"/>
          <w:u w:val="single" w:color="auto"/>
          <w:color w:val="auto"/>
        </w:rPr>
        <w:t>Schedule 7.03</w:t>
      </w:r>
      <w:r>
        <w:rPr>
          <w:rFonts w:ascii="Arial" w:cs="Arial" w:eastAsia="Arial" w:hAnsi="Arial"/>
          <w:sz w:val="19"/>
          <w:szCs w:val="19"/>
          <w:color w:val="auto"/>
        </w:rPr>
        <w:t xml:space="preserve"> and any refinancings, refundings, renewals or extensions thereof, of Senior Note Indebtedness and of Indebtedness represented by Permitted Convertible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interest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right="20" w:firstLine="645"/>
        <w:spacing w:after="0" w:line="287" w:lineRule="auto"/>
        <w:tabs>
          <w:tab w:leader="none" w:pos="1293"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(i) Indebtedness of a Loan Party owed to another Loan Party, (ii) Indebtedness of a Restricted Subsidiary that is not a Loan Party owed to another Restricted Subsidiary that is not a Loan Party and (iii) any other Indebtedness between a Borrower or any Restricted Subsidiary and another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giving effect to such Indebtedness in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the 75% Guarantor Threshold is satisfied;</w:t>
      </w:r>
    </w:p>
    <w:p>
      <w:pPr>
        <w:spacing w:after="0" w:line="143" w:lineRule="exact"/>
        <w:rPr>
          <w:rFonts w:ascii="Arial" w:cs="Arial" w:eastAsia="Arial" w:hAnsi="Arial"/>
          <w:sz w:val="19"/>
          <w:szCs w:val="19"/>
          <w:color w:val="auto"/>
        </w:rPr>
      </w:pPr>
    </w:p>
    <w:p>
      <w:pPr>
        <w:ind w:right="20" w:firstLine="645"/>
        <w:spacing w:after="0" w:line="251" w:lineRule="auto"/>
        <w:tabs>
          <w:tab w:leader="none" w:pos="130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Guarantees made by any Borrower or any Restricted Subsidiary in respect of Indebtedness of any Loan Party otherwise permitted hereunder;</w:t>
      </w:r>
    </w:p>
    <w:p>
      <w:pPr>
        <w:spacing w:after="0" w:line="173" w:lineRule="exact"/>
        <w:rPr>
          <w:rFonts w:ascii="Arial" w:cs="Arial" w:eastAsia="Arial" w:hAnsi="Arial"/>
          <w:sz w:val="22"/>
          <w:szCs w:val="22"/>
          <w:color w:val="auto"/>
        </w:rPr>
      </w:pPr>
    </w:p>
    <w:p>
      <w:pPr>
        <w:jc w:val="both"/>
        <w:ind w:right="20" w:firstLine="645"/>
        <w:spacing w:after="0" w:line="249" w:lineRule="auto"/>
        <w:tabs>
          <w:tab w:leader="none" w:pos="1293"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obligations (contingent or otherwise) of any Borrower or any Restricted Subsidiary existing or arising under any Swap Contract;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obligations are (or were) entered into by such Person in the ordinary course of business for the purpose of mitigating risks, and not for the sole purpose of speculation or (B) in the event that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does not apply to such obligations, the aggregate amount of such obligations at any one time outstanding shall not exceed a net payable of $50,000,000;</w:t>
      </w:r>
    </w:p>
    <w:p>
      <w:pPr>
        <w:spacing w:after="0" w:line="178" w:lineRule="exact"/>
        <w:rPr>
          <w:rFonts w:ascii="Arial" w:cs="Arial" w:eastAsia="Arial" w:hAnsi="Arial"/>
          <w:sz w:val="21"/>
          <w:szCs w:val="21"/>
          <w:color w:val="auto"/>
        </w:rPr>
      </w:pPr>
    </w:p>
    <w:p>
      <w:pPr>
        <w:jc w:val="both"/>
        <w:ind w:right="20" w:firstLine="645"/>
        <w:spacing w:after="0" w:line="277" w:lineRule="auto"/>
        <w:tabs>
          <w:tab w:leader="none" w:pos="131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(i) Indebtedness in respect of Capital Leases, Synthetic Lease Obligations and purchase money obligations for fixed or capital assets (other than such Indebtedness assumed pursuant to </w:t>
      </w:r>
      <w:r>
        <w:rPr>
          <w:rFonts w:ascii="Arial" w:cs="Arial" w:eastAsia="Arial" w:hAnsi="Arial"/>
          <w:sz w:val="19"/>
          <w:szCs w:val="19"/>
          <w:u w:val="single" w:color="auto"/>
          <w:color w:val="auto"/>
        </w:rPr>
        <w:t>Section 7.03(k)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principal amount of all such Indebtedness at any one time outstanding shall not exceed $100,000,000, and (ii) Indebtedness secured by accounts receivable of WFS and/or any of its Restricted Subsidiaries in an aggregate amount, which together with Dispositions made pursuant to </w:t>
      </w:r>
      <w:r>
        <w:rPr>
          <w:rFonts w:ascii="Arial" w:cs="Arial" w:eastAsia="Arial" w:hAnsi="Arial"/>
          <w:sz w:val="19"/>
          <w:szCs w:val="19"/>
          <w:u w:val="single" w:color="auto"/>
          <w:color w:val="auto"/>
        </w:rPr>
        <w:t>Section 7.05(e)</w:t>
      </w:r>
      <w:r>
        <w:rPr>
          <w:rFonts w:ascii="Arial" w:cs="Arial" w:eastAsia="Arial" w:hAnsi="Arial"/>
          <w:sz w:val="19"/>
          <w:szCs w:val="19"/>
          <w:color w:val="auto"/>
        </w:rPr>
        <w:t>, shall not exceed at any time the greater of (i) $100,000,000 and (ii) twenty percent (20%) of the net book value of accounts receivable of WFS and its Restricted Subsidiaries on a consolidated basis at such time;</w:t>
      </w:r>
    </w:p>
    <w:p>
      <w:pPr>
        <w:spacing w:after="0" w:line="152" w:lineRule="exact"/>
        <w:rPr>
          <w:rFonts w:ascii="Arial" w:cs="Arial" w:eastAsia="Arial" w:hAnsi="Arial"/>
          <w:sz w:val="19"/>
          <w:szCs w:val="19"/>
          <w:color w:val="auto"/>
        </w:rPr>
      </w:pPr>
    </w:p>
    <w:p>
      <w:pPr>
        <w:jc w:val="both"/>
        <w:ind w:right="20" w:firstLine="645"/>
        <w:spacing w:after="0"/>
        <w:tabs>
          <w:tab w:leader="none" w:pos="130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Subordinated Debt, so long as with respect to the Permitted Convertible Notes, immediately before and immediately after the issuance thereof, (i) no Event of Default shall have occurred and be continuing and (ii) the Borrowers shall be in pro forma compliance with </w:t>
      </w:r>
      <w:r>
        <w:rPr>
          <w:rFonts w:ascii="Arial" w:cs="Arial" w:eastAsia="Arial" w:hAnsi="Arial"/>
          <w:sz w:val="22"/>
          <w:szCs w:val="22"/>
          <w:u w:val="single" w:color="auto"/>
          <w:color w:val="auto"/>
        </w:rPr>
        <w:t>Section 7.11</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300" w:hanging="655"/>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to the extent constituting Indebtedness, Investments permitted under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55" w:name="page156"/>
    <w:bookmarkEnd w:id="155"/>
    <w:p>
      <w:pPr>
        <w:ind w:right="20" w:firstLine="645"/>
        <w:spacing w:after="0" w:line="329" w:lineRule="auto"/>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Indebtedness securing Liens permitted by </w:t>
      </w:r>
      <w:r>
        <w:rPr>
          <w:rFonts w:ascii="Arial" w:cs="Arial" w:eastAsia="Arial" w:hAnsi="Arial"/>
          <w:sz w:val="19"/>
          <w:szCs w:val="19"/>
          <w:u w:val="single" w:color="auto"/>
          <w:color w:val="auto"/>
        </w:rPr>
        <w:t>Section 7.01(g)</w:t>
      </w:r>
      <w:r>
        <w:rPr>
          <w:rFonts w:ascii="Arial" w:cs="Arial" w:eastAsia="Arial" w:hAnsi="Arial"/>
          <w:sz w:val="19"/>
          <w:szCs w:val="19"/>
          <w:color w:val="auto"/>
        </w:rPr>
        <w:t xml:space="preserve"> and endorsements for collection, deposit or negotiation and warranties of products or services, in each case incurred in the ordinary course of business;</w:t>
      </w:r>
    </w:p>
    <w:p>
      <w:pPr>
        <w:spacing w:after="0" w:line="103" w:lineRule="exact"/>
        <w:rPr>
          <w:rFonts w:ascii="Arial" w:cs="Arial" w:eastAsia="Arial" w:hAnsi="Arial"/>
          <w:sz w:val="19"/>
          <w:szCs w:val="19"/>
          <w:color w:val="auto"/>
        </w:rPr>
      </w:pPr>
    </w:p>
    <w:p>
      <w:pPr>
        <w:ind w:left="1300" w:hanging="655"/>
        <w:spacing w:after="0"/>
        <w:tabs>
          <w:tab w:leader="none" w:pos="13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Indebtedness under any performance or surety bond entered into in the ordinary course of business;</w:t>
      </w:r>
    </w:p>
    <w:p>
      <w:pPr>
        <w:spacing w:after="0" w:line="240" w:lineRule="exact"/>
        <w:rPr>
          <w:rFonts w:ascii="Arial" w:cs="Arial" w:eastAsia="Arial" w:hAnsi="Arial"/>
          <w:sz w:val="19"/>
          <w:szCs w:val="19"/>
          <w:color w:val="auto"/>
        </w:rPr>
      </w:pPr>
    </w:p>
    <w:p>
      <w:pPr>
        <w:ind w:right="20" w:firstLine="645"/>
        <w:spacing w:after="0" w:line="251" w:lineRule="auto"/>
        <w:tabs>
          <w:tab w:leader="none" w:pos="130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existing Indebtedness of a Person acquired in connection with a Permitted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such Indebtedness was not incurred in anticipation of such Acquisition;</w:t>
      </w:r>
    </w:p>
    <w:p>
      <w:pPr>
        <w:spacing w:after="0" w:line="173" w:lineRule="exact"/>
        <w:rPr>
          <w:rFonts w:ascii="Arial" w:cs="Arial" w:eastAsia="Arial" w:hAnsi="Arial"/>
          <w:sz w:val="22"/>
          <w:szCs w:val="22"/>
          <w:color w:val="auto"/>
        </w:rPr>
      </w:pPr>
    </w:p>
    <w:p>
      <w:pPr>
        <w:jc w:val="both"/>
        <w:ind w:firstLine="645"/>
        <w:spacing w:after="0" w:line="252" w:lineRule="auto"/>
        <w:tabs>
          <w:tab w:leader="none" w:pos="1311"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7.01(n)</w:t>
      </w:r>
      <w:r>
        <w:rPr>
          <w:rFonts w:ascii="Arial" w:cs="Arial" w:eastAsia="Arial" w:hAnsi="Arial"/>
          <w:sz w:val="21"/>
          <w:szCs w:val="21"/>
          <w:color w:val="auto"/>
        </w:rPr>
        <w:t xml:space="preserve">, Capital Leases and purchase money obligations for fixed or capital assets in excess of amounts permitted under </w:t>
      </w:r>
      <w:r>
        <w:rPr>
          <w:rFonts w:ascii="Arial" w:cs="Arial" w:eastAsia="Arial" w:hAnsi="Arial"/>
          <w:sz w:val="21"/>
          <w:szCs w:val="21"/>
          <w:u w:val="single" w:color="auto"/>
          <w:color w:val="auto"/>
        </w:rPr>
        <w:t>Section 7.03(f)</w:t>
      </w:r>
      <w:r>
        <w:rPr>
          <w:rFonts w:ascii="Arial" w:cs="Arial" w:eastAsia="Arial" w:hAnsi="Arial"/>
          <w:sz w:val="21"/>
          <w:szCs w:val="21"/>
          <w:color w:val="auto"/>
        </w:rPr>
        <w:t xml:space="preserve"> (other than any such Indebtedness assumed pursuant to </w:t>
      </w:r>
      <w:r>
        <w:rPr>
          <w:rFonts w:ascii="Arial" w:cs="Arial" w:eastAsia="Arial" w:hAnsi="Arial"/>
          <w:sz w:val="21"/>
          <w:szCs w:val="21"/>
          <w:u w:val="single" w:color="auto"/>
          <w:color w:val="auto"/>
        </w:rPr>
        <w:t>Section 7.03(k)</w:t>
      </w:r>
      <w:r>
        <w:rPr>
          <w:rFonts w:ascii="Arial" w:cs="Arial" w:eastAsia="Arial" w:hAnsi="Arial"/>
          <w:sz w:val="21"/>
          <w:szCs w:val="21"/>
          <w:color w:val="auto"/>
        </w:rPr>
        <w:t xml:space="preserve">) and other secured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aggregate principal amount of such Indebtedness at any one time outstanding shall not exceed $40,000,000;</w:t>
      </w:r>
    </w:p>
    <w:p>
      <w:pPr>
        <w:spacing w:after="0" w:line="174" w:lineRule="exact"/>
        <w:rPr>
          <w:rFonts w:ascii="Arial" w:cs="Arial" w:eastAsia="Arial" w:hAnsi="Arial"/>
          <w:sz w:val="21"/>
          <w:szCs w:val="21"/>
          <w:color w:val="auto"/>
        </w:rPr>
      </w:pPr>
    </w:p>
    <w:p>
      <w:pPr>
        <w:jc w:val="both"/>
        <w:ind w:right="20" w:firstLine="645"/>
        <w:spacing w:after="0" w:line="297" w:lineRule="auto"/>
        <w:tabs>
          <w:tab w:leader="none" w:pos="133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unsecured Indebtedness not otherwise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before and immediately after giving effect to any incurrence of such Indebtedness (A) no Default shall have occurred and be continuing, and (B) the Borrowers are in compliance with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1300" w:hanging="655"/>
        <w:spacing w:after="0"/>
        <w:tabs>
          <w:tab w:leader="none" w:pos="13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WFS Working Capital Guarantee;</w:t>
      </w:r>
    </w:p>
    <w:p>
      <w:pPr>
        <w:spacing w:after="0" w:line="206" w:lineRule="exact"/>
        <w:rPr>
          <w:rFonts w:ascii="Arial" w:cs="Arial" w:eastAsia="Arial" w:hAnsi="Arial"/>
          <w:sz w:val="22"/>
          <w:szCs w:val="22"/>
          <w:color w:val="auto"/>
        </w:rPr>
      </w:pPr>
    </w:p>
    <w:p>
      <w:pPr>
        <w:ind w:left="1300" w:hanging="655"/>
        <w:spacing w:after="0"/>
        <w:tabs>
          <w:tab w:leader="none" w:pos="13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Indebtedness arising under any Permitted Call Spread Swap Agreement;</w:t>
      </w:r>
    </w:p>
    <w:p>
      <w:pPr>
        <w:spacing w:after="0" w:line="206" w:lineRule="exact"/>
        <w:rPr>
          <w:rFonts w:ascii="Arial" w:cs="Arial" w:eastAsia="Arial" w:hAnsi="Arial"/>
          <w:sz w:val="22"/>
          <w:szCs w:val="22"/>
          <w:color w:val="auto"/>
        </w:rPr>
      </w:pPr>
    </w:p>
    <w:p>
      <w:pPr>
        <w:jc w:val="both"/>
        <w:ind w:right="20" w:firstLine="645"/>
        <w:spacing w:after="0" w:line="282" w:lineRule="auto"/>
        <w:tabs>
          <w:tab w:leader="none" w:pos="130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the Senior Note Indebtedness, so long as (i) no Default shall exist or would occur as a result from the incurrence of such Indebtedness, (ii) after giving pro forma effect to the incurrence of such Indebtedness, the Consolidated Total Leverage Ratio shall be less than </w:t>
      </w:r>
      <w:r>
        <w:rPr>
          <w:rFonts w:ascii="Arial" w:cs="Arial" w:eastAsia="Arial" w:hAnsi="Arial"/>
          <w:sz w:val="19"/>
          <w:szCs w:val="19"/>
          <w:u w:val="single" w:color="auto"/>
          <w:color w:val="auto"/>
        </w:rPr>
        <w:t>3.25</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1.00</w:t>
      </w:r>
      <w:r>
        <w:rPr>
          <w:rFonts w:ascii="Arial" w:cs="Arial" w:eastAsia="Arial" w:hAnsi="Arial"/>
          <w:sz w:val="19"/>
          <w:szCs w:val="19"/>
          <w:color w:val="auto"/>
        </w:rPr>
        <w:t xml:space="preserve"> (or for the period from January 1, 2015 to September 29, 2016, less than </w:t>
      </w:r>
      <w:r>
        <w:rPr>
          <w:rFonts w:ascii="Arial" w:cs="Arial" w:eastAsia="Arial" w:hAnsi="Arial"/>
          <w:sz w:val="19"/>
          <w:szCs w:val="19"/>
          <w:u w:val="single" w:color="auto"/>
          <w:color w:val="auto"/>
        </w:rPr>
        <w:t>3.50</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1.00</w:t>
      </w:r>
      <w:r>
        <w:rPr>
          <w:rFonts w:ascii="Arial" w:cs="Arial" w:eastAsia="Arial" w:hAnsi="Arial"/>
          <w:sz w:val="19"/>
          <w:szCs w:val="19"/>
          <w:color w:val="auto"/>
        </w:rPr>
        <w:t xml:space="preserve">), and (iii) such secured Indebtedness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is junior in right of payment to the Indebtedness under this Agreement and is subject to an Intercreditor Agreement; and</w:t>
      </w:r>
    </w:p>
    <w:p>
      <w:pPr>
        <w:spacing w:after="0" w:line="147" w:lineRule="exact"/>
        <w:rPr>
          <w:rFonts w:ascii="Arial" w:cs="Arial" w:eastAsia="Arial" w:hAnsi="Arial"/>
          <w:sz w:val="19"/>
          <w:szCs w:val="19"/>
          <w:color w:val="auto"/>
        </w:rPr>
      </w:pPr>
    </w:p>
    <w:p>
      <w:pPr>
        <w:jc w:val="both"/>
        <w:ind w:firstLine="645"/>
        <w:spacing w:after="0" w:line="234" w:lineRule="auto"/>
        <w:tabs>
          <w:tab w:leader="none" w:pos="130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inventory financing Indebtedness so long as (i) no Default shall exist or would occur as a result of the incurrence of such Indebtedness and (ii) such Indebtedness is secured solely by a Lien on inventory of WFS and/or any of its Restricted Subsidiaries that is financed by and identified to such Indebtedness by unit and/or grade and/or other identifying characteristic;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aggregate principal amount of all such Indebtedness at any time outstanding shall not exceed the greater of (A) $100,000,000, and (B) twenty-five percent (25%) of the net book value of inventory of WFS and its Restricted Subsidiaries on a consolidated basis at the time of such incurrence.</w:t>
      </w:r>
    </w:p>
    <w:p>
      <w:pPr>
        <w:spacing w:after="0" w:line="185" w:lineRule="exact"/>
        <w:rPr>
          <w:sz w:val="20"/>
          <w:szCs w:val="20"/>
          <w:color w:val="auto"/>
        </w:rPr>
      </w:pPr>
    </w:p>
    <w:p>
      <w:pPr>
        <w:jc w:val="both"/>
        <w:ind w:left="20" w:right="20" w:firstLine="648"/>
        <w:spacing w:after="0" w:line="239" w:lineRule="auto"/>
        <w:rPr>
          <w:sz w:val="20"/>
          <w:szCs w:val="20"/>
          <w:color w:val="auto"/>
        </w:rPr>
      </w:pPr>
      <w:r>
        <w:rPr>
          <w:rFonts w:ascii="Arial" w:cs="Arial" w:eastAsia="Arial" w:hAnsi="Arial"/>
          <w:sz w:val="22"/>
          <w:szCs w:val="22"/>
          <w:b w:val="1"/>
          <w:bCs w:val="1"/>
          <w:color w:val="auto"/>
        </w:rPr>
        <w:t>7.04 Fundamental Changes</w:t>
      </w:r>
      <w:r>
        <w:rPr>
          <w:rFonts w:ascii="Arial" w:cs="Arial" w:eastAsia="Arial" w:hAnsi="Arial"/>
          <w:sz w:val="22"/>
          <w:szCs w:val="22"/>
          <w:color w:val="auto"/>
        </w:rPr>
        <w:t>. Merge, dissolve, liquidate, consolidate with or into another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7" w:lineRule="exact"/>
        <w:rPr>
          <w:sz w:val="20"/>
          <w:szCs w:val="20"/>
          <w:color w:val="auto"/>
        </w:rPr>
      </w:pPr>
    </w:p>
    <w:p>
      <w:pPr>
        <w:ind w:right="20" w:firstLine="645"/>
        <w:spacing w:after="0" w:line="251" w:lineRule="auto"/>
        <w:tabs>
          <w:tab w:leader="none" w:pos="1293"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any Restricted Subsidiary may merge with (i) any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Borrower shall be the continuing or surviving Person, or (ii) any one or more other Restricted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56" w:name="page157"/>
    <w:bookmarkEnd w:id="156"/>
    <w:p>
      <w:pPr>
        <w:ind w:left="4"/>
        <w:spacing w:after="0"/>
        <w:rPr>
          <w:sz w:val="20"/>
          <w:szCs w:val="20"/>
          <w:color w:val="auto"/>
        </w:rPr>
      </w:pPr>
      <w:r>
        <w:rPr>
          <w:rFonts w:ascii="Arial" w:cs="Arial" w:eastAsia="Arial" w:hAnsi="Arial"/>
          <w:sz w:val="21"/>
          <w:szCs w:val="21"/>
          <w:color w:val="auto"/>
        </w:rPr>
        <w:t xml:space="preserve">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after giving effect to such merger, the 75% Guarantor Threshold is satisfied; and</w:t>
      </w:r>
    </w:p>
    <w:p>
      <w:pPr>
        <w:spacing w:after="0" w:line="218" w:lineRule="exact"/>
        <w:rPr>
          <w:sz w:val="20"/>
          <w:szCs w:val="20"/>
          <w:color w:val="auto"/>
        </w:rPr>
      </w:pPr>
    </w:p>
    <w:p>
      <w:pPr>
        <w:jc w:val="both"/>
        <w:ind w:left="4" w:right="20" w:firstLine="645"/>
        <w:spacing w:after="0"/>
        <w:tabs>
          <w:tab w:leader="none" w:pos="130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 xml:space="preserve">any Restricted Subsidiary may Dispose of all or substantially all of its assets (upon voluntary liquidation or otherwise) to any Borrower or to another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to such Disposition, the 75% Guarantor Threshold is satisfied.</w:t>
      </w:r>
    </w:p>
    <w:p>
      <w:pPr>
        <w:spacing w:after="0" w:line="180" w:lineRule="exact"/>
        <w:rPr>
          <w:sz w:val="20"/>
          <w:szCs w:val="20"/>
          <w:color w:val="auto"/>
        </w:rPr>
      </w:pPr>
    </w:p>
    <w:p>
      <w:pPr>
        <w:ind w:left="664"/>
        <w:spacing w:after="0"/>
        <w:tabs>
          <w:tab w:leader="none" w:pos="1323"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Dispositions</w:t>
      </w:r>
      <w:r>
        <w:rPr>
          <w:rFonts w:ascii="Arial" w:cs="Arial" w:eastAsia="Arial" w:hAnsi="Arial"/>
          <w:sz w:val="19"/>
          <w:szCs w:val="19"/>
          <w:color w:val="auto"/>
        </w:rPr>
        <w:t>. Make any Disposition or enter into any agreement to make any Disposition, except:</w:t>
      </w:r>
    </w:p>
    <w:p>
      <w:pPr>
        <w:spacing w:after="0" w:line="212" w:lineRule="exact"/>
        <w:rPr>
          <w:sz w:val="20"/>
          <w:szCs w:val="20"/>
          <w:color w:val="auto"/>
        </w:rPr>
      </w:pPr>
    </w:p>
    <w:p>
      <w:pPr>
        <w:ind w:left="1284" w:hanging="635"/>
        <w:spacing w:after="0"/>
        <w:tabs>
          <w:tab w:leader="none" w:pos="1284" w:val="left"/>
        </w:tabs>
        <w:numPr>
          <w:ilvl w:val="1"/>
          <w:numId w:val="162"/>
        </w:numPr>
        <w:rPr>
          <w:rFonts w:ascii="Arial" w:cs="Arial" w:eastAsia="Arial" w:hAnsi="Arial"/>
          <w:sz w:val="22"/>
          <w:szCs w:val="22"/>
          <w:color w:val="auto"/>
        </w:rPr>
      </w:pPr>
      <w:r>
        <w:rPr>
          <w:rFonts w:ascii="Arial" w:cs="Arial" w:eastAsia="Arial" w:hAnsi="Arial"/>
          <w:sz w:val="22"/>
          <w:szCs w:val="22"/>
          <w:color w:val="auto"/>
        </w:rPr>
        <w:t>Dispositions of obsolete or worn out property, whether now owned or hereafter acquired;</w:t>
      </w:r>
    </w:p>
    <w:p>
      <w:pPr>
        <w:spacing w:after="0" w:line="206" w:lineRule="exact"/>
        <w:rPr>
          <w:rFonts w:ascii="Arial" w:cs="Arial" w:eastAsia="Arial" w:hAnsi="Arial"/>
          <w:sz w:val="22"/>
          <w:szCs w:val="22"/>
          <w:color w:val="auto"/>
        </w:rPr>
      </w:pPr>
    </w:p>
    <w:p>
      <w:pPr>
        <w:ind w:left="1304" w:hanging="655"/>
        <w:spacing w:after="0"/>
        <w:tabs>
          <w:tab w:leader="none" w:pos="1304" w:val="left"/>
        </w:tabs>
        <w:numPr>
          <w:ilvl w:val="1"/>
          <w:numId w:val="162"/>
        </w:numPr>
        <w:rPr>
          <w:rFonts w:ascii="Arial" w:cs="Arial" w:eastAsia="Arial" w:hAnsi="Arial"/>
          <w:sz w:val="22"/>
          <w:szCs w:val="22"/>
          <w:color w:val="auto"/>
        </w:rPr>
      </w:pPr>
      <w:r>
        <w:rPr>
          <w:rFonts w:ascii="Arial" w:cs="Arial" w:eastAsia="Arial" w:hAnsi="Arial"/>
          <w:sz w:val="22"/>
          <w:szCs w:val="22"/>
          <w:color w:val="auto"/>
        </w:rPr>
        <w:t>Dispositions of inventory in the ordinary course of business;</w:t>
      </w:r>
    </w:p>
    <w:p>
      <w:pPr>
        <w:spacing w:after="0" w:line="206" w:lineRule="exact"/>
        <w:rPr>
          <w:rFonts w:ascii="Arial" w:cs="Arial" w:eastAsia="Arial" w:hAnsi="Arial"/>
          <w:sz w:val="22"/>
          <w:szCs w:val="22"/>
          <w:color w:val="auto"/>
        </w:rPr>
      </w:pPr>
    </w:p>
    <w:p>
      <w:pPr>
        <w:jc w:val="both"/>
        <w:ind w:left="4" w:right="20" w:firstLine="645"/>
        <w:spacing w:after="0"/>
        <w:tabs>
          <w:tab w:leader="none" w:pos="129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spacing w:after="0" w:line="186" w:lineRule="exact"/>
        <w:rPr>
          <w:rFonts w:ascii="Arial" w:cs="Arial" w:eastAsia="Arial" w:hAnsi="Arial"/>
          <w:sz w:val="22"/>
          <w:szCs w:val="22"/>
          <w:color w:val="auto"/>
        </w:rPr>
      </w:pPr>
    </w:p>
    <w:p>
      <w:pPr>
        <w:jc w:val="both"/>
        <w:ind w:left="4" w:firstLine="645"/>
        <w:spacing w:after="0"/>
        <w:tabs>
          <w:tab w:leader="none" w:pos="1309" w:val="left"/>
        </w:tabs>
        <w:numPr>
          <w:ilvl w:val="1"/>
          <w:numId w:val="162"/>
        </w:numPr>
        <w:rPr>
          <w:rFonts w:ascii="Arial" w:cs="Arial" w:eastAsia="Arial" w:hAnsi="Arial"/>
          <w:sz w:val="22"/>
          <w:szCs w:val="22"/>
          <w:color w:val="auto"/>
        </w:rPr>
      </w:pPr>
      <w:r>
        <w:rPr>
          <w:rFonts w:ascii="Arial" w:cs="Arial" w:eastAsia="Arial" w:hAnsi="Arial"/>
          <w:sz w:val="22"/>
          <w:szCs w:val="22"/>
          <w:color w:val="auto"/>
        </w:rPr>
        <w:t xml:space="preserve">Dispositions of property by any Borrower or any Restricted Subsidiary to any other Borrower or to any 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to such Disposition, the 75% Guarantor Threshold set forth in </w:t>
      </w:r>
      <w:r>
        <w:rPr>
          <w:rFonts w:ascii="Arial" w:cs="Arial" w:eastAsia="Arial" w:hAnsi="Arial"/>
          <w:sz w:val="22"/>
          <w:szCs w:val="22"/>
          <w:u w:val="single" w:color="auto"/>
          <w:color w:val="auto"/>
        </w:rPr>
        <w:t>Section 6.12(b)</w:t>
      </w:r>
      <w:r>
        <w:rPr>
          <w:rFonts w:ascii="Arial" w:cs="Arial" w:eastAsia="Arial" w:hAnsi="Arial"/>
          <w:sz w:val="22"/>
          <w:szCs w:val="22"/>
          <w:color w:val="auto"/>
        </w:rPr>
        <w:t xml:space="preserve"> is satisfied;</w:t>
      </w:r>
    </w:p>
    <w:p>
      <w:pPr>
        <w:spacing w:after="0" w:line="186" w:lineRule="exact"/>
        <w:rPr>
          <w:rFonts w:ascii="Arial" w:cs="Arial" w:eastAsia="Arial" w:hAnsi="Arial"/>
          <w:sz w:val="22"/>
          <w:szCs w:val="22"/>
          <w:color w:val="auto"/>
        </w:rPr>
      </w:pPr>
    </w:p>
    <w:p>
      <w:pPr>
        <w:jc w:val="both"/>
        <w:ind w:left="4" w:right="20" w:firstLine="645"/>
        <w:spacing w:after="0" w:line="276" w:lineRule="auto"/>
        <w:tabs>
          <w:tab w:leader="none" w:pos="1297" w:val="left"/>
        </w:tabs>
        <w:numPr>
          <w:ilvl w:val="1"/>
          <w:numId w:val="162"/>
        </w:numPr>
        <w:rPr>
          <w:rFonts w:ascii="Arial" w:cs="Arial" w:eastAsia="Arial" w:hAnsi="Arial"/>
          <w:sz w:val="19"/>
          <w:szCs w:val="19"/>
          <w:color w:val="auto"/>
        </w:rPr>
      </w:pPr>
      <w:r>
        <w:rPr>
          <w:rFonts w:ascii="Arial" w:cs="Arial" w:eastAsia="Arial" w:hAnsi="Arial"/>
          <w:sz w:val="19"/>
          <w:szCs w:val="19"/>
          <w:color w:val="auto"/>
        </w:rPr>
        <w:t xml:space="preserve">Dispositions of accounts receivable on a non-recourse, non-bulk sale basis in an aggregate amount which, together with Indebtedness incurred pursuant to </w:t>
      </w:r>
      <w:r>
        <w:rPr>
          <w:rFonts w:ascii="Arial" w:cs="Arial" w:eastAsia="Arial" w:hAnsi="Arial"/>
          <w:sz w:val="19"/>
          <w:szCs w:val="19"/>
          <w:u w:val="single" w:color="auto"/>
          <w:color w:val="auto"/>
        </w:rPr>
        <w:t>Section 7.03(f)(ii)</w:t>
      </w:r>
      <w:r>
        <w:rPr>
          <w:rFonts w:ascii="Arial" w:cs="Arial" w:eastAsia="Arial" w:hAnsi="Arial"/>
          <w:sz w:val="19"/>
          <w:szCs w:val="19"/>
          <w:color w:val="auto"/>
        </w:rPr>
        <w:t>, shall not exceed at any time the greater of</w:t>
      </w:r>
    </w:p>
    <w:p>
      <w:pPr>
        <w:spacing w:after="0" w:line="1" w:lineRule="exact"/>
        <w:rPr>
          <w:rFonts w:ascii="Arial" w:cs="Arial" w:eastAsia="Arial" w:hAnsi="Arial"/>
          <w:sz w:val="19"/>
          <w:szCs w:val="19"/>
          <w:color w:val="auto"/>
        </w:rPr>
      </w:pPr>
    </w:p>
    <w:p>
      <w:pPr>
        <w:ind w:left="4" w:hanging="4"/>
        <w:spacing w:after="0" w:line="237" w:lineRule="auto"/>
        <w:tabs>
          <w:tab w:leader="none" w:pos="26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$100,000,000 or (ii) twenty percent (20%) of the net book value of accounts receivable of WFS and its Restricted Subsidiaries on a consolidated basis at such time;</w:t>
      </w:r>
    </w:p>
    <w:p>
      <w:pPr>
        <w:spacing w:after="0" w:line="184" w:lineRule="exact"/>
        <w:rPr>
          <w:rFonts w:ascii="Arial" w:cs="Arial" w:eastAsia="Arial" w:hAnsi="Arial"/>
          <w:sz w:val="22"/>
          <w:szCs w:val="22"/>
          <w:color w:val="auto"/>
        </w:rPr>
      </w:pPr>
    </w:p>
    <w:p>
      <w:pPr>
        <w:ind w:left="1304" w:hanging="655"/>
        <w:spacing w:after="0"/>
        <w:tabs>
          <w:tab w:leader="none" w:pos="130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 xml:space="preserve">Dispositions permitted by </w:t>
      </w:r>
      <w:r>
        <w:rPr>
          <w:rFonts w:ascii="Arial" w:cs="Arial" w:eastAsia="Arial" w:hAnsi="Arial"/>
          <w:sz w:val="22"/>
          <w:szCs w:val="22"/>
          <w:u w:val="single" w:color="auto"/>
          <w:color w:val="auto"/>
        </w:rPr>
        <w:t>Section 7.04</w:t>
      </w: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jc w:val="both"/>
        <w:ind w:left="4" w:right="20" w:firstLine="645"/>
        <w:spacing w:after="0" w:line="236" w:lineRule="auto"/>
        <w:tabs>
          <w:tab w:leader="none" w:pos="1309" w:val="left"/>
        </w:tabs>
        <w:numPr>
          <w:ilvl w:val="1"/>
          <w:numId w:val="163"/>
        </w:numPr>
        <w:rPr>
          <w:rFonts w:ascii="Arial" w:cs="Arial" w:eastAsia="Arial" w:hAnsi="Arial"/>
          <w:sz w:val="22"/>
          <w:szCs w:val="22"/>
          <w:color w:val="auto"/>
        </w:rPr>
      </w:pPr>
      <w:r>
        <w:rPr>
          <w:rFonts w:ascii="Arial" w:cs="Arial" w:eastAsia="Arial" w:hAnsi="Arial"/>
          <w:sz w:val="22"/>
          <w:szCs w:val="22"/>
          <w:color w:val="auto"/>
        </w:rPr>
        <w:t xml:space="preserve">Dispositions not otherwise permitted under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at the time of such Disposition, no Default shall exist or would result from such Disposition, (ii) the aggregate book value of all property Disposed of in reliance on this </w:t>
      </w:r>
      <w:r>
        <w:rPr>
          <w:rFonts w:ascii="Arial" w:cs="Arial" w:eastAsia="Arial" w:hAnsi="Arial"/>
          <w:sz w:val="22"/>
          <w:szCs w:val="22"/>
          <w:u w:val="single" w:color="auto"/>
          <w:color w:val="auto"/>
        </w:rPr>
        <w:t>clause (g)</w:t>
      </w:r>
      <w:r>
        <w:rPr>
          <w:rFonts w:ascii="Arial" w:cs="Arial" w:eastAsia="Arial" w:hAnsi="Arial"/>
          <w:sz w:val="22"/>
          <w:szCs w:val="22"/>
          <w:color w:val="auto"/>
        </w:rPr>
        <w:t xml:space="preserve"> in any fiscal year of WFS shall not exceed 10% of the aggregate book value of tangible assets of WFS and its Restricted Subsidiaries on a consolidated basis as of the end of WFS’s most recently completed fiscal year.</w:t>
      </w:r>
    </w:p>
    <w:p>
      <w:pPr>
        <w:spacing w:after="0" w:line="182" w:lineRule="exact"/>
        <w:rPr>
          <w:sz w:val="20"/>
          <w:szCs w:val="20"/>
          <w:color w:val="auto"/>
        </w:rPr>
      </w:pPr>
    </w:p>
    <w:p>
      <w:pPr>
        <w:jc w:val="both"/>
        <w:ind w:left="24" w:right="20" w:firstLine="648"/>
        <w:spacing w:after="0" w:line="243" w:lineRule="auto"/>
        <w:rPr>
          <w:sz w:val="20"/>
          <w:szCs w:val="20"/>
          <w:color w:val="auto"/>
        </w:rPr>
      </w:pPr>
      <w:r>
        <w:rPr>
          <w:rFonts w:ascii="Arial" w:cs="Arial" w:eastAsia="Arial" w:hAnsi="Arial"/>
          <w:sz w:val="22"/>
          <w:szCs w:val="22"/>
          <w:b w:val="1"/>
          <w:bCs w:val="1"/>
          <w:color w:val="auto"/>
        </w:rPr>
        <w:t>7.06 Restricted Payments</w:t>
      </w:r>
      <w:r>
        <w:rPr>
          <w:rFonts w:ascii="Arial" w:cs="Arial" w:eastAsia="Arial" w:hAnsi="Arial"/>
          <w:sz w:val="22"/>
          <w:szCs w:val="22"/>
          <w:color w:val="auto"/>
        </w:rPr>
        <w:t>. Declare or make, directly or indirectly, any Restricted Payment, or incur any</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(contingent or otherwise) to do so, except that, so long as no Default shall have occurred and be continuing at the time of any action described below or would result therefrom:</w:t>
      </w:r>
    </w:p>
    <w:p>
      <w:pPr>
        <w:spacing w:after="0" w:line="183" w:lineRule="exact"/>
        <w:rPr>
          <w:sz w:val="20"/>
          <w:szCs w:val="20"/>
          <w:color w:val="auto"/>
        </w:rPr>
      </w:pPr>
    </w:p>
    <w:p>
      <w:pPr>
        <w:jc w:val="both"/>
        <w:ind w:left="4" w:right="20" w:firstLine="645"/>
        <w:spacing w:after="0" w:line="258" w:lineRule="auto"/>
        <w:tabs>
          <w:tab w:leader="none" w:pos="1297" w:val="left"/>
        </w:tabs>
        <w:numPr>
          <w:ilvl w:val="0"/>
          <w:numId w:val="164"/>
        </w:numPr>
        <w:rPr>
          <w:rFonts w:ascii="Arial" w:cs="Arial" w:eastAsia="Arial" w:hAnsi="Arial"/>
          <w:sz w:val="21"/>
          <w:szCs w:val="21"/>
          <w:color w:val="auto"/>
        </w:rPr>
      </w:pPr>
      <w:r>
        <w:rPr>
          <w:rFonts w:ascii="Arial" w:cs="Arial" w:eastAsia="Arial" w:hAnsi="Arial"/>
          <w:sz w:val="21"/>
          <w:szCs w:val="21"/>
          <w:color w:val="auto"/>
        </w:rPr>
        <w:t>any Restricted Subsidiary may make Restricted Payments to any Borrower, any Guarantor or any other Person that owns an Equity Interest in such Restricted Subsidiary, ratably according to their respective holdings of the type of Equity Interest in respect of which such Restricted Payment is being made;</w:t>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57" w:name="page158"/>
    <w:bookmarkEnd w:id="157"/>
    <w:p>
      <w:pPr>
        <w:ind w:left="4" w:right="20" w:firstLine="645"/>
        <w:spacing w:after="0" w:line="274" w:lineRule="auto"/>
        <w:tabs>
          <w:tab w:leader="none" w:pos="1512" w:val="left"/>
        </w:tabs>
        <w:numPr>
          <w:ilvl w:val="0"/>
          <w:numId w:val="165"/>
        </w:numPr>
        <w:rPr>
          <w:rFonts w:ascii="Arial" w:cs="Arial" w:eastAsia="Arial" w:hAnsi="Arial"/>
          <w:sz w:val="21"/>
          <w:szCs w:val="21"/>
          <w:color w:val="auto"/>
        </w:rPr>
      </w:pPr>
      <w:r>
        <w:rPr>
          <w:rFonts w:ascii="Arial" w:cs="Arial" w:eastAsia="Arial" w:hAnsi="Arial"/>
          <w:sz w:val="21"/>
          <w:szCs w:val="21"/>
          <w:color w:val="auto"/>
        </w:rPr>
        <w:t>any Borrower or any Restricted Subsidiary may declare and make dividend payments or other distributions payable solely in the common stock or other common Equity Interests of such Person;</w:t>
      </w:r>
    </w:p>
    <w:p>
      <w:pPr>
        <w:spacing w:after="0" w:line="151" w:lineRule="exact"/>
        <w:rPr>
          <w:rFonts w:ascii="Arial" w:cs="Arial" w:eastAsia="Arial" w:hAnsi="Arial"/>
          <w:sz w:val="21"/>
          <w:szCs w:val="21"/>
          <w:color w:val="auto"/>
        </w:rPr>
      </w:pPr>
    </w:p>
    <w:p>
      <w:pPr>
        <w:jc w:val="both"/>
        <w:ind w:left="4" w:right="20" w:firstLine="645"/>
        <w:spacing w:after="0"/>
        <w:tabs>
          <w:tab w:leader="none" w:pos="129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Borrower or any Restricted Subsidiary may purchase, redeem or otherwise acquire Equity Interests issued by it with the proceeds received from the substantially concurrent issue of new shares of its common stock or other common Equity Interests;</w:t>
      </w:r>
    </w:p>
    <w:p>
      <w:pPr>
        <w:spacing w:after="0" w:line="186" w:lineRule="exact"/>
        <w:rPr>
          <w:sz w:val="20"/>
          <w:szCs w:val="20"/>
          <w:color w:val="auto"/>
        </w:rPr>
      </w:pPr>
    </w:p>
    <w:p>
      <w:pPr>
        <w:ind w:left="644"/>
        <w:spacing w:after="0"/>
        <w:tabs>
          <w:tab w:leader="none" w:pos="1283" w:val="left"/>
          <w:tab w:leader="none" w:pos="1903" w:val="left"/>
          <w:tab w:leader="none" w:pos="2443" w:val="left"/>
          <w:tab w:leader="none" w:pos="3083" w:val="left"/>
          <w:tab w:leader="none" w:pos="4143" w:val="left"/>
          <w:tab w:leader="none" w:pos="5163" w:val="left"/>
          <w:tab w:leader="none" w:pos="5503" w:val="left"/>
          <w:tab w:leader="none" w:pos="5883" w:val="left"/>
          <w:tab w:leader="none" w:pos="6903" w:val="left"/>
          <w:tab w:leader="none" w:pos="7723" w:val="left"/>
          <w:tab w:leader="none" w:pos="8163" w:val="left"/>
          <w:tab w:leader="none" w:pos="8503" w:val="left"/>
          <w:tab w:leader="none" w:pos="9283" w:val="left"/>
          <w:tab w:leader="none" w:pos="9723"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WFS</w:t>
        <w:tab/>
        <w:t>may</w:t>
        <w:tab/>
        <w:t>make</w:t>
        <w:tab/>
        <w:t>Restricted</w:t>
        <w:tab/>
        <w:t>Payments</w:t>
        <w:tab/>
        <w:t>in</w:t>
        <w:tab/>
        <w:t>an</w:t>
        <w:tab/>
        <w:t>aggregate</w:t>
        <w:tab/>
        <w:t>amount</w:t>
        <w:tab/>
        <w:t>not</w:t>
        <w:tab/>
        <w:t>to</w:t>
        <w:tab/>
        <w:t>exceed</w:t>
        <w:tab/>
        <w:t>the</w:t>
      </w:r>
      <w:r>
        <w:rPr>
          <w:sz w:val="20"/>
          <w:szCs w:val="20"/>
          <w:color w:val="auto"/>
        </w:rPr>
        <w:tab/>
      </w:r>
      <w:r>
        <w:rPr>
          <w:rFonts w:ascii="Arial" w:cs="Arial" w:eastAsia="Arial" w:hAnsi="Arial"/>
          <w:sz w:val="19"/>
          <w:szCs w:val="19"/>
          <w:color w:val="auto"/>
        </w:rPr>
        <w:t>sum</w:t>
      </w:r>
    </w:p>
    <w:p>
      <w:pPr>
        <w:spacing w:after="0" w:line="8"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of:  (i) $50,000,000,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50% of the cumulative Consolidated Net Income calculated for each  fiscal quarter</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beginning with the fiscal quarter ended March 31, 2010(with amounts  continuing to increase (or if Consolidated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auto"/>
        </w:rPr>
        <w:t>Net Income for a fiscal quarter is negative, decrease, as applicable) the amount of Restricted Payments permitted by</w:t>
      </w:r>
    </w:p>
    <w:p>
      <w:pPr>
        <w:spacing w:after="0" w:line="25" w:lineRule="exact"/>
        <w:rPr>
          <w:sz w:val="20"/>
          <w:szCs w:val="20"/>
          <w:color w:val="auto"/>
        </w:rPr>
      </w:pPr>
    </w:p>
    <w:p>
      <w:pPr>
        <w:ind w:left="4"/>
        <w:spacing w:after="0"/>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100% of the net proceeds of all Equity Issuances made after the Closing Date;</w:t>
      </w:r>
    </w:p>
    <w:p>
      <w:pPr>
        <w:spacing w:after="0" w:line="188" w:lineRule="exact"/>
        <w:rPr>
          <w:sz w:val="20"/>
          <w:szCs w:val="20"/>
          <w:color w:val="auto"/>
        </w:rPr>
      </w:pPr>
    </w:p>
    <w:p>
      <w:pPr>
        <w:jc w:val="both"/>
        <w:ind w:left="4" w:firstLine="645"/>
        <w:spacing w:after="0" w:line="244" w:lineRule="auto"/>
        <w:tabs>
          <w:tab w:leader="none" w:pos="1297" w:val="left"/>
        </w:tabs>
        <w:numPr>
          <w:ilvl w:val="1"/>
          <w:numId w:val="166"/>
        </w:numPr>
        <w:rPr>
          <w:rFonts w:ascii="Arial" w:cs="Arial" w:eastAsia="Arial" w:hAnsi="Arial"/>
          <w:sz w:val="21"/>
          <w:szCs w:val="21"/>
          <w:color w:val="auto"/>
        </w:rPr>
      </w:pPr>
      <w:r>
        <w:rPr>
          <w:rFonts w:ascii="Arial" w:cs="Arial" w:eastAsia="Arial" w:hAnsi="Arial"/>
          <w:sz w:val="21"/>
          <w:szCs w:val="21"/>
          <w:color w:val="auto"/>
        </w:rPr>
        <w:t xml:space="preserve">WFS may (i) at its option, prepay or exercise any call or cash settlement option held by it with respect to Permitted Convertible Notes or any portion thereof and (ii) fulfill its obligation with respect to a put right (as opposed to a conversion right) exercised by a holder of Permitted Convertible Notes, in each case, so long as (A) immediately after giving effect to any such prepayment or call or cash settlement, Available Liquidity is at least $300,000,000, (B) after giving pro forma effect to any such prepayment or call or cash settlement, the Consolidated Senior Leverage Ratio is not greater than </w:t>
      </w:r>
      <w:r>
        <w:rPr>
          <w:rFonts w:ascii="Arial" w:cs="Arial" w:eastAsia="Arial" w:hAnsi="Arial"/>
          <w:sz w:val="21"/>
          <w:szCs w:val="21"/>
          <w:u w:val="single" w:color="auto"/>
          <w:color w:val="auto"/>
        </w:rPr>
        <w:t>3.50</w:t>
      </w:r>
      <w:r>
        <w:rPr>
          <w:rFonts w:ascii="Arial" w:cs="Arial" w:eastAsia="Arial" w:hAnsi="Arial"/>
          <w:sz w:val="21"/>
          <w:szCs w:val="21"/>
          <w:color w:val="auto"/>
        </w:rPr>
        <w:t xml:space="preserve"> to </w:t>
      </w:r>
      <w:r>
        <w:rPr>
          <w:rFonts w:ascii="Arial" w:cs="Arial" w:eastAsia="Arial" w:hAnsi="Arial"/>
          <w:sz w:val="21"/>
          <w:szCs w:val="21"/>
          <w:u w:val="single" w:color="auto"/>
          <w:color w:val="auto"/>
        </w:rPr>
        <w:t>1.00</w:t>
      </w:r>
      <w:r>
        <w:rPr>
          <w:rFonts w:ascii="Arial" w:cs="Arial" w:eastAsia="Arial" w:hAnsi="Arial"/>
          <w:sz w:val="21"/>
          <w:szCs w:val="21"/>
          <w:color w:val="auto"/>
        </w:rPr>
        <w:t xml:space="preserve"> (or for the period from January 1, 2015 to September 29, 2016, not greater than </w:t>
      </w:r>
      <w:r>
        <w:rPr>
          <w:rFonts w:ascii="Arial" w:cs="Arial" w:eastAsia="Arial" w:hAnsi="Arial"/>
          <w:sz w:val="21"/>
          <w:szCs w:val="21"/>
          <w:u w:val="single" w:color="auto"/>
          <w:color w:val="auto"/>
        </w:rPr>
        <w:t>3.75</w:t>
      </w:r>
      <w:r>
        <w:rPr>
          <w:rFonts w:ascii="Arial" w:cs="Arial" w:eastAsia="Arial" w:hAnsi="Arial"/>
          <w:sz w:val="21"/>
          <w:szCs w:val="21"/>
          <w:color w:val="auto"/>
        </w:rPr>
        <w:t xml:space="preserve"> to </w:t>
      </w:r>
      <w:r>
        <w:rPr>
          <w:rFonts w:ascii="Arial" w:cs="Arial" w:eastAsia="Arial" w:hAnsi="Arial"/>
          <w:sz w:val="21"/>
          <w:szCs w:val="21"/>
          <w:u w:val="single" w:color="auto"/>
          <w:color w:val="auto"/>
        </w:rPr>
        <w:t>1.00</w:t>
      </w:r>
      <w:r>
        <w:rPr>
          <w:rFonts w:ascii="Arial" w:cs="Arial" w:eastAsia="Arial" w:hAnsi="Arial"/>
          <w:sz w:val="21"/>
          <w:szCs w:val="21"/>
          <w:color w:val="auto"/>
        </w:rPr>
        <w:t xml:space="preserve">), and (C) immediately before and immediately after giving effect to the any such prepayment or call or cash settlement, no Default or Event of Default shall have occurred and be continuing; provided that if either or both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are not satisfied with respect to any such prepayment, call or cash settlement, WFS may still make such prepayment, call or cash settlement to the extent permitted under </w:t>
      </w:r>
      <w:r>
        <w:rPr>
          <w:rFonts w:ascii="Arial" w:cs="Arial" w:eastAsia="Arial" w:hAnsi="Arial"/>
          <w:sz w:val="21"/>
          <w:szCs w:val="21"/>
          <w:u w:val="single" w:color="auto"/>
          <w:color w:val="auto"/>
        </w:rPr>
        <w:t>Section 7.06(d)</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ind w:left="4" w:right="20" w:firstLine="645"/>
        <w:spacing w:after="0" w:line="251" w:lineRule="auto"/>
        <w:tabs>
          <w:tab w:leader="none" w:pos="1314"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WFS may elect to pay cash in lieu of fractional shares of Equity Interests arising out of conversions of Convertible Debt Securities;</w:t>
      </w:r>
    </w:p>
    <w:p>
      <w:pPr>
        <w:spacing w:after="0" w:line="173" w:lineRule="exact"/>
        <w:rPr>
          <w:rFonts w:ascii="Arial" w:cs="Arial" w:eastAsia="Arial" w:hAnsi="Arial"/>
          <w:sz w:val="22"/>
          <w:szCs w:val="22"/>
          <w:color w:val="auto"/>
        </w:rPr>
      </w:pPr>
    </w:p>
    <w:p>
      <w:pPr>
        <w:jc w:val="both"/>
        <w:ind w:left="4" w:right="20" w:firstLine="645"/>
        <w:spacing w:after="0" w:line="238" w:lineRule="auto"/>
        <w:tabs>
          <w:tab w:leader="none" w:pos="1309"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WFS shall in no way be restricted from cash settling (in whole or in part) any Permitted Convertible Notes as may be required under the applicable Approved Convertible Debt Documents in connection with the exercise by a holder of Permitted Convertible Notes of its conversion rights in accordance with the terms of such Approved Convertible Debt Documents;</w:t>
      </w:r>
    </w:p>
    <w:p>
      <w:pPr>
        <w:spacing w:after="0" w:line="185" w:lineRule="exact"/>
        <w:rPr>
          <w:rFonts w:ascii="Arial" w:cs="Arial" w:eastAsia="Arial" w:hAnsi="Arial"/>
          <w:sz w:val="22"/>
          <w:szCs w:val="22"/>
          <w:color w:val="auto"/>
        </w:rPr>
      </w:pPr>
    </w:p>
    <w:p>
      <w:pPr>
        <w:ind w:left="4" w:right="20" w:firstLine="645"/>
        <w:spacing w:after="0" w:line="251" w:lineRule="auto"/>
        <w:tabs>
          <w:tab w:leader="none" w:pos="1309"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WFS may enter into, exercise its rights and perform its obligations under Permitted Call Spread Swap Agreements; and</w:t>
      </w:r>
    </w:p>
    <w:p>
      <w:pPr>
        <w:spacing w:after="0" w:line="173" w:lineRule="exact"/>
        <w:rPr>
          <w:rFonts w:ascii="Arial" w:cs="Arial" w:eastAsia="Arial" w:hAnsi="Arial"/>
          <w:sz w:val="22"/>
          <w:szCs w:val="22"/>
          <w:color w:val="auto"/>
        </w:rPr>
      </w:pPr>
    </w:p>
    <w:p>
      <w:pPr>
        <w:jc w:val="both"/>
        <w:ind w:left="4" w:right="20" w:firstLine="645"/>
        <w:spacing w:after="0" w:line="276" w:lineRule="auto"/>
        <w:tabs>
          <w:tab w:leader="none" w:pos="1315" w:val="left"/>
        </w:tabs>
        <w:numPr>
          <w:ilvl w:val="1"/>
          <w:numId w:val="166"/>
        </w:numPr>
        <w:rPr>
          <w:rFonts w:ascii="Arial" w:cs="Arial" w:eastAsia="Arial" w:hAnsi="Arial"/>
          <w:sz w:val="19"/>
          <w:szCs w:val="19"/>
          <w:color w:val="auto"/>
        </w:rPr>
      </w:pPr>
      <w:r>
        <w:rPr>
          <w:rFonts w:ascii="Arial" w:cs="Arial" w:eastAsia="Arial" w:hAnsi="Arial"/>
          <w:sz w:val="19"/>
          <w:szCs w:val="19"/>
          <w:color w:val="auto"/>
        </w:rPr>
        <w:t>WFS may make Restricted Payments (i) contemplated in WFS’s 2006 Omnibus Plan or any replacement thereof, (ii) contemplated by WFS’s 1993 Non-Employee Director Plan or any replacement thereof, and</w:t>
      </w:r>
    </w:p>
    <w:p>
      <w:pPr>
        <w:spacing w:after="0" w:line="1" w:lineRule="exact"/>
        <w:rPr>
          <w:rFonts w:ascii="Arial" w:cs="Arial" w:eastAsia="Arial" w:hAnsi="Arial"/>
          <w:sz w:val="19"/>
          <w:szCs w:val="19"/>
          <w:color w:val="auto"/>
        </w:rPr>
      </w:pPr>
    </w:p>
    <w:p>
      <w:pPr>
        <w:ind w:left="4" w:right="20" w:hanging="4"/>
        <w:spacing w:after="0" w:line="237" w:lineRule="auto"/>
        <w:tabs>
          <w:tab w:leader="none" w:pos="38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connection with the issuance of its Equity Interests to employees or non-employees of WFS as compensation for services performed for WFS by such individuals.</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58" w:name="page159"/>
    <w:bookmarkEnd w:id="158"/>
    <w:p>
      <w:pPr>
        <w:jc w:val="both"/>
        <w:ind w:left="20" w:right="20" w:firstLine="648"/>
        <w:spacing w:after="0" w:line="243" w:lineRule="auto"/>
        <w:rPr>
          <w:sz w:val="20"/>
          <w:szCs w:val="20"/>
          <w:color w:val="auto"/>
        </w:rPr>
      </w:pPr>
      <w:r>
        <w:rPr>
          <w:rFonts w:ascii="Arial" w:cs="Arial" w:eastAsia="Arial" w:hAnsi="Arial"/>
          <w:sz w:val="22"/>
          <w:szCs w:val="22"/>
          <w:b w:val="1"/>
          <w:bCs w:val="1"/>
          <w:color w:val="auto"/>
        </w:rPr>
        <w:t>7.07 Change in Nature of Business</w:t>
      </w:r>
      <w:r>
        <w:rPr>
          <w:rFonts w:ascii="Arial" w:cs="Arial" w:eastAsia="Arial" w:hAnsi="Arial"/>
          <w:sz w:val="22"/>
          <w:szCs w:val="22"/>
          <w:color w:val="auto"/>
        </w:rPr>
        <w:t>. Engage in any material respect in any line of business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different from the marketing, sale, financing, distribution or brokerage of fuel and/or energy products or the provision of ancillary services related or incidental thereto.</w:t>
      </w:r>
    </w:p>
    <w:p>
      <w:pPr>
        <w:spacing w:after="0" w:line="177" w:lineRule="exact"/>
        <w:rPr>
          <w:sz w:val="20"/>
          <w:szCs w:val="20"/>
          <w:color w:val="auto"/>
        </w:rPr>
      </w:pPr>
    </w:p>
    <w:p>
      <w:pPr>
        <w:jc w:val="both"/>
        <w:ind w:left="20" w:right="20" w:firstLine="648"/>
        <w:spacing w:after="0" w:line="249" w:lineRule="auto"/>
        <w:rPr>
          <w:sz w:val="20"/>
          <w:szCs w:val="20"/>
          <w:color w:val="auto"/>
        </w:rPr>
      </w:pPr>
      <w:r>
        <w:rPr>
          <w:rFonts w:ascii="Arial" w:cs="Arial" w:eastAsia="Arial" w:hAnsi="Arial"/>
          <w:sz w:val="21"/>
          <w:szCs w:val="21"/>
          <w:b w:val="1"/>
          <w:bCs w:val="1"/>
          <w:color w:val="auto"/>
        </w:rPr>
        <w:t>7.08 Transactions with Affiliates</w:t>
      </w:r>
      <w:r>
        <w:rPr>
          <w:rFonts w:ascii="Arial" w:cs="Arial" w:eastAsia="Arial" w:hAnsi="Arial"/>
          <w:sz w:val="21"/>
          <w:szCs w:val="21"/>
          <w:color w:val="auto"/>
        </w:rPr>
        <w:t>. Except as otherwise permitted under this Agreement, enter into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transaction of any kind with any Affiliate of such Borrower or such Restricted Subsidiary, whether or not in the ordinary course of business, other than on fair and reasonable terms substantially as favorable to such Borrower or such Restricted Subsidiary as would be obtainable by such Borrower or such Restricted Subsidiary at the time in a comparable arm’s length transaction with a Person other than an Affiliate,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restriction shall not apply to transactions between or among Loan Parties.</w:t>
      </w:r>
    </w:p>
    <w:p>
      <w:pPr>
        <w:spacing w:after="0" w:line="171"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9"/>
          <w:szCs w:val="19"/>
          <w:b w:val="1"/>
          <w:bCs w:val="1"/>
          <w:color w:val="auto"/>
        </w:rPr>
        <w:t>7.09 Burdensome Agreements</w:t>
      </w:r>
      <w:r>
        <w:rPr>
          <w:rFonts w:ascii="Arial" w:cs="Arial" w:eastAsia="Arial" w:hAnsi="Arial"/>
          <w:sz w:val="19"/>
          <w:szCs w:val="19"/>
          <w:color w:val="auto"/>
        </w:rPr>
        <w:t>. Except as otherwise permitted under this Agreement, enter into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Contractual Obligation (other than this Agreement or any other Loan Document) that (a) limits the ability (i) of any Restricted Subsidiary to make Restricted Payments to any Loan Party or to otherwise transfer property to any Loan Party, (ii) of any Restricted Subsidiary to Guarantee the Indebtedness of any Borrower or (iii) of any Loan Party to create, incur, assume or suffer to exist Liens on property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w:t>
      </w:r>
    </w:p>
    <w:p>
      <w:pPr>
        <w:spacing w:after="0" w:line="1" w:lineRule="exact"/>
        <w:rPr>
          <w:sz w:val="20"/>
          <w:szCs w:val="20"/>
          <w:color w:val="auto"/>
        </w:rPr>
      </w:pPr>
    </w:p>
    <w:p>
      <w:pPr>
        <w:jc w:val="both"/>
        <w:ind w:left="20" w:firstLine="1"/>
        <w:spacing w:after="0" w:line="243" w:lineRule="auto"/>
        <w:tabs>
          <w:tab w:leader="none" w:pos="402" w:val="left"/>
        </w:tabs>
        <w:numPr>
          <w:ilvl w:val="0"/>
          <w:numId w:val="168"/>
        </w:numPr>
        <w:rPr>
          <w:rFonts w:ascii="Arial" w:cs="Arial" w:eastAsia="Arial" w:hAnsi="Arial"/>
          <w:sz w:val="21"/>
          <w:szCs w:val="21"/>
          <w:u w:val="single" w:color="auto"/>
          <w:color w:val="auto"/>
        </w:rPr>
      </w:pPr>
      <w:r>
        <w:rPr>
          <w:rFonts w:ascii="Arial" w:cs="Arial" w:eastAsia="Arial" w:hAnsi="Arial"/>
          <w:sz w:val="21"/>
          <w:szCs w:val="21"/>
          <w:color w:val="auto"/>
        </w:rPr>
        <w:t xml:space="preserve">shall not prohibit any negative pledge incurred or provided in favor of any holder of (x) Indebtedness permitted under </w:t>
      </w:r>
      <w:r>
        <w:rPr>
          <w:rFonts w:ascii="Arial" w:cs="Arial" w:eastAsia="Arial" w:hAnsi="Arial"/>
          <w:sz w:val="21"/>
          <w:szCs w:val="21"/>
          <w:u w:val="single" w:color="auto"/>
          <w:color w:val="auto"/>
        </w:rPr>
        <w:t>Section 7.03(f)</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7.03(k)</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7.03(l)</w:t>
      </w:r>
      <w:r>
        <w:rPr>
          <w:rFonts w:ascii="Arial" w:cs="Arial" w:eastAsia="Arial" w:hAnsi="Arial"/>
          <w:sz w:val="21"/>
          <w:szCs w:val="21"/>
          <w:color w:val="auto"/>
        </w:rPr>
        <w:t xml:space="preserve"> solely to the extent any such negative pledge relates to the property financed by or the subject of the Lien securing such Indebtedness, (y) the Senior Note Indebtedness permitted by </w:t>
      </w:r>
      <w:r>
        <w:rPr>
          <w:rFonts w:ascii="Arial" w:cs="Arial" w:eastAsia="Arial" w:hAnsi="Arial"/>
          <w:sz w:val="21"/>
          <w:szCs w:val="21"/>
          <w:u w:val="single" w:color="auto"/>
          <w:color w:val="auto"/>
        </w:rPr>
        <w:t>Section 7.03(p)</w:t>
      </w:r>
      <w:r>
        <w:rPr>
          <w:rFonts w:ascii="Arial" w:cs="Arial" w:eastAsia="Arial" w:hAnsi="Arial"/>
          <w:sz w:val="21"/>
          <w:szCs w:val="21"/>
          <w:color w:val="auto"/>
        </w:rPr>
        <w:t xml:space="preserve"> so long as the covenants set forth in the Senior Note Agreement and any other Senior Note Document are no more restrictive than those set forth in this Agreement, or (z) the Indebtedness under the Permitted Convertible Notes permitted by </w:t>
      </w:r>
      <w:r>
        <w:rPr>
          <w:rFonts w:ascii="Arial" w:cs="Arial" w:eastAsia="Arial" w:hAnsi="Arial"/>
          <w:sz w:val="21"/>
          <w:szCs w:val="21"/>
          <w:u w:val="single" w:color="auto"/>
          <w:color w:val="auto"/>
        </w:rPr>
        <w:t>Section 7.03(g)</w:t>
      </w:r>
      <w:r>
        <w:rPr>
          <w:rFonts w:ascii="Arial" w:cs="Arial" w:eastAsia="Arial" w:hAnsi="Arial"/>
          <w:sz w:val="21"/>
          <w:szCs w:val="21"/>
          <w:color w:val="auto"/>
        </w:rPr>
        <w:t xml:space="preserve"> so long as the covenants set forth in the Approved Convertible Debt Documents are customary restrictions in indentures for Convertible Debt Securities or high yield or investment grade securities that are, in each case, permitted under this Agreement; or (b) requires the grant of a Lien to secure an obligation of such Person if a Lien is granted to secure another obligation of such Person (other than the Senior Note Agreement).</w:t>
      </w:r>
    </w:p>
    <w:p>
      <w:pPr>
        <w:spacing w:after="0" w:line="178"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22"/>
          <w:szCs w:val="22"/>
          <w:b w:val="1"/>
          <w:bCs w:val="1"/>
          <w:color w:val="auto"/>
        </w:rPr>
        <w:t>7.10 Use of Proceeds</w:t>
      </w:r>
      <w:r>
        <w:rPr>
          <w:rFonts w:ascii="Arial" w:cs="Arial" w:eastAsia="Arial" w:hAnsi="Arial"/>
          <w:sz w:val="22"/>
          <w:szCs w:val="22"/>
          <w:color w:val="auto"/>
        </w:rPr>
        <w:t>. Use the proceeds of any Credit Extension, whether directly or indirectly, and</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7.11</w:t>
      </w:r>
      <w:r>
        <w:rPr>
          <w:sz w:val="20"/>
          <w:szCs w:val="20"/>
          <w:color w:val="auto"/>
        </w:rPr>
        <w:tab/>
      </w:r>
      <w:r>
        <w:rPr>
          <w:rFonts w:ascii="Arial" w:cs="Arial" w:eastAsia="Arial" w:hAnsi="Arial"/>
          <w:sz w:val="19"/>
          <w:szCs w:val="19"/>
          <w:b w:val="1"/>
          <w:bCs w:val="1"/>
          <w:color w:val="auto"/>
        </w:rPr>
        <w:t>Financial Covenants</w:t>
      </w:r>
      <w:r>
        <w:rPr>
          <w:rFonts w:ascii="Arial" w:cs="Arial" w:eastAsia="Arial" w:hAnsi="Arial"/>
          <w:sz w:val="19"/>
          <w:szCs w:val="19"/>
          <w:color w:val="auto"/>
        </w:rPr>
        <w:t>.</w:t>
      </w:r>
    </w:p>
    <w:p>
      <w:pPr>
        <w:spacing w:after="0" w:line="212" w:lineRule="exact"/>
        <w:rPr>
          <w:sz w:val="20"/>
          <w:szCs w:val="20"/>
          <w:color w:val="auto"/>
        </w:rPr>
      </w:pPr>
    </w:p>
    <w:p>
      <w:pPr>
        <w:ind w:right="20" w:firstLine="645"/>
        <w:spacing w:after="0" w:line="251" w:lineRule="auto"/>
        <w:tabs>
          <w:tab w:leader="none" w:pos="1293"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Consolidated Interest Coverage Ratio</w:t>
      </w:r>
      <w:r>
        <w:rPr>
          <w:rFonts w:ascii="Arial" w:cs="Arial" w:eastAsia="Arial" w:hAnsi="Arial"/>
          <w:sz w:val="22"/>
          <w:szCs w:val="22"/>
          <w:color w:val="auto"/>
        </w:rPr>
        <w:t xml:space="preserve">. Permit the Consolidated Interest Coverage Ratio as of the end of any fiscal quarter of WFS to be less than </w:t>
      </w:r>
      <w:r>
        <w:rPr>
          <w:rFonts w:ascii="Arial" w:cs="Arial" w:eastAsia="Arial" w:hAnsi="Arial"/>
          <w:sz w:val="22"/>
          <w:szCs w:val="22"/>
          <w:u w:val="single" w:color="auto"/>
          <w:color w:val="auto"/>
        </w:rPr>
        <w:t>2.00</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right="20" w:firstLine="645"/>
        <w:spacing w:after="0" w:line="251" w:lineRule="auto"/>
        <w:tabs>
          <w:tab w:leader="none" w:pos="1305"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Consolidated Asset Coverage Ratio</w:t>
      </w:r>
      <w:r>
        <w:rPr>
          <w:rFonts w:ascii="Arial" w:cs="Arial" w:eastAsia="Arial" w:hAnsi="Arial"/>
          <w:sz w:val="22"/>
          <w:szCs w:val="22"/>
          <w:color w:val="auto"/>
        </w:rPr>
        <w:t xml:space="preserve">. Permit the Consolidated Asset Coverage Ratio as of the last day of any fiscal quarter of WFS to be less than </w:t>
      </w:r>
      <w:r>
        <w:rPr>
          <w:rFonts w:ascii="Arial" w:cs="Arial" w:eastAsia="Arial" w:hAnsi="Arial"/>
          <w:sz w:val="22"/>
          <w:szCs w:val="22"/>
          <w:u w:val="single" w:color="auto"/>
          <w:color w:val="auto"/>
        </w:rPr>
        <w:t>1.20</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159" w:name="page160"/>
    <w:bookmarkEnd w:id="159"/>
    <w:p>
      <w:pPr>
        <w:jc w:val="both"/>
        <w:ind w:right="20" w:firstLine="645"/>
        <w:spacing w:after="0" w:line="238" w:lineRule="auto"/>
        <w:tabs>
          <w:tab w:leader="none" w:pos="1496"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Consolidated Total Leverage Ratio</w:t>
      </w:r>
      <w:r>
        <w:rPr>
          <w:rFonts w:ascii="Arial" w:cs="Arial" w:eastAsia="Arial" w:hAnsi="Arial"/>
          <w:sz w:val="22"/>
          <w:szCs w:val="22"/>
          <w:color w:val="auto"/>
        </w:rPr>
        <w:t xml:space="preserve">. Permit the Consolidated Total Leverage Ratio (i) from the Closing Date to December 31, 2014 to be greater than </w:t>
      </w:r>
      <w:r>
        <w:rPr>
          <w:rFonts w:ascii="Arial" w:cs="Arial" w:eastAsia="Arial" w:hAnsi="Arial"/>
          <w:sz w:val="22"/>
          <w:szCs w:val="22"/>
          <w:u w:val="single" w:color="auto"/>
          <w:color w:val="auto"/>
        </w:rPr>
        <w:t>4.50</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 xml:space="preserve">, (ii) from January 1, 2015 to September 29, 2016 to be greater than </w:t>
      </w:r>
      <w:r>
        <w:rPr>
          <w:rFonts w:ascii="Arial" w:cs="Arial" w:eastAsia="Arial" w:hAnsi="Arial"/>
          <w:sz w:val="22"/>
          <w:szCs w:val="22"/>
          <w:u w:val="single" w:color="auto"/>
          <w:color w:val="auto"/>
        </w:rPr>
        <w:t>4.75</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 xml:space="preserve"> and (iii) commencing on September 30, 2016 and thereafter, to be greater than </w:t>
      </w:r>
      <w:r>
        <w:rPr>
          <w:rFonts w:ascii="Arial" w:cs="Arial" w:eastAsia="Arial" w:hAnsi="Arial"/>
          <w:sz w:val="22"/>
          <w:szCs w:val="22"/>
          <w:u w:val="single" w:color="auto"/>
          <w:color w:val="auto"/>
        </w:rPr>
        <w:t>4.50</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right="20" w:firstLine="645"/>
        <w:spacing w:after="0" w:line="238" w:lineRule="auto"/>
        <w:tabs>
          <w:tab w:leader="none" w:pos="1305"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Consolidated Senior Leverage Ratio</w:t>
      </w:r>
      <w:r>
        <w:rPr>
          <w:rFonts w:ascii="Arial" w:cs="Arial" w:eastAsia="Arial" w:hAnsi="Arial"/>
          <w:sz w:val="22"/>
          <w:szCs w:val="22"/>
          <w:color w:val="auto"/>
        </w:rPr>
        <w:t xml:space="preserve">. Permit the Consolidated Senior Leverage Ratio (i) from the Closing Date to December 31, 2014 to be greater than </w:t>
      </w:r>
      <w:r>
        <w:rPr>
          <w:rFonts w:ascii="Arial" w:cs="Arial" w:eastAsia="Arial" w:hAnsi="Arial"/>
          <w:sz w:val="22"/>
          <w:szCs w:val="22"/>
          <w:u w:val="single" w:color="auto"/>
          <w:color w:val="auto"/>
        </w:rPr>
        <w:t>3.75</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 xml:space="preserve">, (ii) from January 1, 2015 to September 29, 2016 to be greater than </w:t>
      </w:r>
      <w:r>
        <w:rPr>
          <w:rFonts w:ascii="Arial" w:cs="Arial" w:eastAsia="Arial" w:hAnsi="Arial"/>
          <w:sz w:val="22"/>
          <w:szCs w:val="22"/>
          <w:u w:val="single" w:color="auto"/>
          <w:color w:val="auto"/>
        </w:rPr>
        <w:t>4.00</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 xml:space="preserve"> and (iii) commencing on September 30, 2016 and thereafter, to be greater than </w:t>
      </w:r>
      <w:r>
        <w:rPr>
          <w:rFonts w:ascii="Arial" w:cs="Arial" w:eastAsia="Arial" w:hAnsi="Arial"/>
          <w:sz w:val="22"/>
          <w:szCs w:val="22"/>
          <w:u w:val="single" w:color="auto"/>
          <w:color w:val="auto"/>
        </w:rPr>
        <w:t>3.75</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1.00</w:t>
      </w:r>
      <w:r>
        <w:rPr>
          <w:rFonts w:ascii="Arial" w:cs="Arial" w:eastAsia="Arial" w:hAnsi="Arial"/>
          <w:sz w:val="22"/>
          <w:szCs w:val="22"/>
          <w:color w:val="auto"/>
        </w:rPr>
        <w:t>.</w:t>
      </w:r>
    </w:p>
    <w:p>
      <w:pPr>
        <w:spacing w:after="0" w:line="179" w:lineRule="exact"/>
        <w:rPr>
          <w:sz w:val="20"/>
          <w:szCs w:val="20"/>
          <w:color w:val="auto"/>
        </w:rPr>
      </w:pPr>
    </w:p>
    <w:p>
      <w:pPr>
        <w:jc w:val="both"/>
        <w:ind w:left="20" w:right="20" w:firstLine="648"/>
        <w:spacing w:after="0" w:line="280" w:lineRule="auto"/>
        <w:rPr>
          <w:sz w:val="20"/>
          <w:szCs w:val="20"/>
          <w:color w:val="auto"/>
        </w:rPr>
      </w:pPr>
      <w:r>
        <w:rPr>
          <w:rFonts w:ascii="Arial" w:cs="Arial" w:eastAsia="Arial" w:hAnsi="Arial"/>
          <w:sz w:val="21"/>
          <w:szCs w:val="21"/>
          <w:b w:val="1"/>
          <w:bCs w:val="1"/>
          <w:color w:val="auto"/>
        </w:rPr>
        <w:t xml:space="preserve">7.12 Amendments of Organization Documents. </w:t>
      </w:r>
      <w:r>
        <w:rPr>
          <w:rFonts w:ascii="Arial" w:cs="Arial" w:eastAsia="Arial" w:hAnsi="Arial"/>
          <w:sz w:val="21"/>
          <w:szCs w:val="21"/>
          <w:color w:val="auto"/>
        </w:rPr>
        <w:t>Amend any of its Organization Documents (in a</w:t>
      </w:r>
      <w:r>
        <w:rPr>
          <w:rFonts w:ascii="Arial" w:cs="Arial" w:eastAsia="Arial" w:hAnsi="Arial"/>
          <w:sz w:val="21"/>
          <w:szCs w:val="21"/>
          <w:b w:val="1"/>
          <w:bCs w:val="1"/>
          <w:color w:val="auto"/>
        </w:rPr>
        <w:t xml:space="preserve"> </w:t>
      </w:r>
      <w:r>
        <w:rPr>
          <w:rFonts w:ascii="Arial" w:cs="Arial" w:eastAsia="Arial" w:hAnsi="Arial"/>
          <w:sz w:val="21"/>
          <w:szCs w:val="21"/>
          <w:color w:val="auto"/>
        </w:rPr>
        <w:t>manner that could reasonably be expected to materially and adversely affect the interests of the Lenders).</w:t>
      </w:r>
    </w:p>
    <w:p>
      <w:pPr>
        <w:spacing w:after="0" w:line="139"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22"/>
          <w:szCs w:val="22"/>
          <w:b w:val="1"/>
          <w:bCs w:val="1"/>
          <w:color w:val="auto"/>
        </w:rPr>
        <w:t xml:space="preserve">7.13 Inactive Subsidiaries. </w:t>
      </w:r>
      <w:r>
        <w:rPr>
          <w:rFonts w:ascii="Arial" w:cs="Arial" w:eastAsia="Arial" w:hAnsi="Arial"/>
          <w:sz w:val="22"/>
          <w:szCs w:val="22"/>
          <w:color w:val="auto"/>
        </w:rPr>
        <w:t>Not permit Atlantic Fuel Services, IRC or Resource Recovery at any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engage in any type of operations other than those conducted by such Restricted Subsidiary as of the Closing Date, other than Dispositions in connection with the winding up or liquidation of lines of business of such Restricted Subsidiary.</w:t>
      </w:r>
    </w:p>
    <w:p>
      <w:pPr>
        <w:spacing w:after="0" w:line="181" w:lineRule="exact"/>
        <w:rPr>
          <w:sz w:val="20"/>
          <w:szCs w:val="20"/>
          <w:color w:val="auto"/>
        </w:rPr>
      </w:pPr>
    </w:p>
    <w:p>
      <w:pPr>
        <w:jc w:val="both"/>
        <w:ind w:left="20" w:right="20" w:firstLine="648"/>
        <w:spacing w:after="0" w:line="239" w:lineRule="auto"/>
        <w:rPr>
          <w:sz w:val="20"/>
          <w:szCs w:val="20"/>
          <w:color w:val="auto"/>
        </w:rPr>
      </w:pPr>
      <w:r>
        <w:rPr>
          <w:rFonts w:ascii="Arial" w:cs="Arial" w:eastAsia="Arial" w:hAnsi="Arial"/>
          <w:sz w:val="22"/>
          <w:szCs w:val="22"/>
          <w:b w:val="1"/>
          <w:bCs w:val="1"/>
          <w:color w:val="auto"/>
        </w:rPr>
        <w:t xml:space="preserve">7.14 Amendments of Approved Convertible Debt Documents. </w:t>
      </w:r>
      <w:r>
        <w:rPr>
          <w:rFonts w:ascii="Arial" w:cs="Arial" w:eastAsia="Arial" w:hAnsi="Arial"/>
          <w:sz w:val="22"/>
          <w:szCs w:val="22"/>
          <w:color w:val="auto"/>
        </w:rPr>
        <w:t>Amend any of Approved Convertible</w:t>
      </w:r>
      <w:r>
        <w:rPr>
          <w:rFonts w:ascii="Arial" w:cs="Arial" w:eastAsia="Arial" w:hAnsi="Arial"/>
          <w:sz w:val="22"/>
          <w:szCs w:val="22"/>
          <w:b w:val="1"/>
          <w:bCs w:val="1"/>
          <w:color w:val="auto"/>
        </w:rPr>
        <w:t xml:space="preserve"> </w:t>
      </w:r>
      <w:r>
        <w:rPr>
          <w:rFonts w:ascii="Arial" w:cs="Arial" w:eastAsia="Arial" w:hAnsi="Arial"/>
          <w:sz w:val="22"/>
          <w:szCs w:val="22"/>
          <w:color w:val="auto"/>
        </w:rPr>
        <w:t>Debt Documents in a manner that could reasonably be expected to materially and adversely affect the interests of the Lenders without the prior written consent of the Administrative Agent (such consent not to be unreasonably withheld or delayed).</w:t>
      </w:r>
    </w:p>
    <w:p>
      <w:pPr>
        <w:spacing w:after="0" w:line="181" w:lineRule="exact"/>
        <w:rPr>
          <w:sz w:val="20"/>
          <w:szCs w:val="20"/>
          <w:color w:val="auto"/>
        </w:rPr>
      </w:pPr>
    </w:p>
    <w:p>
      <w:pPr>
        <w:jc w:val="both"/>
        <w:ind w:left="20" w:firstLine="648"/>
        <w:spacing w:after="0" w:line="235" w:lineRule="auto"/>
        <w:rPr>
          <w:sz w:val="20"/>
          <w:szCs w:val="20"/>
          <w:color w:val="auto"/>
        </w:rPr>
      </w:pPr>
      <w:r>
        <w:rPr>
          <w:rFonts w:ascii="Arial" w:cs="Arial" w:eastAsia="Arial" w:hAnsi="Arial"/>
          <w:sz w:val="22"/>
          <w:szCs w:val="22"/>
          <w:b w:val="1"/>
          <w:bCs w:val="1"/>
          <w:color w:val="auto"/>
        </w:rPr>
        <w:t xml:space="preserve">7.15 Sanctions </w:t>
      </w:r>
      <w:r>
        <w:rPr>
          <w:rFonts w:ascii="Arial" w:cs="Arial" w:eastAsia="Arial" w:hAnsi="Arial"/>
          <w:sz w:val="22"/>
          <w:szCs w:val="22"/>
          <w:color w:val="auto"/>
        </w:rPr>
        <w:t>. Directly or indirectly, use the proceeds of any Credit Extension, or lend, contribute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make available such proceeds to any Subsidiary, joint venture partner or other individual or entity, to fund any activities of or business with any individual or entity, or in any Designated Jurisdiction, that, at the time of such funding, is the subject of Sanctions (except, in each case, to the extent authorized by the relevant Sanctions authority or not prohibited under the relevant Sanction), or in any other manner that will result in a violation by any Lender, Joint Lead Arranger, the Administrative Agent, the L/C-BA Issuer, the Swing Line Lender, or any Affiliate thereof) of Sanctions.</w:t>
      </w:r>
    </w:p>
    <w:p>
      <w:pPr>
        <w:spacing w:after="0" w:line="184" w:lineRule="exact"/>
        <w:rPr>
          <w:sz w:val="20"/>
          <w:szCs w:val="20"/>
          <w:color w:val="auto"/>
        </w:rPr>
      </w:pPr>
    </w:p>
    <w:p>
      <w:pPr>
        <w:jc w:val="both"/>
        <w:ind w:left="20" w:firstLine="648"/>
        <w:spacing w:after="0" w:line="284" w:lineRule="auto"/>
        <w:rPr>
          <w:sz w:val="20"/>
          <w:szCs w:val="20"/>
          <w:color w:val="auto"/>
        </w:rPr>
      </w:pPr>
      <w:r>
        <w:rPr>
          <w:rFonts w:ascii="Arial" w:cs="Arial" w:eastAsia="Arial" w:hAnsi="Arial"/>
          <w:sz w:val="19"/>
          <w:szCs w:val="19"/>
          <w:b w:val="1"/>
          <w:bCs w:val="1"/>
          <w:color w:val="auto"/>
        </w:rPr>
        <w:t>7.16 Anti-Corruption Laws</w:t>
      </w:r>
      <w:r>
        <w:rPr>
          <w:rFonts w:ascii="Arial" w:cs="Arial" w:eastAsia="Arial" w:hAnsi="Arial"/>
          <w:sz w:val="19"/>
          <w:szCs w:val="19"/>
          <w:color w:val="auto"/>
        </w:rPr>
        <w:t>. Directly or indirectly use the proceeds of any Credit Extension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which would result in a breach of the United States Foreign Corrupt Practices Act of 1977, the UK Bribery Act 2010, or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w:t>
      </w:r>
    </w:p>
    <w:p>
      <w:pPr>
        <w:spacing w:after="0" w:line="139"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ARTICLE VIII. EVENTS OF DEFAULT AND REMEDIES</w:t>
      </w:r>
    </w:p>
    <w:p>
      <w:pPr>
        <w:spacing w:after="0" w:line="20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Events of Default</w:t>
      </w:r>
      <w:r>
        <w:rPr>
          <w:rFonts w:ascii="Arial" w:cs="Arial" w:eastAsia="Arial" w:hAnsi="Arial"/>
          <w:sz w:val="19"/>
          <w:szCs w:val="19"/>
          <w:color w:val="auto"/>
        </w:rPr>
        <w:t>. Any of the following shall constitute an Event of Default:</w:t>
      </w:r>
    </w:p>
    <w:p>
      <w:pPr>
        <w:spacing w:after="0" w:line="212" w:lineRule="exact"/>
        <w:rPr>
          <w:sz w:val="20"/>
          <w:szCs w:val="20"/>
          <w:color w:val="auto"/>
        </w:rPr>
      </w:pPr>
    </w:p>
    <w:p>
      <w:pPr>
        <w:jc w:val="both"/>
        <w:ind w:right="20" w:firstLine="645"/>
        <w:spacing w:after="0"/>
        <w:tabs>
          <w:tab w:leader="none" w:pos="1293"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Non-Payment</w:t>
      </w:r>
      <w:r>
        <w:rPr>
          <w:rFonts w:ascii="Arial" w:cs="Arial" w:eastAsia="Arial" w:hAnsi="Arial"/>
          <w:sz w:val="22"/>
          <w:szCs w:val="22"/>
          <w:color w:val="auto"/>
        </w:rPr>
        <w:t>. The Borrowers or any other Loan Party fails to pay (i) when and as required to be paid herein, any amount of principal of any Loan or any L/C-BA Obligation, or (ii) within five days after the same becomes due, any interest on any Loan or on any L/C-BA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Obligation, or any fee due hereunder, any other amount payable hereunder or under any other Loan Document; or</w:t>
      </w:r>
    </w:p>
    <w:p>
      <w:pPr>
        <w:spacing w:after="0" w:line="241" w:lineRule="exact"/>
        <w:rPr>
          <w:sz w:val="20"/>
          <w:szCs w:val="20"/>
          <w:color w:val="auto"/>
        </w:rPr>
      </w:pPr>
    </w:p>
    <w:p>
      <w:pPr>
        <w:ind w:right="20" w:firstLine="645"/>
        <w:spacing w:after="0" w:line="251" w:lineRule="auto"/>
        <w:tabs>
          <w:tab w:leader="none" w:pos="1305"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Specific Covenants</w:t>
      </w:r>
      <w:r>
        <w:rPr>
          <w:rFonts w:ascii="Arial" w:cs="Arial" w:eastAsia="Arial" w:hAnsi="Arial"/>
          <w:sz w:val="22"/>
          <w:szCs w:val="22"/>
          <w:color w:val="auto"/>
        </w:rPr>
        <w:t xml:space="preserve">. The Borrowers fail to perform or observe any term, covenant or agreement contained in any of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6.02(d)</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w:t>
      </w:r>
      <w:r>
        <w:rPr>
          <w:rFonts w:ascii="Arial" w:cs="Arial" w:eastAsia="Arial" w:hAnsi="Arial"/>
          <w:sz w:val="22"/>
          <w:szCs w:val="22"/>
          <w:color w:val="auto"/>
        </w:rPr>
        <w:t xml:space="preserve">, </w:t>
      </w:r>
      <w:r>
        <w:rPr>
          <w:rFonts w:ascii="Arial" w:cs="Arial" w:eastAsia="Arial" w:hAnsi="Arial"/>
          <w:sz w:val="22"/>
          <w:szCs w:val="22"/>
          <w:u w:val="single" w:color="auto"/>
          <w:color w:val="auto"/>
        </w:rPr>
        <w:t>6.11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w:t>
      </w:r>
      <w:r>
        <w:rPr>
          <w:rFonts w:ascii="Arial" w:cs="Arial" w:eastAsia="Arial" w:hAnsi="Arial"/>
          <w:sz w:val="22"/>
          <w:szCs w:val="22"/>
          <w:color w:val="auto"/>
        </w:rPr>
        <w:t>; or</w:t>
      </w:r>
    </w:p>
    <w:p>
      <w:pPr>
        <w:spacing w:after="0" w:line="173" w:lineRule="exact"/>
        <w:rPr>
          <w:rFonts w:ascii="Arial" w:cs="Arial" w:eastAsia="Arial" w:hAnsi="Arial"/>
          <w:sz w:val="22"/>
          <w:szCs w:val="22"/>
          <w:color w:val="auto"/>
        </w:rPr>
      </w:pPr>
    </w:p>
    <w:p>
      <w:pPr>
        <w:jc w:val="both"/>
        <w:ind w:right="20" w:firstLine="645"/>
        <w:spacing w:after="0" w:line="249" w:lineRule="auto"/>
        <w:tabs>
          <w:tab w:leader="none" w:pos="1293"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Other Defaults</w:t>
      </w:r>
      <w:r>
        <w:rPr>
          <w:rFonts w:ascii="Arial" w:cs="Arial" w:eastAsia="Arial" w:hAnsi="Arial"/>
          <w:sz w:val="21"/>
          <w:szCs w:val="21"/>
          <w:color w:val="auto"/>
        </w:rPr>
        <w:t xml:space="preserve">. Any Loan Party fails to perform or observe any other covenant or agreement (not specified in </w:t>
      </w:r>
      <w:r>
        <w:rPr>
          <w:rFonts w:ascii="Arial" w:cs="Arial" w:eastAsia="Arial" w:hAnsi="Arial"/>
          <w:sz w:val="21"/>
          <w:szCs w:val="21"/>
          <w:u w:val="single" w:color="auto"/>
          <w:color w:val="auto"/>
        </w:rPr>
        <w:t>subsection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contained in any Loan Document on its part to be performed or observed and such failure continues for 30 days after the earlier of (i) the date on which a Responsible Officer of a Loan Party becomes aware of such failure and (ii) the date on which written notice of such failure shall have been given to the Borrowing Agent by the Administrative Agent; or</w:t>
      </w:r>
    </w:p>
    <w:p>
      <w:pPr>
        <w:spacing w:after="0" w:line="178" w:lineRule="exact"/>
        <w:rPr>
          <w:rFonts w:ascii="Arial" w:cs="Arial" w:eastAsia="Arial" w:hAnsi="Arial"/>
          <w:sz w:val="21"/>
          <w:szCs w:val="21"/>
          <w:color w:val="auto"/>
        </w:rPr>
      </w:pPr>
    </w:p>
    <w:p>
      <w:pPr>
        <w:jc w:val="both"/>
        <w:ind w:firstLine="645"/>
        <w:spacing w:after="0" w:line="238" w:lineRule="auto"/>
        <w:tabs>
          <w:tab w:leader="none" w:pos="1305"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Any representation, warranty, certification or statement of fact made or deemed made by or on behalf of any other Loan Party herein, in any other Loan Document, or in any document delivered in connection herewith or therewith shall be incorrect or misleading in any material respect when made or deemed made; or</w:t>
      </w:r>
    </w:p>
    <w:p>
      <w:pPr>
        <w:spacing w:after="0" w:line="185" w:lineRule="exact"/>
        <w:rPr>
          <w:rFonts w:ascii="Arial" w:cs="Arial" w:eastAsia="Arial" w:hAnsi="Arial"/>
          <w:sz w:val="22"/>
          <w:szCs w:val="22"/>
          <w:color w:val="auto"/>
        </w:rPr>
      </w:pPr>
    </w:p>
    <w:p>
      <w:pPr>
        <w:jc w:val="both"/>
        <w:ind w:firstLine="645"/>
        <w:spacing w:after="0" w:line="269" w:lineRule="auto"/>
        <w:tabs>
          <w:tab w:leader="none" w:pos="1293"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xml:space="preserve">. (i) any Borrower or any Restricted Subsidiary (A) fails to make any payment when due (whether by scheduled maturity, required prepayment, acceleration, demand, or otherwise) in respect of (x)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(y) the Senior Note Indebtedness, or (B) fails to observe or perform any other agreement or condition relating to any such Indebtedness, Guarantee or the Senior Note Indebtedness or contained in any instrument or agreement evidencing, securing or relating thereto (including, without limitation, the Senior Note Agreement),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Borrowers or any Restricted Subsidiary is the Defaulting Party (as defined in such Swap Contract) or (B) any Termination Event (as so defined) under such Swap Contract as to which any Borrower or any Restricted Subsidiary is an Affected Party (as so defined) and, in either event, the Swap Termination Value owed by the Borrowers or such Restricted Subsidiary as a result thereof is greater than $35,000,000, which has not been waived by the Required Lenders within ten (10) Business Days of receipt by such Borrower or Restricted Subsidiary of notice of such Early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shall not apply to (x) any redemption, repurchase, conversion or settlement of any Convertible Debt Security pursuant to its terms unless such redemption, repurchase, conversion or settlement results from a default thereunder and an acceleration of rights thereunder by the trustee under such Convertible Debt Security or (y) any early payment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61" w:name="page162"/>
    <w:bookmarkEnd w:id="161"/>
    <w:p>
      <w:pPr>
        <w:ind w:left="4" w:right="20"/>
        <w:spacing w:after="0" w:line="251" w:lineRule="auto"/>
        <w:rPr>
          <w:sz w:val="20"/>
          <w:szCs w:val="20"/>
          <w:color w:val="auto"/>
        </w:rPr>
      </w:pPr>
      <w:r>
        <w:rPr>
          <w:rFonts w:ascii="Arial" w:cs="Arial" w:eastAsia="Arial" w:hAnsi="Arial"/>
          <w:sz w:val="22"/>
          <w:szCs w:val="22"/>
          <w:color w:val="auto"/>
        </w:rPr>
        <w:t>requirement or unwinding or termination with respect to any Permitted Call Spread Swap Agreement not resulting from an event of default thereunder.</w:t>
      </w:r>
    </w:p>
    <w:p>
      <w:pPr>
        <w:spacing w:after="0" w:line="174" w:lineRule="exact"/>
        <w:rPr>
          <w:sz w:val="20"/>
          <w:szCs w:val="20"/>
          <w:color w:val="auto"/>
        </w:rPr>
      </w:pPr>
    </w:p>
    <w:p>
      <w:pPr>
        <w:jc w:val="both"/>
        <w:ind w:left="4" w:right="20" w:firstLine="645"/>
        <w:spacing w:after="0" w:line="274" w:lineRule="auto"/>
        <w:tabs>
          <w:tab w:leader="none" w:pos="1314"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Any Loan Party or any Restricted Subsidiary institutes or consents to the institution of any proceeding under any Debtor Relief Law, or makes an assignment for the benefit of creditors; or applies for or consents to the appointment of any receiver, trustee, custodian, conservator, liquidator, judicial manager, rehabilitator or similar officer for it or for all or any material part of its property; or any receiver, trustee, custodian, conservator, liquidator, judicial manager,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58" w:lineRule="exact"/>
        <w:rPr>
          <w:rFonts w:ascii="Arial" w:cs="Arial" w:eastAsia="Arial" w:hAnsi="Arial"/>
          <w:sz w:val="19"/>
          <w:szCs w:val="19"/>
          <w:color w:val="auto"/>
        </w:rPr>
      </w:pPr>
    </w:p>
    <w:p>
      <w:pPr>
        <w:jc w:val="both"/>
        <w:ind w:left="4" w:firstLine="645"/>
        <w:spacing w:after="0" w:line="287" w:lineRule="auto"/>
        <w:tabs>
          <w:tab w:leader="none" w:pos="1309"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(i) any Borrower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43" w:lineRule="exact"/>
        <w:rPr>
          <w:rFonts w:ascii="Arial" w:cs="Arial" w:eastAsia="Arial" w:hAnsi="Arial"/>
          <w:sz w:val="19"/>
          <w:szCs w:val="19"/>
          <w:color w:val="auto"/>
        </w:rPr>
      </w:pPr>
    </w:p>
    <w:p>
      <w:pPr>
        <w:jc w:val="both"/>
        <w:ind w:left="4" w:right="20" w:firstLine="645"/>
        <w:spacing w:after="0" w:line="275" w:lineRule="auto"/>
        <w:tabs>
          <w:tab w:leader="none" w:pos="1309"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Borrower or any Restricted Subsidiary (i) one or more final and non-appealable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and non-appealable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58" w:lineRule="exact"/>
        <w:rPr>
          <w:rFonts w:ascii="Arial" w:cs="Arial" w:eastAsia="Arial" w:hAnsi="Arial"/>
          <w:sz w:val="19"/>
          <w:szCs w:val="19"/>
          <w:color w:val="auto"/>
        </w:rPr>
      </w:pPr>
    </w:p>
    <w:p>
      <w:pPr>
        <w:jc w:val="both"/>
        <w:ind w:left="4" w:firstLine="645"/>
        <w:spacing w:after="0" w:line="273" w:lineRule="auto"/>
        <w:tabs>
          <w:tab w:leader="none" w:pos="1315"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the Borrowers under Title IV of ERISA to the Pension Plan, Multiemployer Plan or the PBGC in an aggregate amount in excess of the Threshold Amount, or</w:t>
      </w:r>
    </w:p>
    <w:p>
      <w:pPr>
        <w:spacing w:after="0" w:line="1" w:lineRule="exact"/>
        <w:rPr>
          <w:rFonts w:ascii="Arial" w:cs="Arial" w:eastAsia="Arial" w:hAnsi="Arial"/>
          <w:sz w:val="19"/>
          <w:szCs w:val="19"/>
          <w:color w:val="auto"/>
        </w:rPr>
      </w:pPr>
    </w:p>
    <w:p>
      <w:pPr>
        <w:jc w:val="both"/>
        <w:ind w:left="4" w:hanging="4"/>
        <w:spacing w:after="0" w:line="234" w:lineRule="auto"/>
        <w:tabs>
          <w:tab w:leader="none" w:pos="33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any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7" w:lineRule="exact"/>
        <w:rPr>
          <w:rFonts w:ascii="Arial" w:cs="Arial" w:eastAsia="Arial" w:hAnsi="Arial"/>
          <w:sz w:val="22"/>
          <w:szCs w:val="22"/>
          <w:color w:val="auto"/>
        </w:rPr>
      </w:pPr>
    </w:p>
    <w:p>
      <w:pPr>
        <w:jc w:val="both"/>
        <w:ind w:left="4" w:firstLine="645"/>
        <w:spacing w:after="0" w:line="235" w:lineRule="auto"/>
        <w:tabs>
          <w:tab w:leader="none" w:pos="1302" w:val="left"/>
        </w:tabs>
        <w:numPr>
          <w:ilvl w:val="1"/>
          <w:numId w:val="174"/>
        </w:numPr>
        <w:rPr>
          <w:rFonts w:ascii="Arial" w:cs="Arial" w:eastAsia="Arial" w:hAnsi="Arial"/>
          <w:sz w:val="22"/>
          <w:szCs w:val="22"/>
          <w:color w:val="auto"/>
        </w:rPr>
      </w:pPr>
      <w:r>
        <w:rPr>
          <w:rFonts w:ascii="Arial" w:cs="Arial" w:eastAsia="Arial" w:hAnsi="Arial"/>
          <w:sz w:val="22"/>
          <w:szCs w:val="22"/>
          <w:u w:val="single" w:color="auto"/>
          <w:color w:val="auto"/>
        </w:rPr>
        <w:t>Invalidity of Loan Documents</w:t>
      </w:r>
      <w:r>
        <w:rPr>
          <w:rFonts w:ascii="Arial" w:cs="Arial" w:eastAsia="Arial" w:hAnsi="Arial"/>
          <w:sz w:val="22"/>
          <w:szCs w:val="22"/>
          <w:color w:val="auto"/>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62" w:name="page163"/>
    <w:bookmarkEnd w:id="162"/>
    <w:p>
      <w:pPr>
        <w:ind w:left="1504" w:hanging="855"/>
        <w:spacing w:after="0"/>
        <w:tabs>
          <w:tab w:leader="none" w:pos="1504" w:val="left"/>
        </w:tabs>
        <w:numPr>
          <w:ilvl w:val="1"/>
          <w:numId w:val="175"/>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 or</w:t>
      </w:r>
    </w:p>
    <w:p>
      <w:pPr>
        <w:spacing w:after="0" w:line="206" w:lineRule="exact"/>
        <w:rPr>
          <w:rFonts w:ascii="Arial" w:cs="Arial" w:eastAsia="Arial" w:hAnsi="Arial"/>
          <w:sz w:val="22"/>
          <w:szCs w:val="22"/>
          <w:color w:val="auto"/>
        </w:rPr>
      </w:pPr>
    </w:p>
    <w:p>
      <w:pPr>
        <w:jc w:val="both"/>
        <w:ind w:left="4" w:firstLine="645"/>
        <w:spacing w:after="0" w:line="271" w:lineRule="auto"/>
        <w:tabs>
          <w:tab w:leader="none" w:pos="1315" w:val="left"/>
        </w:tabs>
        <w:numPr>
          <w:ilvl w:val="1"/>
          <w:numId w:val="175"/>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(i) Any subordination, stand-still or collateral sharing provisions of the Intercreditor Agreement or contained in any Approved Convertible Debt Documents (collectively, the “</w:t>
      </w:r>
      <w:r>
        <w:rPr>
          <w:rFonts w:ascii="Arial" w:cs="Arial" w:eastAsia="Arial" w:hAnsi="Arial"/>
          <w:sz w:val="19"/>
          <w:szCs w:val="19"/>
          <w:u w:val="single" w:color="auto"/>
          <w:color w:val="auto"/>
        </w:rPr>
        <w:t>Subordination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Provisions</w:t>
      </w:r>
      <w:r>
        <w:rPr>
          <w:rFonts w:ascii="Arial" w:cs="Arial" w:eastAsia="Arial" w:hAnsi="Arial"/>
          <w:sz w:val="19"/>
          <w:szCs w:val="19"/>
          <w:color w:val="auto"/>
        </w:rPr>
        <w:t>”) shall, in whole or in part, terminate, cease to be effective or cease to be legally valid, binding and enforceable against any holder of Senior Note Indebtedness or any Permitted Convertible Notes, as applicable; or</w:t>
      </w:r>
    </w:p>
    <w:p>
      <w:pPr>
        <w:spacing w:after="0" w:line="3" w:lineRule="exact"/>
        <w:rPr>
          <w:rFonts w:ascii="Arial" w:cs="Arial" w:eastAsia="Arial" w:hAnsi="Arial"/>
          <w:sz w:val="19"/>
          <w:szCs w:val="19"/>
          <w:color w:val="auto"/>
        </w:rPr>
      </w:pPr>
    </w:p>
    <w:p>
      <w:pPr>
        <w:jc w:val="both"/>
        <w:ind w:left="4" w:hanging="4"/>
        <w:spacing w:after="0" w:line="232" w:lineRule="auto"/>
        <w:tabs>
          <w:tab w:leader="none" w:pos="347"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any Borrower or any other Loan Party shall, directly or indirectly, disavow or contest in any manner (A) the effectiveness, validity or enforceability of any of the Subordination Provisions, (B) that the Subordination Provisions exist for the benefit of the Administrative Agent, the Lenders and the L/C Issuer or (C) that all payments of principal of or premium and interest on the Senior Notes Indebtedness or the Permitted Convertible Notes, as applicable, or realized from the liquidation of any property of any Loan Party, shall be subject to any of the Subordination Provisions; or</w:t>
      </w:r>
    </w:p>
    <w:p>
      <w:pPr>
        <w:spacing w:after="0" w:line="189" w:lineRule="exact"/>
        <w:rPr>
          <w:rFonts w:ascii="Arial" w:cs="Arial" w:eastAsia="Arial" w:hAnsi="Arial"/>
          <w:sz w:val="22"/>
          <w:szCs w:val="22"/>
          <w:color w:val="auto"/>
        </w:rPr>
      </w:pPr>
    </w:p>
    <w:p>
      <w:pPr>
        <w:ind w:left="4" w:right="20" w:firstLine="645"/>
        <w:spacing w:after="0" w:line="251" w:lineRule="auto"/>
        <w:tabs>
          <w:tab w:leader="none" w:pos="1342"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Senior Notes</w:t>
      </w:r>
      <w:r>
        <w:rPr>
          <w:rFonts w:ascii="Arial" w:cs="Arial" w:eastAsia="Arial" w:hAnsi="Arial"/>
          <w:sz w:val="22"/>
          <w:szCs w:val="22"/>
          <w:color w:val="auto"/>
        </w:rPr>
        <w:t>. Any event of default occurs under the Senior Note Documents (after giving effect to any grace periods and/or notifications required thereunder);</w:t>
      </w:r>
    </w:p>
    <w:p>
      <w:pPr>
        <w:spacing w:after="0" w:line="173" w:lineRule="exact"/>
        <w:rPr>
          <w:rFonts w:ascii="Arial" w:cs="Arial" w:eastAsia="Arial" w:hAnsi="Arial"/>
          <w:sz w:val="22"/>
          <w:szCs w:val="22"/>
          <w:color w:val="auto"/>
        </w:rPr>
      </w:pPr>
    </w:p>
    <w:p>
      <w:pPr>
        <w:jc w:val="both"/>
        <w:ind w:left="4" w:firstLine="645"/>
        <w:spacing w:after="0"/>
        <w:tabs>
          <w:tab w:leader="none" w:pos="1309"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Declared Company</w:t>
      </w:r>
      <w:r>
        <w:rPr>
          <w:rFonts w:ascii="Arial" w:cs="Arial" w:eastAsia="Arial" w:hAnsi="Arial"/>
          <w:sz w:val="22"/>
          <w:szCs w:val="22"/>
          <w:color w:val="auto"/>
        </w:rPr>
        <w:t>. A Borrower is declared by the Minister for Finance in Singapore to be a “declared company” under the provisions of Part IX of the Companies Act, Chapter 50 of Singapore and such declaration remains in full force and effect for a period of more than sixty (60) days.</w:t>
      </w:r>
    </w:p>
    <w:p>
      <w:pPr>
        <w:spacing w:after="0" w:line="180" w:lineRule="exact"/>
        <w:rPr>
          <w:sz w:val="20"/>
          <w:szCs w:val="20"/>
          <w:color w:val="auto"/>
        </w:rPr>
      </w:pPr>
    </w:p>
    <w:p>
      <w:pPr>
        <w:jc w:val="both"/>
        <w:ind w:left="24" w:firstLine="648"/>
        <w:spacing w:after="0" w:line="243" w:lineRule="auto"/>
        <w:rPr>
          <w:sz w:val="20"/>
          <w:szCs w:val="20"/>
          <w:color w:val="auto"/>
        </w:rPr>
      </w:pPr>
      <w:r>
        <w:rPr>
          <w:rFonts w:ascii="Arial" w:cs="Arial" w:eastAsia="Arial" w:hAnsi="Arial"/>
          <w:sz w:val="22"/>
          <w:szCs w:val="22"/>
          <w:b w:val="1"/>
          <w:bCs w:val="1"/>
          <w:color w:val="auto"/>
        </w:rPr>
        <w:t>8.02 Remedies Upon Event of Default</w:t>
      </w:r>
      <w:r>
        <w:rPr>
          <w:rFonts w:ascii="Arial" w:cs="Arial" w:eastAsia="Arial" w:hAnsi="Arial"/>
          <w:sz w:val="22"/>
          <w:szCs w:val="22"/>
          <w:color w:val="auto"/>
        </w:rPr>
        <w:t>. If any Event of Default occurs and is continuing,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 shall, at the request of, or may, with the consent of, the Required Lenders, take any or all of the following actions:</w:t>
      </w:r>
    </w:p>
    <w:p>
      <w:pPr>
        <w:spacing w:after="0" w:line="183" w:lineRule="exact"/>
        <w:rPr>
          <w:sz w:val="20"/>
          <w:szCs w:val="20"/>
          <w:color w:val="auto"/>
        </w:rPr>
      </w:pPr>
    </w:p>
    <w:p>
      <w:pPr>
        <w:jc w:val="both"/>
        <w:ind w:left="4" w:right="20" w:firstLine="645"/>
        <w:spacing w:after="0"/>
        <w:tabs>
          <w:tab w:leader="none" w:pos="1297" w:val="left"/>
        </w:tabs>
        <w:numPr>
          <w:ilvl w:val="0"/>
          <w:numId w:val="177"/>
        </w:numPr>
        <w:rPr>
          <w:rFonts w:ascii="Arial" w:cs="Arial" w:eastAsia="Arial" w:hAnsi="Arial"/>
          <w:sz w:val="22"/>
          <w:szCs w:val="22"/>
          <w:color w:val="auto"/>
        </w:rPr>
      </w:pPr>
      <w:r>
        <w:rPr>
          <w:rFonts w:ascii="Arial" w:cs="Arial" w:eastAsia="Arial" w:hAnsi="Arial"/>
          <w:sz w:val="22"/>
          <w:szCs w:val="22"/>
          <w:color w:val="auto"/>
        </w:rPr>
        <w:t>declare the commitment of each Revolving Lender to make Revolving Loans and any obligation of the L/C-BA Issuer to make L/C-BA Credit Extensions to be terminated, whereupon such commitments and obligation shall be terminated;</w:t>
      </w:r>
    </w:p>
    <w:p>
      <w:pPr>
        <w:spacing w:after="0" w:line="186" w:lineRule="exact"/>
        <w:rPr>
          <w:rFonts w:ascii="Arial" w:cs="Arial" w:eastAsia="Arial" w:hAnsi="Arial"/>
          <w:sz w:val="22"/>
          <w:szCs w:val="22"/>
          <w:color w:val="auto"/>
        </w:rPr>
      </w:pPr>
    </w:p>
    <w:p>
      <w:pPr>
        <w:jc w:val="both"/>
        <w:ind w:left="4" w:right="20" w:firstLine="645"/>
        <w:spacing w:after="0" w:line="238" w:lineRule="auto"/>
        <w:tabs>
          <w:tab w:leader="none" w:pos="130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Borrower;</w:t>
      </w:r>
    </w:p>
    <w:p>
      <w:pPr>
        <w:spacing w:after="0" w:line="185" w:lineRule="exact"/>
        <w:rPr>
          <w:rFonts w:ascii="Arial" w:cs="Arial" w:eastAsia="Arial" w:hAnsi="Arial"/>
          <w:sz w:val="22"/>
          <w:szCs w:val="22"/>
          <w:color w:val="auto"/>
        </w:rPr>
      </w:pPr>
    </w:p>
    <w:p>
      <w:pPr>
        <w:ind w:left="4" w:right="20" w:firstLine="645"/>
        <w:spacing w:after="0" w:line="251" w:lineRule="auto"/>
        <w:tabs>
          <w:tab w:leader="none" w:pos="1297"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require that the Borrowers Cash Collateralize the L/C-BA Obligations (in an amount equal to the then Outstanding Amount thereof);</w:t>
      </w:r>
    </w:p>
    <w:p>
      <w:pPr>
        <w:spacing w:after="0" w:line="173" w:lineRule="exact"/>
        <w:rPr>
          <w:rFonts w:ascii="Arial" w:cs="Arial" w:eastAsia="Arial" w:hAnsi="Arial"/>
          <w:sz w:val="22"/>
          <w:szCs w:val="22"/>
          <w:color w:val="auto"/>
        </w:rPr>
      </w:pPr>
    </w:p>
    <w:p>
      <w:pPr>
        <w:ind w:left="4" w:right="20" w:firstLine="645"/>
        <w:spacing w:after="0" w:line="251" w:lineRule="auto"/>
        <w:tabs>
          <w:tab w:leader="none" w:pos="130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exercise on behalf of itself, the Lenders and the L/C-BA Issuer all rights and remedies available to it, the Lenders and the L/C-BA Issuer under the Loan Documents; and</w:t>
      </w:r>
    </w:p>
    <w:p>
      <w:pPr>
        <w:spacing w:after="0" w:line="173" w:lineRule="exact"/>
        <w:rPr>
          <w:rFonts w:ascii="Arial" w:cs="Arial" w:eastAsia="Arial" w:hAnsi="Arial"/>
          <w:sz w:val="22"/>
          <w:szCs w:val="22"/>
          <w:color w:val="auto"/>
        </w:rPr>
      </w:pPr>
    </w:p>
    <w:p>
      <w:pPr>
        <w:jc w:val="both"/>
        <w:ind w:left="4" w:right="20" w:firstLine="645"/>
        <w:spacing w:after="0"/>
        <w:tabs>
          <w:tab w:leader="none" w:pos="1297" w:val="left"/>
        </w:tabs>
        <w:numPr>
          <w:ilvl w:val="0"/>
          <w:numId w:val="177"/>
        </w:numPr>
        <w:rPr>
          <w:rFonts w:ascii="Arial" w:cs="Arial" w:eastAsia="Arial" w:hAnsi="Arial"/>
          <w:sz w:val="22"/>
          <w:szCs w:val="22"/>
          <w:color w:val="auto"/>
        </w:rPr>
      </w:pPr>
      <w:r>
        <w:rPr>
          <w:rFonts w:ascii="Arial" w:cs="Arial" w:eastAsia="Arial" w:hAnsi="Arial"/>
          <w:sz w:val="22"/>
          <w:szCs w:val="22"/>
          <w:color w:val="auto"/>
        </w:rPr>
        <w:t>direct the Administrative Agent (as collateral agent) in accordance with the Intercreditor Agreement to exercise on behalf of the Secured Parties all rights and remedies available to the Secured Parties under the Collateral Documents</w:t>
      </w:r>
    </w:p>
    <w:p>
      <w:pPr>
        <w:spacing w:after="0" w:line="186" w:lineRule="exact"/>
        <w:rPr>
          <w:sz w:val="20"/>
          <w:szCs w:val="20"/>
          <w:color w:val="auto"/>
        </w:rPr>
      </w:pPr>
    </w:p>
    <w:p>
      <w:pPr>
        <w:jc w:val="both"/>
        <w:ind w:left="4" w:right="20"/>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upon the occurrence of an actual or deemed entry of an order for relief with respect to any Borrower under any Debtor Relief Law, the obligation of each Lender to make Loans and any obligation of the L/C-BA Issuer to make L/C-BA Credit Extensions shall</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63" w:name="page164"/>
    <w:bookmarkEnd w:id="163"/>
    <w:p>
      <w:pPr>
        <w:jc w:val="both"/>
        <w:spacing w:after="0" w:line="238" w:lineRule="auto"/>
        <w:rPr>
          <w:sz w:val="20"/>
          <w:szCs w:val="20"/>
          <w:color w:val="auto"/>
        </w:rPr>
      </w:pPr>
      <w:r>
        <w:rPr>
          <w:rFonts w:ascii="Arial" w:cs="Arial" w:eastAsia="Arial" w:hAnsi="Arial"/>
          <w:sz w:val="22"/>
          <w:szCs w:val="22"/>
          <w:color w:val="auto"/>
        </w:rPr>
        <w:t>automatically terminate, the unpaid principal amount of all outstanding Loans and all interest and other amounts as aforesaid shall automatically become due and payable, and the obligation of the Borrowers to Cash Collateralize the L/C-BA Obligations as aforesaid shall automatically become effective, in each case without further act of the Administrative Agent or any Lender.</w:t>
      </w:r>
    </w:p>
    <w:p>
      <w:pPr>
        <w:spacing w:after="0" w:line="179" w:lineRule="exact"/>
        <w:rPr>
          <w:sz w:val="20"/>
          <w:szCs w:val="20"/>
          <w:color w:val="auto"/>
        </w:rPr>
      </w:pPr>
    </w:p>
    <w:p>
      <w:pPr>
        <w:jc w:val="both"/>
        <w:ind w:left="20" w:firstLine="648"/>
        <w:spacing w:after="0" w:line="236" w:lineRule="auto"/>
        <w:rPr>
          <w:sz w:val="20"/>
          <w:szCs w:val="20"/>
          <w:color w:val="auto"/>
        </w:rPr>
      </w:pPr>
      <w:r>
        <w:rPr>
          <w:rFonts w:ascii="Arial" w:cs="Arial" w:eastAsia="Arial" w:hAnsi="Arial"/>
          <w:sz w:val="22"/>
          <w:szCs w:val="22"/>
          <w:b w:val="1"/>
          <w:bCs w:val="1"/>
          <w:color w:val="auto"/>
        </w:rPr>
        <w:t>8.03 Application of Funds</w:t>
      </w:r>
      <w:r>
        <w:rPr>
          <w:rFonts w:ascii="Arial" w:cs="Arial" w:eastAsia="Arial" w:hAnsi="Arial"/>
          <w:sz w:val="22"/>
          <w:szCs w:val="22"/>
          <w:color w:val="auto"/>
        </w:rPr>
        <w:t>. After the exercise of remedies provided for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8.02</w:t>
      </w:r>
      <w:r>
        <w:rPr>
          <w:rFonts w:ascii="Arial" w:cs="Arial" w:eastAsia="Arial" w:hAnsi="Arial"/>
          <w:sz w:val="22"/>
          <w:szCs w:val="22"/>
          <w:b w:val="1"/>
          <w:bCs w:val="1"/>
          <w:color w:val="auto"/>
        </w:rPr>
        <w:t xml:space="preserve"> </w:t>
      </w:r>
      <w:r>
        <w:rPr>
          <w:rFonts w:ascii="Arial" w:cs="Arial" w:eastAsia="Arial" w:hAnsi="Arial"/>
          <w:sz w:val="22"/>
          <w:szCs w:val="22"/>
          <w:color w:val="auto"/>
        </w:rPr>
        <w:t>(or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Loans have automatically become immediately due and payable and the L/C-BA Obligations have automatically been required to be Cash Collateralized as set forth in the proviso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any amounts received on account of the Obligations (including amounts received pursuant to the Intercreditor Agreement) shall, subject to the provisions of the Intercreditor Agreement (if any), </w:t>
      </w:r>
      <w:r>
        <w:rPr>
          <w:rFonts w:ascii="Arial" w:cs="Arial" w:eastAsia="Arial" w:hAnsi="Arial"/>
          <w:sz w:val="22"/>
          <w:szCs w:val="22"/>
          <w:u w:val="single" w:color="auto"/>
          <w:color w:val="auto"/>
        </w:rPr>
        <w:t>Sections 2.15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2.16</w:t>
      </w:r>
      <w:r>
        <w:rPr>
          <w:rFonts w:ascii="Arial" w:cs="Arial" w:eastAsia="Arial" w:hAnsi="Arial"/>
          <w:sz w:val="22"/>
          <w:szCs w:val="22"/>
          <w:color w:val="auto"/>
        </w:rPr>
        <w:t>, be applied by the Administrative Agent in the following order:</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its capacity as such;</w:t>
      </w:r>
    </w:p>
    <w:p>
      <w:pPr>
        <w:spacing w:after="0" w:line="18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w:t>
      </w: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of that portion of the Obligations constituting fees, indemnities and other amounts (other than principal, interest, Letter of Credit Fees and BA Fees) arising under the Loan Documents and payable to the Lenders and the L/C-BA Issuer (including fees, charges and disbursements of counsel to the respective Lenders and the L/C-BA Issuer (including fees and time charges for attorneys who may be employees of any Lender or the L/C-BA Issuer) and amounts payable under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ratably among them in proportion to the respective amounts described in this clause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payable to them;</w:t>
      </w:r>
    </w:p>
    <w:p>
      <w:pPr>
        <w:spacing w:after="0" w:line="17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Letter of Credit Fees, BA Fees and interest on the Loans, L/C-BA Borrowings and other Obligations arising under the Loan Documents, ratably among the Lenders and the L/C-BA Issuer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5"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1"/>
          <w:szCs w:val="21"/>
          <w:u w:val="single" w:color="auto"/>
          <w:color w:val="auto"/>
        </w:rPr>
        <w:t>Fourth</w:t>
      </w:r>
      <w:r>
        <w:rPr>
          <w:rFonts w:ascii="Arial" w:cs="Arial" w:eastAsia="Arial" w:hAnsi="Arial"/>
          <w:sz w:val="21"/>
          <w:szCs w:val="21"/>
          <w:color w:val="auto"/>
        </w:rPr>
        <w:t xml:space="preserve">, to payment of that portion of the Obligations constituting unpaid principal of the Loans, L/C-BA Borrowings and Obligations then owing under Secured Hedge Agreements and Secured Cash Management Agreements, ratably among the Lenders, the L/C-BA Issuer, the Hedge Banks and the Cash Management Banks in proportion to the respective amounts described in this clause </w:t>
      </w:r>
      <w:r>
        <w:rPr>
          <w:rFonts w:ascii="Arial" w:cs="Arial" w:eastAsia="Arial" w:hAnsi="Arial"/>
          <w:sz w:val="21"/>
          <w:szCs w:val="21"/>
          <w:u w:val="single" w:color="auto"/>
          <w:color w:val="auto"/>
        </w:rPr>
        <w:t>Fourth</w:t>
      </w:r>
      <w:r>
        <w:rPr>
          <w:rFonts w:ascii="Arial" w:cs="Arial" w:eastAsia="Arial" w:hAnsi="Arial"/>
          <w:sz w:val="21"/>
          <w:szCs w:val="21"/>
          <w:color w:val="auto"/>
        </w:rPr>
        <w:t xml:space="preserve"> held by them;</w:t>
      </w:r>
    </w:p>
    <w:p>
      <w:pPr>
        <w:spacing w:after="0" w:line="174"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Administrative Agent for the account of the L/C-BA Issuer, to Cash Collateralize that portion of L/C-BA Obligations comprised of the aggregate undrawn amount of Letters of Credit or Bankers’ Acceptances to the extent not otherwise Cash Collateralized by the Borrowers pursuant to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2.15</w:t>
      </w:r>
      <w:r>
        <w:rPr>
          <w:rFonts w:ascii="Arial" w:cs="Arial" w:eastAsia="Arial" w:hAnsi="Arial"/>
          <w:sz w:val="19"/>
          <w:szCs w:val="19"/>
          <w:color w:val="auto"/>
        </w:rPr>
        <w:t>; and</w:t>
      </w:r>
    </w:p>
    <w:p>
      <w:pPr>
        <w:spacing w:after="0" w:line="13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Borrowers or as otherwise required by Law;</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Excluded Swap Obligations with respect to any Loan Party shall not be paid with amounts received from such Loan Party or its assets, but appropriate adjustments shall be made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64" w:name="page165"/>
    <w:bookmarkEnd w:id="164"/>
    <w:p>
      <w:pPr>
        <w:jc w:val="both"/>
        <w:ind w:right="20"/>
        <w:spacing w:after="0" w:line="251" w:lineRule="auto"/>
        <w:rPr>
          <w:sz w:val="20"/>
          <w:szCs w:val="20"/>
          <w:color w:val="auto"/>
        </w:rPr>
      </w:pPr>
      <w:r>
        <w:rPr>
          <w:rFonts w:ascii="Arial" w:cs="Arial" w:eastAsia="Arial" w:hAnsi="Arial"/>
          <w:sz w:val="22"/>
          <w:szCs w:val="22"/>
          <w:color w:val="auto"/>
        </w:rPr>
        <w:t>with respect to payments from other Loan Parties to preserve the allocation to Obligations otherwise set forth above in this Section.</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2.03(d)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amounts used to Cash Collateralize the aggregate undrawn amount of Letters of Credit or Bankers’ Acceptances pursuant to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above shall be applied to satisfy drawings under such Letters of Credit or Bankers’ Acceptances as they occur. If any amount remains on deposit as Cash Collateral after all Letters of Credit or Bankers’ Acceptances have either been fully drawn or expired, such remaining amount shall be applied to the other Obligations, if any, in the order set forth above and subject to the Intercreditor Agreement (if any).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 xml:space="preserve">Notwithstanding the foregoing, </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for itself and its Affiliates as if a “Lender” party hereto.</w:t>
      </w:r>
    </w:p>
    <w:p>
      <w:pPr>
        <w:spacing w:after="0" w:line="15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Any amounts received by the Administrative Agent (as collateral agent) on account of the Obligations shall be applied by the Administrative Agent as set forth in the Intercreditor Agreement (if any).</w:t>
      </w:r>
    </w:p>
    <w:p>
      <w:pPr>
        <w:spacing w:after="0" w:line="145" w:lineRule="exact"/>
        <w:rPr>
          <w:sz w:val="20"/>
          <w:szCs w:val="20"/>
          <w:color w:val="auto"/>
        </w:rPr>
      </w:pPr>
    </w:p>
    <w:p>
      <w:pPr>
        <w:ind w:left="660" w:right="2980" w:firstLine="2298"/>
        <w:spacing w:after="0" w:line="438" w:lineRule="auto"/>
        <w:rPr>
          <w:sz w:val="20"/>
          <w:szCs w:val="20"/>
          <w:color w:val="auto"/>
        </w:rPr>
      </w:pPr>
      <w:r>
        <w:rPr>
          <w:rFonts w:ascii="Arial" w:cs="Arial" w:eastAsia="Arial" w:hAnsi="Arial"/>
          <w:sz w:val="22"/>
          <w:szCs w:val="22"/>
          <w:b w:val="1"/>
          <w:bCs w:val="1"/>
          <w:color w:val="auto"/>
        </w:rPr>
        <w:t>ARTICLE IX. ADMINISTRATIVE AGENT 9.01 Appointment and Authority</w:t>
      </w:r>
      <w:r>
        <w:rPr>
          <w:rFonts w:ascii="Arial" w:cs="Arial" w:eastAsia="Arial" w:hAnsi="Arial"/>
          <w:sz w:val="22"/>
          <w:szCs w:val="22"/>
          <w:color w:val="auto"/>
        </w:rPr>
        <w:t>.</w:t>
      </w:r>
    </w:p>
    <w:p>
      <w:pPr>
        <w:spacing w:after="0" w:line="1" w:lineRule="exact"/>
        <w:rPr>
          <w:sz w:val="20"/>
          <w:szCs w:val="20"/>
          <w:color w:val="auto"/>
        </w:rPr>
      </w:pPr>
    </w:p>
    <w:p>
      <w:pPr>
        <w:jc w:val="both"/>
        <w:ind w:right="20" w:firstLine="645"/>
        <w:spacing w:after="0" w:line="274" w:lineRule="auto"/>
        <w:tabs>
          <w:tab w:leader="none" w:pos="129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Each of the Lenders and the L/C-BA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and each of the Singapore Term Loan Lenders hereby irrevocably appoints Bank of America Singapore to act as the Singapore Agent with respect to fundings, payments, interest rate selection, fees, assignments, participations and notices relating to the Singapore Term Loan Facility. The provisions of this Article are solely for the benefit of the Administrative Agent, the Lenders and the L/C-BA Issuer, and neither any Borrower nor any other Loan Party shall have rights as a third party beneficiary of any of such provisions.</w:t>
      </w:r>
    </w:p>
    <w:p>
      <w:pPr>
        <w:spacing w:after="0" w:line="158" w:lineRule="exact"/>
        <w:rPr>
          <w:rFonts w:ascii="Arial" w:cs="Arial" w:eastAsia="Arial" w:hAnsi="Arial"/>
          <w:sz w:val="19"/>
          <w:szCs w:val="19"/>
          <w:color w:val="auto"/>
        </w:rPr>
      </w:pPr>
    </w:p>
    <w:p>
      <w:pPr>
        <w:jc w:val="both"/>
        <w:ind w:firstLine="645"/>
        <w:spacing w:after="0" w:line="282" w:lineRule="auto"/>
        <w:tabs>
          <w:tab w:leader="none" w:pos="130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Bank of America, N.A., as Administrative Agent, shall also act as the “collateral agent” under the Loan Documents, and each of the Lenders (including in its capacities as a potential Hedge Bank and a potential Cash Management Bank) and the L/C-BA Issuer hereby irrevocably appoints and authorizes the Administrative Agent to act as the agent of such Lender and the L/C-BA Issuer for purposes of acquiring, holding and enforcing any and all Liens on Collateral granted by any of the Loan Parties to secure any of the Obligations, together with such</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65" w:name="page166"/>
    <w:bookmarkEnd w:id="165"/>
    <w:p>
      <w:pPr>
        <w:jc w:val="both"/>
        <w:spacing w:after="0" w:line="247" w:lineRule="auto"/>
        <w:rPr>
          <w:sz w:val="20"/>
          <w:szCs w:val="20"/>
          <w:color w:val="auto"/>
        </w:rPr>
      </w:pPr>
      <w:r>
        <w:rPr>
          <w:rFonts w:ascii="Arial" w:cs="Arial" w:eastAsia="Arial" w:hAnsi="Arial"/>
          <w:sz w:val="21"/>
          <w:szCs w:val="21"/>
          <w:color w:val="auto"/>
        </w:rPr>
        <w:t xml:space="preserve">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21"/>
          <w:szCs w:val="21"/>
          <w:u w:val="single" w:color="auto"/>
          <w:color w:val="auto"/>
        </w:rPr>
        <w:t>Section 9.05</w:t>
      </w:r>
      <w:r>
        <w:rPr>
          <w:rFonts w:ascii="Arial" w:cs="Arial" w:eastAsia="Arial" w:hAnsi="Arial"/>
          <w:sz w:val="21"/>
          <w:szCs w:val="21"/>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(including </w:t>
      </w:r>
      <w:r>
        <w:rPr>
          <w:rFonts w:ascii="Arial" w:cs="Arial" w:eastAsia="Arial" w:hAnsi="Arial"/>
          <w:sz w:val="21"/>
          <w:szCs w:val="21"/>
          <w:u w:val="single" w:color="auto"/>
          <w:color w:val="auto"/>
        </w:rPr>
        <w:t>Section 10.04(c)</w:t>
      </w:r>
      <w:r>
        <w:rPr>
          <w:rFonts w:ascii="Arial" w:cs="Arial" w:eastAsia="Arial" w:hAnsi="Arial"/>
          <w:sz w:val="21"/>
          <w:szCs w:val="21"/>
          <w:color w:val="auto"/>
        </w:rPr>
        <w:t>, as though such co-agents, sub-agents and attorneys-in-fact were the “collateral agent” under the Loan Documents) as if set forth in full herein with respect thereto.</w:t>
      </w:r>
    </w:p>
    <w:p>
      <w:pPr>
        <w:spacing w:after="0" w:line="179" w:lineRule="exact"/>
        <w:rPr>
          <w:sz w:val="20"/>
          <w:szCs w:val="20"/>
          <w:color w:val="auto"/>
        </w:rPr>
      </w:pPr>
    </w:p>
    <w:p>
      <w:pPr>
        <w:jc w:val="both"/>
        <w:ind w:right="20" w:firstLine="645"/>
        <w:spacing w:after="0" w:line="282" w:lineRule="auto"/>
        <w:tabs>
          <w:tab w:leader="none" w:pos="129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Each Lender (including in its capacities as a potential Hedge Bank and a potential Cash Management Bank) and the L/C-BA Issuer hereby authorize the Administrative Agent to enter into each of the Subordination Agreement, the Intercreditor Agreement and any amendment (or amendment and restatement) to any Collateral Document necessary to reflect the appointment of the Administrative Agent (as collateral agent) and the parity lien on the respective Collateral described therein in favor of any holders of Senior Note Indebtedness.</w:t>
      </w:r>
    </w:p>
    <w:p>
      <w:pPr>
        <w:spacing w:after="0" w:line="147" w:lineRule="exact"/>
        <w:rPr>
          <w:rFonts w:ascii="Arial" w:cs="Arial" w:eastAsia="Arial" w:hAnsi="Arial"/>
          <w:sz w:val="19"/>
          <w:szCs w:val="19"/>
          <w:color w:val="auto"/>
        </w:rPr>
      </w:pPr>
    </w:p>
    <w:p>
      <w:pPr>
        <w:ind w:right="20" w:firstLine="645"/>
        <w:spacing w:after="0" w:line="251" w:lineRule="auto"/>
        <w:tabs>
          <w:tab w:leader="none" w:pos="130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Each of Bank of America, N.A. and Bank of America, N.A., Singapore Branch, is entitled to the benefits of this Article IX.</w:t>
      </w:r>
    </w:p>
    <w:p>
      <w:pPr>
        <w:spacing w:after="0" w:line="167" w:lineRule="exact"/>
        <w:rPr>
          <w:sz w:val="20"/>
          <w:szCs w:val="20"/>
          <w:color w:val="auto"/>
        </w:rPr>
      </w:pPr>
    </w:p>
    <w:p>
      <w:pPr>
        <w:jc w:val="both"/>
        <w:ind w:left="20" w:firstLine="648"/>
        <w:spacing w:after="0" w:line="276" w:lineRule="auto"/>
        <w:rPr>
          <w:sz w:val="20"/>
          <w:szCs w:val="20"/>
          <w:color w:val="auto"/>
        </w:rPr>
      </w:pPr>
      <w:r>
        <w:rPr>
          <w:rFonts w:ascii="Arial" w:cs="Arial" w:eastAsia="Arial" w:hAnsi="Arial"/>
          <w:sz w:val="19"/>
          <w:szCs w:val="19"/>
          <w:b w:val="1"/>
          <w:bCs w:val="1"/>
          <w:color w:val="auto"/>
        </w:rPr>
        <w:t>9.02 Rights as a Lender</w:t>
      </w:r>
      <w:r>
        <w:rPr>
          <w:rFonts w:ascii="Arial" w:cs="Arial" w:eastAsia="Arial" w:hAnsi="Arial"/>
          <w:sz w:val="19"/>
          <w:szCs w:val="19"/>
          <w:color w:val="auto"/>
        </w:rPr>
        <w:t>. The Person serving as the Administrative Agent hereunder shall have the same</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Restricted Subsidiary or other Affiliate thereof as if such Person were not the Administrative Agent hereunder and without any duty to account therefor to the Lenders.</w:t>
      </w:r>
    </w:p>
    <w:p>
      <w:pPr>
        <w:spacing w:after="0" w:line="151" w:lineRule="exact"/>
        <w:rPr>
          <w:sz w:val="20"/>
          <w:szCs w:val="20"/>
          <w:color w:val="auto"/>
        </w:rPr>
      </w:pPr>
    </w:p>
    <w:p>
      <w:pPr>
        <w:jc w:val="both"/>
        <w:ind w:left="20" w:right="20" w:firstLine="648"/>
        <w:spacing w:after="0" w:line="243" w:lineRule="auto"/>
        <w:rPr>
          <w:sz w:val="20"/>
          <w:szCs w:val="20"/>
          <w:color w:val="auto"/>
        </w:rPr>
      </w:pPr>
      <w:r>
        <w:rPr>
          <w:rFonts w:ascii="Arial" w:cs="Arial" w:eastAsia="Arial" w:hAnsi="Arial"/>
          <w:sz w:val="22"/>
          <w:szCs w:val="22"/>
          <w:b w:val="1"/>
          <w:bCs w:val="1"/>
          <w:color w:val="auto"/>
        </w:rPr>
        <w:t>9.03 Exculpatory Provisions</w:t>
      </w:r>
      <w:r>
        <w:rPr>
          <w:rFonts w:ascii="Arial" w:cs="Arial" w:eastAsia="Arial" w:hAnsi="Arial"/>
          <w:sz w:val="22"/>
          <w:szCs w:val="22"/>
          <w:color w:val="auto"/>
        </w:rPr>
        <w:t>. The Administrative Agent shall not have any duties or obligations except</w:t>
      </w:r>
      <w:r>
        <w:rPr>
          <w:rFonts w:ascii="Arial" w:cs="Arial" w:eastAsia="Arial" w:hAnsi="Arial"/>
          <w:sz w:val="22"/>
          <w:szCs w:val="22"/>
          <w:b w:val="1"/>
          <w:bCs w:val="1"/>
          <w:color w:val="auto"/>
        </w:rPr>
        <w:t xml:space="preserve"> </w:t>
      </w:r>
      <w:r>
        <w:rPr>
          <w:rFonts w:ascii="Arial" w:cs="Arial" w:eastAsia="Arial" w:hAnsi="Arial"/>
          <w:sz w:val="22"/>
          <w:szCs w:val="22"/>
          <w:color w:val="auto"/>
        </w:rPr>
        <w:t>those expressly set forth herein and in the other Loan Documents. Without limiting the generality of the foregoing, the Administrative Agent:</w:t>
      </w:r>
    </w:p>
    <w:p>
      <w:pPr>
        <w:spacing w:after="0" w:line="183" w:lineRule="exact"/>
        <w:rPr>
          <w:sz w:val="20"/>
          <w:szCs w:val="20"/>
          <w:color w:val="auto"/>
        </w:rPr>
      </w:pPr>
    </w:p>
    <w:p>
      <w:pPr>
        <w:ind w:right="20" w:firstLine="645"/>
        <w:spacing w:after="0" w:line="251" w:lineRule="auto"/>
        <w:tabs>
          <w:tab w:leader="none" w:pos="129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has occurred and is continuing;</w:t>
      </w:r>
    </w:p>
    <w:p>
      <w:pPr>
        <w:spacing w:after="0" w:line="173" w:lineRule="exact"/>
        <w:rPr>
          <w:rFonts w:ascii="Arial" w:cs="Arial" w:eastAsia="Arial" w:hAnsi="Arial"/>
          <w:sz w:val="22"/>
          <w:szCs w:val="22"/>
          <w:color w:val="auto"/>
        </w:rPr>
      </w:pPr>
    </w:p>
    <w:p>
      <w:pPr>
        <w:jc w:val="both"/>
        <w:ind w:right="20" w:firstLine="645"/>
        <w:spacing w:after="0" w:line="279" w:lineRule="auto"/>
        <w:tabs>
          <w:tab w:leader="none" w:pos="130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66" w:name="page167"/>
    <w:bookmarkEnd w:id="166"/>
    <w:p>
      <w:pPr>
        <w:jc w:val="both"/>
        <w:ind w:left="4" w:firstLine="645"/>
        <w:spacing w:after="0" w:line="238" w:lineRule="auto"/>
        <w:tabs>
          <w:tab w:leader="none" w:pos="1500" w:val="left"/>
        </w:tabs>
        <w:numPr>
          <w:ilvl w:val="1"/>
          <w:numId w:val="181"/>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spacing w:after="0" w:line="185" w:lineRule="exact"/>
        <w:rPr>
          <w:rFonts w:ascii="Arial" w:cs="Arial" w:eastAsia="Arial" w:hAnsi="Arial"/>
          <w:sz w:val="22"/>
          <w:szCs w:val="22"/>
          <w:color w:val="auto"/>
        </w:rPr>
      </w:pPr>
    </w:p>
    <w:p>
      <w:pPr>
        <w:jc w:val="both"/>
        <w:ind w:left="4" w:firstLine="645"/>
        <w:spacing w:after="0" w:line="279" w:lineRule="auto"/>
        <w:tabs>
          <w:tab w:leader="none" w:pos="1309"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10.01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The Administrative Agent shall be deemed not to have knowledge of any Default unless and until notice describing such Default is given to the Administrative Agent by a Borrower, a Lender or the L/C-BA Issuer.</w:t>
      </w:r>
    </w:p>
    <w:p>
      <w:pPr>
        <w:spacing w:after="0" w:line="150" w:lineRule="exact"/>
        <w:rPr>
          <w:rFonts w:ascii="Arial" w:cs="Arial" w:eastAsia="Arial" w:hAnsi="Arial"/>
          <w:sz w:val="19"/>
          <w:szCs w:val="19"/>
          <w:color w:val="auto"/>
        </w:rPr>
      </w:pPr>
    </w:p>
    <w:p>
      <w:pPr>
        <w:ind w:left="1284" w:hanging="635"/>
        <w:spacing w:after="0"/>
        <w:tabs>
          <w:tab w:leader="none" w:pos="1284"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for or have any duty to ascertain or inquire into</w:t>
      </w:r>
    </w:p>
    <w:p>
      <w:pPr>
        <w:spacing w:after="0" w:line="42" w:lineRule="exact"/>
        <w:rPr>
          <w:rFonts w:ascii="Arial" w:cs="Arial" w:eastAsia="Arial" w:hAnsi="Arial"/>
          <w:sz w:val="19"/>
          <w:szCs w:val="19"/>
          <w:color w:val="auto"/>
        </w:rPr>
      </w:pPr>
    </w:p>
    <w:p>
      <w:pPr>
        <w:jc w:val="both"/>
        <w:ind w:left="4" w:hanging="4"/>
        <w:spacing w:after="0" w:line="273" w:lineRule="auto"/>
        <w:tabs>
          <w:tab w:leader="none" w:pos="3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54" w:lineRule="exact"/>
        <w:rPr>
          <w:sz w:val="20"/>
          <w:szCs w:val="20"/>
          <w:color w:val="auto"/>
        </w:rPr>
      </w:pPr>
    </w:p>
    <w:p>
      <w:pPr>
        <w:jc w:val="both"/>
        <w:ind w:left="24" w:firstLine="648"/>
        <w:spacing w:after="0" w:line="244" w:lineRule="auto"/>
        <w:rPr>
          <w:sz w:val="20"/>
          <w:szCs w:val="20"/>
          <w:color w:val="auto"/>
        </w:rPr>
      </w:pPr>
      <w:r>
        <w:rPr>
          <w:rFonts w:ascii="Arial" w:cs="Arial" w:eastAsia="Arial" w:hAnsi="Arial"/>
          <w:sz w:val="21"/>
          <w:szCs w:val="21"/>
          <w:b w:val="1"/>
          <w:bCs w:val="1"/>
          <w:color w:val="auto"/>
        </w:rPr>
        <w:t>9.04 Reliance by Administrative Agent</w:t>
      </w:r>
      <w:r>
        <w:rPr>
          <w:rFonts w:ascii="Arial" w:cs="Arial" w:eastAsia="Arial" w:hAnsi="Arial"/>
          <w:sz w:val="21"/>
          <w:szCs w:val="21"/>
          <w:color w:val="auto"/>
        </w:rPr>
        <w:t>. The Administrative Agent shall be entitled to rely upon,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or Bankers’ Acceptance, that by its terms must be fulfilled to the satisfaction of a Lender or the L/C-BA Issuer, the Administrative Agent may presume that such condition is satisfactory to such Lender or the L/C-BA Issuer unless the Administrative Agent shall have received notice to the contrary from such Lender or the L/C-BA Issuer prior to the making of such Loan or the issuance of such Letter of Credit or Bankers’ Acceptance.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jc w:val="both"/>
        <w:ind w:left="24" w:firstLine="648"/>
        <w:spacing w:after="0" w:line="237" w:lineRule="auto"/>
        <w:rPr>
          <w:sz w:val="20"/>
          <w:szCs w:val="20"/>
          <w:color w:val="auto"/>
        </w:rPr>
      </w:pPr>
      <w:r>
        <w:rPr>
          <w:rFonts w:ascii="Arial" w:cs="Arial" w:eastAsia="Arial" w:hAnsi="Arial"/>
          <w:sz w:val="22"/>
          <w:szCs w:val="22"/>
          <w:b w:val="1"/>
          <w:bCs w:val="1"/>
          <w:color w:val="auto"/>
        </w:rPr>
        <w:t>9.05 Delegation of Duties</w:t>
      </w:r>
      <w:r>
        <w:rPr>
          <w:rFonts w:ascii="Arial" w:cs="Arial" w:eastAsia="Arial" w:hAnsi="Arial"/>
          <w:sz w:val="22"/>
          <w:szCs w:val="22"/>
          <w:color w:val="auto"/>
        </w:rPr>
        <w:t>. The Administrative Agent may perform any and all of its duties and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67" w:name="page168"/>
    <w:bookmarkEnd w:id="167"/>
    <w:p>
      <w:pPr>
        <w:jc w:val="both"/>
        <w:ind w:left="20" w:right="20"/>
        <w:spacing w:after="0" w:line="241" w:lineRule="auto"/>
        <w:rPr>
          <w:sz w:val="20"/>
          <w:szCs w:val="20"/>
          <w:color w:val="auto"/>
        </w:rPr>
      </w:pPr>
      <w:r>
        <w:rPr>
          <w:rFonts w:ascii="Arial" w:cs="Arial" w:eastAsia="Arial" w:hAnsi="Arial"/>
          <w:sz w:val="22"/>
          <w:szCs w:val="22"/>
          <w:color w:val="auto"/>
        </w:rPr>
        <w:t>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spacing w:after="0" w:line="178"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9"/>
          <w:szCs w:val="19"/>
          <w:b w:val="1"/>
          <w:bCs w:val="1"/>
          <w:color w:val="auto"/>
        </w:rPr>
        <w:t>9.06 Resignation of Administrative Agent</w:t>
      </w:r>
      <w:r>
        <w:rPr>
          <w:rFonts w:ascii="Arial" w:cs="Arial" w:eastAsia="Arial" w:hAnsi="Arial"/>
          <w:sz w:val="19"/>
          <w:szCs w:val="19"/>
          <w:color w:val="auto"/>
        </w:rPr>
        <w:t>. (a) The Administrative Agent may at any time give notice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its resignation to the Lenders, the L/C-BA Issuer and the Borrowing Agent. Upon receipt of any such notice of resignation, the Required Lenders shall have the right, in consultation with the Borrowing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L/C-BA Issuer,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Borrowing Agent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and the L/C-BA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03" w:lineRule="exact"/>
        <w:rPr>
          <w:sz w:val="20"/>
          <w:szCs w:val="20"/>
          <w:color w:val="auto"/>
        </w:rPr>
      </w:pPr>
    </w:p>
    <w:p>
      <w:pPr>
        <w:jc w:val="both"/>
        <w:ind w:right="20" w:firstLine="645"/>
        <w:spacing w:after="0" w:line="277" w:lineRule="auto"/>
        <w:tabs>
          <w:tab w:leader="none" w:pos="1305"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If the Person serving as Administrative Agent is a Defaulting Lender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thereof, the Required Lenders may, to the extent permitted by applicable law, by notice in writing to the Borrowing Agent and such Person remove such Person as Administrative Agent and, with the consent of the Borrowing Agent so long as no Event of Default has occurred and is continuing,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52" w:lineRule="exact"/>
        <w:rPr>
          <w:rFonts w:ascii="Arial" w:cs="Arial" w:eastAsia="Arial" w:hAnsi="Arial"/>
          <w:sz w:val="19"/>
          <w:szCs w:val="19"/>
          <w:color w:val="auto"/>
        </w:rPr>
      </w:pPr>
    </w:p>
    <w:p>
      <w:pPr>
        <w:jc w:val="both"/>
        <w:ind w:right="20" w:firstLine="645"/>
        <w:spacing w:after="0"/>
        <w:tabs>
          <w:tab w:leader="none" w:pos="1293"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resignation by Bank of America as Administrative Agent pursuant to this Section shall also constitute its resignation as L/C-BA Issuer and Swing Line Lender. Upon the acceptance of a successor’s appointment as Administrative Agent hereunder, (a) such successor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68" w:name="page169"/>
    <w:bookmarkEnd w:id="168"/>
    <w:p>
      <w:pPr>
        <w:jc w:val="both"/>
        <w:spacing w:after="0" w:line="277" w:lineRule="auto"/>
        <w:rPr>
          <w:sz w:val="20"/>
          <w:szCs w:val="20"/>
          <w:color w:val="auto"/>
        </w:rPr>
      </w:pPr>
      <w:r>
        <w:rPr>
          <w:rFonts w:ascii="Arial" w:cs="Arial" w:eastAsia="Arial" w:hAnsi="Arial"/>
          <w:sz w:val="19"/>
          <w:szCs w:val="19"/>
          <w:color w:val="auto"/>
        </w:rPr>
        <w:t>shall succeed to and become vested with all of the rights, powers, privileges and duties of such retiring L/C-BA Issuer and Swing Line Lender, (b) such retiring L/C-BA Issuer and Swing Line Lender shall be discharged from all of their respective duties and obligations hereunder or under the other Loan Documents, and (c) the successor L/C-BA Issuer of such retiring L/C-BA Issuer shall issue letters of credit and bankers’ acceptances in substitution for the Letters of Credit or Bankers’ Acceptances issued by such retiring L/C-BA Issuer, if any, outstanding at the time of such succession or make other arrangements satisfactory to such retiring L/C-BA Issuer to effectively assume the obligations of such retiring L/C-BA Issuer with respect to such Letters of Credit or Bankers' Acceptances.</w:t>
      </w:r>
    </w:p>
    <w:p>
      <w:pPr>
        <w:spacing w:after="0" w:line="147" w:lineRule="exact"/>
        <w:rPr>
          <w:sz w:val="20"/>
          <w:szCs w:val="20"/>
          <w:color w:val="auto"/>
        </w:rPr>
      </w:pPr>
    </w:p>
    <w:p>
      <w:pPr>
        <w:jc w:val="both"/>
        <w:ind w:left="20" w:right="20" w:firstLine="648"/>
        <w:spacing w:after="0" w:line="276" w:lineRule="auto"/>
        <w:rPr>
          <w:sz w:val="20"/>
          <w:szCs w:val="20"/>
          <w:color w:val="auto"/>
        </w:rPr>
      </w:pPr>
      <w:r>
        <w:rPr>
          <w:rFonts w:ascii="Arial" w:cs="Arial" w:eastAsia="Arial" w:hAnsi="Arial"/>
          <w:sz w:val="19"/>
          <w:szCs w:val="19"/>
          <w:b w:val="1"/>
          <w:bCs w:val="1"/>
          <w:color w:val="auto"/>
        </w:rPr>
        <w:t>9.07 Non-Reliance on Administrative Agent and Other Lenders</w:t>
      </w:r>
      <w:r>
        <w:rPr>
          <w:rFonts w:ascii="Arial" w:cs="Arial" w:eastAsia="Arial" w:hAnsi="Arial"/>
          <w:sz w:val="19"/>
          <w:szCs w:val="19"/>
          <w:color w:val="auto"/>
        </w:rPr>
        <w:t>. Each Lender and the L/C-BA Issuer</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L/C-BA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1" w:lineRule="exact"/>
        <w:rPr>
          <w:sz w:val="20"/>
          <w:szCs w:val="20"/>
          <w:color w:val="auto"/>
        </w:rPr>
      </w:pPr>
    </w:p>
    <w:p>
      <w:pPr>
        <w:jc w:val="both"/>
        <w:ind w:left="20" w:firstLine="648"/>
        <w:spacing w:after="0" w:line="289" w:lineRule="auto"/>
        <w:rPr>
          <w:sz w:val="20"/>
          <w:szCs w:val="20"/>
          <w:color w:val="auto"/>
        </w:rPr>
      </w:pPr>
      <w:r>
        <w:rPr>
          <w:rFonts w:ascii="Arial" w:cs="Arial" w:eastAsia="Arial" w:hAnsi="Arial"/>
          <w:sz w:val="19"/>
          <w:szCs w:val="19"/>
          <w:b w:val="1"/>
          <w:bCs w:val="1"/>
          <w:color w:val="auto"/>
        </w:rPr>
        <w:t>9.08 No Other Duties, Etc</w:t>
      </w:r>
      <w:r>
        <w:rPr>
          <w:rFonts w:ascii="Arial" w:cs="Arial" w:eastAsia="Arial" w:hAnsi="Arial"/>
          <w:sz w:val="19"/>
          <w:szCs w:val="19"/>
          <w:color w:val="auto"/>
        </w:rPr>
        <w:t>. Anything herein to the contrary notwithstanding, none of the Bookrunners,</w:t>
      </w:r>
      <w:r>
        <w:rPr>
          <w:rFonts w:ascii="Arial" w:cs="Arial" w:eastAsia="Arial" w:hAnsi="Arial"/>
          <w:sz w:val="19"/>
          <w:szCs w:val="19"/>
          <w:b w:val="1"/>
          <w:bCs w:val="1"/>
          <w:color w:val="auto"/>
        </w:rPr>
        <w:t xml:space="preserve"> </w:t>
      </w:r>
      <w:r>
        <w:rPr>
          <w:rFonts w:ascii="Arial" w:cs="Arial" w:eastAsia="Arial" w:hAnsi="Arial"/>
          <w:sz w:val="19"/>
          <w:szCs w:val="19"/>
          <w:color w:val="auto"/>
        </w:rPr>
        <w:t>Joint Lead Arrangers, Co-Syndication Agents or Documentation Agent listed on the cover page hereof shall have any powers, duties or responsibilities under this Agreement or any of the other Loan Documents, except in its capacity, as applicable, as the Administrative Agent, a Lender or an L/C-BA Issuer hereunder.</w:t>
      </w:r>
    </w:p>
    <w:p>
      <w:pPr>
        <w:spacing w:after="0" w:line="136" w:lineRule="exact"/>
        <w:rPr>
          <w:sz w:val="20"/>
          <w:szCs w:val="20"/>
          <w:color w:val="auto"/>
        </w:rPr>
      </w:pPr>
    </w:p>
    <w:p>
      <w:pPr>
        <w:jc w:val="both"/>
        <w:ind w:left="20" w:firstLine="648"/>
        <w:spacing w:after="0" w:line="284" w:lineRule="auto"/>
        <w:rPr>
          <w:sz w:val="20"/>
          <w:szCs w:val="20"/>
          <w:color w:val="auto"/>
        </w:rPr>
      </w:pPr>
      <w:r>
        <w:rPr>
          <w:rFonts w:ascii="Arial" w:cs="Arial" w:eastAsia="Arial" w:hAnsi="Arial"/>
          <w:sz w:val="19"/>
          <w:szCs w:val="19"/>
          <w:b w:val="1"/>
          <w:bCs w:val="1"/>
          <w:color w:val="auto"/>
        </w:rPr>
        <w:t xml:space="preserve">9.09 Administrative Agent May File Proofs of Claim. </w:t>
      </w:r>
      <w:r>
        <w:rPr>
          <w:rFonts w:ascii="Arial" w:cs="Arial" w:eastAsia="Arial" w:hAnsi="Arial"/>
          <w:sz w:val="19"/>
          <w:szCs w:val="19"/>
          <w:color w:val="auto"/>
        </w:rPr>
        <w:t>In case of the pendency of any proceeding under</w:t>
      </w:r>
      <w:r>
        <w:rPr>
          <w:rFonts w:ascii="Arial" w:cs="Arial" w:eastAsia="Arial" w:hAnsi="Arial"/>
          <w:sz w:val="19"/>
          <w:szCs w:val="19"/>
          <w:b w:val="1"/>
          <w:bCs w:val="1"/>
          <w:color w:val="auto"/>
        </w:rPr>
        <w:t xml:space="preserve"> </w:t>
      </w:r>
      <w:r>
        <w:rPr>
          <w:rFonts w:ascii="Arial" w:cs="Arial" w:eastAsia="Arial" w:hAnsi="Arial"/>
          <w:sz w:val="19"/>
          <w:szCs w:val="19"/>
          <w:color w:val="auto"/>
        </w:rPr>
        <w:t>any Debtor Relief Law or any other judicial proceeding relative to any Loan Party, the Administrative Agent (irrespective of whether the principal of any Loan or L/C-BA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45" w:lineRule="exact"/>
        <w:rPr>
          <w:sz w:val="20"/>
          <w:szCs w:val="20"/>
          <w:color w:val="auto"/>
        </w:rPr>
      </w:pPr>
    </w:p>
    <w:p>
      <w:pPr>
        <w:jc w:val="both"/>
        <w:ind w:firstLine="645"/>
        <w:spacing w:after="0" w:line="277" w:lineRule="auto"/>
        <w:tabs>
          <w:tab w:leader="none" w:pos="129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L/C-BA Obligations and all other Obligations that are owing and unpaid and to file such other documents as may be necessary or advisable in order to have the claims of the Lenders, the L/C-BA Issuer and the Administrative Agent (including any claim for the reasonable compensation, expenses, disbursements and advances of the Lenders, the L/C-BA Issuer and the Administrative Agent and their respective agents and counsel and all other amounts due the Lenders, the L/C-BA Issuer and the Administrative Agent under </w:t>
      </w:r>
      <w:r>
        <w:rPr>
          <w:rFonts w:ascii="Arial" w:cs="Arial" w:eastAsia="Arial" w:hAnsi="Arial"/>
          <w:sz w:val="19"/>
          <w:szCs w:val="19"/>
          <w:u w:val="single" w:color="auto"/>
          <w:color w:val="auto"/>
        </w:rPr>
        <w:t>Sections 2.03(i)</w:t>
      </w:r>
      <w:r>
        <w:rPr>
          <w:rFonts w:ascii="Arial" w:cs="Arial" w:eastAsia="Arial" w:hAnsi="Arial"/>
          <w:sz w:val="19"/>
          <w:szCs w:val="19"/>
          <w:color w:val="auto"/>
        </w:rPr>
        <w:t xml:space="preserve">, (j) and (k),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allowed in such judicial proceeding; and</w:t>
      </w:r>
    </w:p>
    <w:p>
      <w:pPr>
        <w:spacing w:after="0" w:line="152" w:lineRule="exact"/>
        <w:rPr>
          <w:rFonts w:ascii="Arial" w:cs="Arial" w:eastAsia="Arial" w:hAnsi="Arial"/>
          <w:sz w:val="19"/>
          <w:szCs w:val="19"/>
          <w:color w:val="auto"/>
        </w:rPr>
      </w:pPr>
    </w:p>
    <w:p>
      <w:pPr>
        <w:ind w:right="20" w:firstLine="645"/>
        <w:spacing w:after="0" w:line="251" w:lineRule="auto"/>
        <w:tabs>
          <w:tab w:leader="none" w:pos="130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5777230</wp:posOffset>
            </wp:positionH>
            <wp:positionV relativeFrom="paragraph">
              <wp:posOffset>-638810</wp:posOffset>
            </wp:positionV>
            <wp:extent cx="6076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769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69" w:name="page170"/>
    <w:bookmarkEnd w:id="169"/>
    <w:p>
      <w:pPr>
        <w:jc w:val="both"/>
        <w:ind w:left="4" w:right="20"/>
        <w:spacing w:after="0" w:line="248" w:lineRule="auto"/>
        <w:rPr>
          <w:sz w:val="20"/>
          <w:szCs w:val="20"/>
          <w:color w:val="auto"/>
        </w:rPr>
      </w:pPr>
      <w:r>
        <w:rPr>
          <w:rFonts w:ascii="Arial" w:cs="Arial" w:eastAsia="Arial" w:hAnsi="Arial"/>
          <w:sz w:val="21"/>
          <w:szCs w:val="21"/>
          <w:color w:val="auto"/>
        </w:rPr>
        <w:t xml:space="preserve">and any custodian, receiver, assignee, trustee, liquidator, sequestrator or other similar official in any such judicial proceeding is hereby authorized by each Lender and the L/C-BA Issuer to make such payments to the Administrative Agent and, in the event that the Administrative Agent shall consent to the making of such payments directly to the Lenders and the L/C-BA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1"/>
          <w:szCs w:val="21"/>
          <w:u w:val="single" w:color="auto"/>
          <w:color w:val="auto"/>
        </w:rPr>
        <w:t>Sections 2.09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10.04</w:t>
      </w:r>
      <w:r>
        <w:rPr>
          <w:rFonts w:ascii="Arial" w:cs="Arial" w:eastAsia="Arial" w:hAnsi="Arial"/>
          <w:sz w:val="21"/>
          <w:szCs w:val="21"/>
          <w:color w:val="auto"/>
        </w:rPr>
        <w:t>.</w:t>
      </w:r>
    </w:p>
    <w:p>
      <w:pPr>
        <w:spacing w:after="0" w:line="178" w:lineRule="exact"/>
        <w:rPr>
          <w:sz w:val="20"/>
          <w:szCs w:val="20"/>
          <w:color w:val="auto"/>
        </w:rPr>
      </w:pPr>
    </w:p>
    <w:p>
      <w:pPr>
        <w:jc w:val="both"/>
        <w:ind w:left="4" w:right="20" w:firstLine="648"/>
        <w:spacing w:after="0" w:line="287"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the L/C-BA Issuer any plan of reorganization, arrangement, adjustment or composition affecting the Obligations or the rights of any Lender or the L/C-BA Issuer to authorize the Administrative Agent to vote in respect of the claim of any Lender or the L/C-BA Issuer in any such proceeding.</w:t>
      </w:r>
    </w:p>
    <w:p>
      <w:pPr>
        <w:spacing w:after="0" w:line="137" w:lineRule="exact"/>
        <w:rPr>
          <w:sz w:val="20"/>
          <w:szCs w:val="20"/>
          <w:color w:val="auto"/>
        </w:rPr>
      </w:pPr>
    </w:p>
    <w:p>
      <w:pPr>
        <w:jc w:val="both"/>
        <w:ind w:left="24" w:right="20" w:firstLine="648"/>
        <w:spacing w:after="0" w:line="243" w:lineRule="auto"/>
        <w:rPr>
          <w:sz w:val="20"/>
          <w:szCs w:val="20"/>
          <w:color w:val="auto"/>
        </w:rPr>
      </w:pPr>
      <w:r>
        <w:rPr>
          <w:rFonts w:ascii="Arial" w:cs="Arial" w:eastAsia="Arial" w:hAnsi="Arial"/>
          <w:sz w:val="22"/>
          <w:szCs w:val="22"/>
          <w:b w:val="1"/>
          <w:bCs w:val="1"/>
          <w:color w:val="auto"/>
        </w:rPr>
        <w:t>9.10 Collateral and Guaranty Matters</w:t>
      </w:r>
      <w:r>
        <w:rPr>
          <w:rFonts w:ascii="Arial" w:cs="Arial" w:eastAsia="Arial" w:hAnsi="Arial"/>
          <w:sz w:val="22"/>
          <w:szCs w:val="22"/>
          <w:color w:val="auto"/>
        </w:rPr>
        <w:t>. Each of the Lenders (including in its capacities as a potential</w:t>
      </w:r>
      <w:r>
        <w:rPr>
          <w:rFonts w:ascii="Arial" w:cs="Arial" w:eastAsia="Arial" w:hAnsi="Arial"/>
          <w:sz w:val="22"/>
          <w:szCs w:val="22"/>
          <w:b w:val="1"/>
          <w:bCs w:val="1"/>
          <w:color w:val="auto"/>
        </w:rPr>
        <w:t xml:space="preserve"> </w:t>
      </w:r>
      <w:r>
        <w:rPr>
          <w:rFonts w:ascii="Arial" w:cs="Arial" w:eastAsia="Arial" w:hAnsi="Arial"/>
          <w:sz w:val="22"/>
          <w:szCs w:val="22"/>
          <w:color w:val="auto"/>
        </w:rPr>
        <w:t>Cash Management Bank and a potential Hedge Bank) and the L/C-BA Issuer irrevocably authorize the Administrative Agent, at its option and in its discretion,</w:t>
      </w:r>
    </w:p>
    <w:p>
      <w:pPr>
        <w:spacing w:after="0" w:line="183" w:lineRule="exact"/>
        <w:rPr>
          <w:sz w:val="20"/>
          <w:szCs w:val="20"/>
          <w:color w:val="auto"/>
        </w:rPr>
      </w:pPr>
    </w:p>
    <w:p>
      <w:pPr>
        <w:jc w:val="both"/>
        <w:ind w:left="4" w:right="20" w:firstLine="645"/>
        <w:spacing w:after="0" w:line="276" w:lineRule="auto"/>
        <w:tabs>
          <w:tab w:leader="none" w:pos="1297" w:val="left"/>
        </w:tabs>
        <w:numPr>
          <w:ilvl w:val="1"/>
          <w:numId w:val="185"/>
        </w:numPr>
        <w:rPr>
          <w:rFonts w:ascii="Arial" w:cs="Arial" w:eastAsia="Arial" w:hAnsi="Arial"/>
          <w:sz w:val="19"/>
          <w:szCs w:val="19"/>
          <w:color w:val="auto"/>
        </w:rPr>
      </w:pPr>
      <w:r>
        <w:rPr>
          <w:rFonts w:ascii="Arial" w:cs="Arial" w:eastAsia="Arial" w:hAnsi="Arial"/>
          <w:sz w:val="19"/>
          <w:szCs w:val="19"/>
          <w:color w:val="auto"/>
        </w:rPr>
        <w:t>to release any Lien on any property granted to or held by the Administrative Agent under any Loan Document (i) upon termination of the Aggregate Commitments and payment in full of all Obligations (other than</w:t>
      </w:r>
    </w:p>
    <w:p>
      <w:pPr>
        <w:spacing w:after="0" w:line="1" w:lineRule="exact"/>
        <w:rPr>
          <w:rFonts w:ascii="Arial" w:cs="Arial" w:eastAsia="Arial" w:hAnsi="Arial"/>
          <w:sz w:val="19"/>
          <w:szCs w:val="19"/>
          <w:color w:val="auto"/>
        </w:rPr>
      </w:pPr>
    </w:p>
    <w:p>
      <w:pPr>
        <w:jc w:val="both"/>
        <w:ind w:left="4" w:right="20" w:hanging="4"/>
        <w:spacing w:after="0" w:line="273" w:lineRule="auto"/>
        <w:tabs>
          <w:tab w:leader="none" w:pos="40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contingent indemnification obligations and (B) obligations and liabilities under Secured Cash Management Agreements and Secured Hedge Agreements as to which arrangements satisfactory to the applicable Cash Management Bank or Hedge Bank shall have been made) and the expiration or termination of all Letters of Credit and Bankers’ Acceptances (other than Letters of Credit or Bankers’ Acceptances as to which other arrangements satisfactory to the Administrative Agent and the L/C-BA Issuer shall have been made), (ii) that is sold or to be sold as part of or in connection with any sale permitted hereunder or under any other Loan Document, or (iii) subject to </w:t>
      </w:r>
      <w:r>
        <w:rPr>
          <w:rFonts w:ascii="Arial" w:cs="Arial" w:eastAsia="Arial" w:hAnsi="Arial"/>
          <w:sz w:val="19"/>
          <w:szCs w:val="19"/>
          <w:u w:val="single" w:color="auto"/>
          <w:color w:val="auto"/>
        </w:rPr>
        <w:t>Section 10.01</w:t>
      </w:r>
      <w:r>
        <w:rPr>
          <w:rFonts w:ascii="Arial" w:cs="Arial" w:eastAsia="Arial" w:hAnsi="Arial"/>
          <w:sz w:val="19"/>
          <w:szCs w:val="19"/>
          <w:color w:val="auto"/>
        </w:rPr>
        <w:t>, if approved, authorized or ratified in writing by the Required Lenders;</w:t>
      </w:r>
    </w:p>
    <w:p>
      <w:pPr>
        <w:spacing w:after="0" w:line="160" w:lineRule="exact"/>
        <w:rPr>
          <w:rFonts w:ascii="Arial" w:cs="Arial" w:eastAsia="Arial" w:hAnsi="Arial"/>
          <w:sz w:val="19"/>
          <w:szCs w:val="19"/>
          <w:color w:val="auto"/>
        </w:rPr>
      </w:pPr>
    </w:p>
    <w:p>
      <w:pPr>
        <w:ind w:left="4" w:firstLine="645"/>
        <w:spacing w:after="0" w:line="274" w:lineRule="auto"/>
        <w:tabs>
          <w:tab w:leader="none" w:pos="1309" w:val="left"/>
        </w:tabs>
        <w:numPr>
          <w:ilvl w:val="1"/>
          <w:numId w:val="186"/>
        </w:numPr>
        <w:rPr>
          <w:rFonts w:ascii="Arial" w:cs="Arial" w:eastAsia="Arial" w:hAnsi="Arial"/>
          <w:sz w:val="21"/>
          <w:szCs w:val="21"/>
          <w:color w:val="auto"/>
        </w:rPr>
      </w:pPr>
      <w:r>
        <w:rPr>
          <w:rFonts w:ascii="Arial" w:cs="Arial" w:eastAsia="Arial" w:hAnsi="Arial"/>
          <w:sz w:val="21"/>
          <w:szCs w:val="21"/>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21"/>
          <w:szCs w:val="21"/>
          <w:u w:val="single" w:color="auto"/>
          <w:color w:val="auto"/>
        </w:rPr>
        <w:t>Section 7.01(l)</w:t>
      </w:r>
      <w:r>
        <w:rPr>
          <w:rFonts w:ascii="Arial" w:cs="Arial" w:eastAsia="Arial" w:hAnsi="Arial"/>
          <w:sz w:val="21"/>
          <w:szCs w:val="21"/>
          <w:color w:val="auto"/>
        </w:rPr>
        <w:t>; and</w:t>
      </w:r>
    </w:p>
    <w:p>
      <w:pPr>
        <w:spacing w:after="0" w:line="150" w:lineRule="exact"/>
        <w:rPr>
          <w:rFonts w:ascii="Arial" w:cs="Arial" w:eastAsia="Arial" w:hAnsi="Arial"/>
          <w:sz w:val="21"/>
          <w:szCs w:val="21"/>
          <w:color w:val="auto"/>
        </w:rPr>
      </w:pPr>
    </w:p>
    <w:p>
      <w:pPr>
        <w:ind w:left="4" w:right="20" w:firstLine="645"/>
        <w:spacing w:after="0" w:line="251" w:lineRule="auto"/>
        <w:tabs>
          <w:tab w:leader="none" w:pos="1297"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to release any Guarantor from its obligations under the Guaranty if such Person ceases to be a Restricted Subsidiary as a result of a transaction permitted hereunder.</w:t>
      </w:r>
    </w:p>
    <w:p>
      <w:pPr>
        <w:spacing w:after="0" w:line="173" w:lineRule="exact"/>
        <w:rPr>
          <w:sz w:val="20"/>
          <w:szCs w:val="20"/>
          <w:color w:val="auto"/>
        </w:rPr>
      </w:pPr>
    </w:p>
    <w:p>
      <w:pPr>
        <w:jc w:val="both"/>
        <w:ind w:left="4" w:firstLine="648"/>
        <w:spacing w:after="0" w:line="282"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9"/>
          <w:szCs w:val="19"/>
          <w:u w:val="single" w:color="auto"/>
          <w:color w:val="auto"/>
        </w:rPr>
        <w:t>Section 9.10</w:t>
      </w:r>
      <w:r>
        <w:rPr>
          <w:rFonts w:ascii="Arial" w:cs="Arial" w:eastAsia="Arial" w:hAnsi="Arial"/>
          <w:sz w:val="19"/>
          <w:szCs w:val="19"/>
          <w:color w:val="auto"/>
        </w:rPr>
        <w:t>. Each Lender hereby authorizes the Administrative Agent to give blockage notices in connection with any Subordinated Debt at the direction of Required Lenders and agrees that it will not act unilaterally to deliver such notices.</w:t>
      </w:r>
    </w:p>
    <w:p>
      <w:pPr>
        <w:spacing w:after="0" w:line="142" w:lineRule="exact"/>
        <w:rPr>
          <w:sz w:val="20"/>
          <w:szCs w:val="20"/>
          <w:color w:val="auto"/>
        </w:rPr>
      </w:pPr>
    </w:p>
    <w:p>
      <w:pPr>
        <w:jc w:val="both"/>
        <w:ind w:left="24" w:right="20" w:firstLine="648"/>
        <w:spacing w:after="0" w:line="243" w:lineRule="auto"/>
        <w:rPr>
          <w:sz w:val="20"/>
          <w:szCs w:val="20"/>
          <w:color w:val="auto"/>
        </w:rPr>
      </w:pPr>
      <w:r>
        <w:rPr>
          <w:rFonts w:ascii="Arial" w:cs="Arial" w:eastAsia="Arial" w:hAnsi="Arial"/>
          <w:sz w:val="22"/>
          <w:szCs w:val="22"/>
          <w:b w:val="1"/>
          <w:bCs w:val="1"/>
          <w:color w:val="auto"/>
        </w:rPr>
        <w:t>9.11 Secured Cash Management Agreements and Secured Hedge Agreements</w:t>
      </w:r>
      <w:r>
        <w:rPr>
          <w:rFonts w:ascii="Arial" w:cs="Arial" w:eastAsia="Arial" w:hAnsi="Arial"/>
          <w:sz w:val="22"/>
          <w:szCs w:val="22"/>
          <w:color w:val="auto"/>
        </w:rPr>
        <w:t>. Except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expressly set forth herein, no Cash Management Bank or Hedge Bank that obtains the benefit of the provisions of </w:t>
      </w:r>
      <w:r>
        <w:rPr>
          <w:rFonts w:ascii="Arial" w:cs="Arial" w:eastAsia="Arial" w:hAnsi="Arial"/>
          <w:sz w:val="22"/>
          <w:szCs w:val="22"/>
          <w:u w:val="single" w:color="auto"/>
          <w:color w:val="auto"/>
        </w:rPr>
        <w:t>Section 8.03</w:t>
      </w:r>
      <w:r>
        <w:rPr>
          <w:rFonts w:ascii="Arial" w:cs="Arial" w:eastAsia="Arial" w:hAnsi="Arial"/>
          <w:sz w:val="22"/>
          <w:szCs w:val="22"/>
          <w:color w:val="auto"/>
        </w:rPr>
        <w:t>, the Guaranty or any Collateral by virtue of</w:t>
      </w:r>
    </w:p>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70" w:name="page171"/>
    <w:bookmarkEnd w:id="170"/>
    <w:p>
      <w:pPr>
        <w:jc w:val="both"/>
        <w:ind w:left="20"/>
        <w:spacing w:after="0" w:line="244" w:lineRule="auto"/>
        <w:rPr>
          <w:sz w:val="20"/>
          <w:szCs w:val="20"/>
          <w:color w:val="auto"/>
        </w:rPr>
      </w:pPr>
      <w:r>
        <w:rPr>
          <w:rFonts w:ascii="Arial" w:cs="Arial" w:eastAsia="Arial" w:hAnsi="Arial"/>
          <w:sz w:val="21"/>
          <w:szCs w:val="21"/>
          <w:color w:val="auto"/>
        </w:rPr>
        <w:t xml:space="preserve">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X.MISCELLANEOUS</w:t>
      </w:r>
    </w:p>
    <w:p>
      <w:pPr>
        <w:spacing w:after="0" w:line="206" w:lineRule="exact"/>
        <w:rPr>
          <w:sz w:val="20"/>
          <w:szCs w:val="20"/>
          <w:color w:val="auto"/>
        </w:rPr>
      </w:pPr>
    </w:p>
    <w:p>
      <w:pPr>
        <w:jc w:val="both"/>
        <w:ind w:left="20" w:right="20" w:firstLine="648"/>
        <w:spacing w:after="0" w:line="247" w:lineRule="auto"/>
        <w:rPr>
          <w:sz w:val="20"/>
          <w:szCs w:val="20"/>
          <w:color w:val="auto"/>
        </w:rPr>
      </w:pPr>
      <w:r>
        <w:rPr>
          <w:rFonts w:ascii="Arial" w:cs="Arial" w:eastAsia="Arial" w:hAnsi="Arial"/>
          <w:sz w:val="21"/>
          <w:szCs w:val="21"/>
          <w:b w:val="1"/>
          <w:bCs w:val="1"/>
          <w:color w:val="auto"/>
        </w:rPr>
        <w:t>10.01 Amendments, Etc</w:t>
      </w:r>
      <w:r>
        <w:rPr>
          <w:rFonts w:ascii="Arial" w:cs="Arial" w:eastAsia="Arial" w:hAnsi="Arial"/>
          <w:sz w:val="21"/>
          <w:szCs w:val="21"/>
          <w:color w:val="auto"/>
        </w:rPr>
        <w:t>. No amendment or waiver of any provision of this Agreement or any other Loan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Document, and no consent to any departure by the Borrowers or any other Loan Party therefrom, shall be effective unless in writing signed by the Required Lenders (or, in the case of the Intercreditor Agreement, by the Administrative Agent with the written consent of the Required Lenders) and the Borrowers or the applicable Loan Party (or, in the case of the Intercreditor Agreement, by the other parties required to be party thereto pursuant to the terms thereof), as the case may be, and acknowledged by the Administrative Agent, and each such waiver or consent shall be effective only in the specific instance and for the specific purpose for which given;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amendment, waiver or consent shall:</w:t>
      </w:r>
    </w:p>
    <w:p>
      <w:pPr>
        <w:spacing w:after="0" w:line="179" w:lineRule="exact"/>
        <w:rPr>
          <w:sz w:val="20"/>
          <w:szCs w:val="20"/>
          <w:color w:val="auto"/>
        </w:rPr>
      </w:pPr>
    </w:p>
    <w:p>
      <w:pPr>
        <w:ind w:left="1280" w:hanging="635"/>
        <w:spacing w:after="0"/>
        <w:tabs>
          <w:tab w:leader="none" w:pos="128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waive any condition set forth in </w:t>
      </w:r>
      <w:r>
        <w:rPr>
          <w:rFonts w:ascii="Arial" w:cs="Arial" w:eastAsia="Arial" w:hAnsi="Arial"/>
          <w:sz w:val="22"/>
          <w:szCs w:val="22"/>
          <w:u w:val="single" w:color="auto"/>
          <w:color w:val="auto"/>
        </w:rPr>
        <w:t>Section 4.01(a)</w:t>
      </w:r>
      <w:r>
        <w:rPr>
          <w:rFonts w:ascii="Arial" w:cs="Arial" w:eastAsia="Arial" w:hAnsi="Arial"/>
          <w:sz w:val="22"/>
          <w:szCs w:val="22"/>
          <w:color w:val="auto"/>
        </w:rPr>
        <w:t xml:space="preserve"> without the written consent of each Lender;</w:t>
      </w:r>
    </w:p>
    <w:p>
      <w:pPr>
        <w:spacing w:after="0" w:line="206" w:lineRule="exact"/>
        <w:rPr>
          <w:rFonts w:ascii="Arial" w:cs="Arial" w:eastAsia="Arial" w:hAnsi="Arial"/>
          <w:sz w:val="22"/>
          <w:szCs w:val="22"/>
          <w:color w:val="auto"/>
        </w:rPr>
      </w:pPr>
    </w:p>
    <w:p>
      <w:pPr>
        <w:ind w:right="20" w:firstLine="645"/>
        <w:spacing w:after="0" w:line="251" w:lineRule="auto"/>
        <w:tabs>
          <w:tab w:leader="none" w:pos="130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extend or increase the Commitment of any Lender (or reinstate any Commitment terminated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without the written consent of such Lender;</w:t>
      </w:r>
    </w:p>
    <w:p>
      <w:pPr>
        <w:spacing w:after="0" w:line="173" w:lineRule="exact"/>
        <w:rPr>
          <w:rFonts w:ascii="Arial" w:cs="Arial" w:eastAsia="Arial" w:hAnsi="Arial"/>
          <w:sz w:val="22"/>
          <w:szCs w:val="22"/>
          <w:color w:val="auto"/>
        </w:rPr>
      </w:pPr>
    </w:p>
    <w:p>
      <w:pPr>
        <w:jc w:val="both"/>
        <w:ind w:firstLine="645"/>
        <w:spacing w:after="0" w:line="297" w:lineRule="auto"/>
        <w:tabs>
          <w:tab w:leader="none" w:pos="129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34" w:lineRule="exact"/>
        <w:rPr>
          <w:rFonts w:ascii="Arial" w:cs="Arial" w:eastAsia="Arial" w:hAnsi="Arial"/>
          <w:sz w:val="19"/>
          <w:szCs w:val="19"/>
          <w:color w:val="auto"/>
        </w:rPr>
      </w:pPr>
    </w:p>
    <w:p>
      <w:pPr>
        <w:jc w:val="both"/>
        <w:ind w:firstLine="645"/>
        <w:spacing w:after="0" w:line="246" w:lineRule="auto"/>
        <w:tabs>
          <w:tab w:leader="none" w:pos="1305" w:val="left"/>
        </w:tabs>
        <w:numPr>
          <w:ilvl w:val="0"/>
          <w:numId w:val="187"/>
        </w:numPr>
        <w:rPr>
          <w:rFonts w:ascii="Arial" w:cs="Arial" w:eastAsia="Arial" w:hAnsi="Arial"/>
          <w:sz w:val="21"/>
          <w:szCs w:val="21"/>
          <w:color w:val="auto"/>
        </w:rPr>
      </w:pPr>
      <w:r>
        <w:rPr>
          <w:rFonts w:ascii="Arial" w:cs="Arial" w:eastAsia="Arial" w:hAnsi="Arial"/>
          <w:sz w:val="21"/>
          <w:szCs w:val="21"/>
          <w:color w:val="auto"/>
        </w:rPr>
        <w:t xml:space="preserve">reduce the principal of, or the rate of interest specified herein on, any Loan or L/C-BA Borrowing, mandatory prepayment or (subject to </w:t>
      </w:r>
      <w:r>
        <w:rPr>
          <w:rFonts w:ascii="Arial" w:cs="Arial" w:eastAsia="Arial" w:hAnsi="Arial"/>
          <w:sz w:val="21"/>
          <w:szCs w:val="21"/>
          <w:u w:val="single" w:color="auto"/>
          <w:color w:val="auto"/>
        </w:rPr>
        <w:t>clause (v)</w:t>
      </w:r>
      <w:r>
        <w:rPr>
          <w:rFonts w:ascii="Arial" w:cs="Arial" w:eastAsia="Arial" w:hAnsi="Arial"/>
          <w:sz w:val="21"/>
          <w:szCs w:val="21"/>
          <w:color w:val="auto"/>
        </w:rPr>
        <w:t xml:space="preserve"> of the second proviso to this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any fees or other amounts payable hereunder or under any other Loan Document without the written consent of each Lender directly affected thereby;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only the consent of the Required Lenders shall be necessary (i) to amend the definition of “Default Rate” or to waive any obligation of the Borrowers to pay interest, Letter of Credit Fees or BA Fees at the Default Rate and (ii) to amend any financial covenant hereunder (or any defined term used therein) even if the effect of such amendment would be to reduce the rate of interest on any Loan or L/C-BA Borrowing or to reduce any fee payable 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71" w:name="page172"/>
    <w:bookmarkEnd w:id="171"/>
    <w:p>
      <w:pPr>
        <w:jc w:val="both"/>
        <w:ind w:firstLine="645"/>
        <w:spacing w:after="0" w:line="275" w:lineRule="auto"/>
        <w:tabs>
          <w:tab w:leader="none" w:pos="149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change (i)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Arial" w:cs="Arial" w:eastAsia="Arial" w:hAnsi="Arial"/>
          <w:sz w:val="19"/>
          <w:szCs w:val="19"/>
          <w:u w:val="single" w:color="auto"/>
          <w:color w:val="auto"/>
        </w:rPr>
        <w:t>Section 2.05</w:t>
      </w:r>
      <w:r>
        <w:rPr>
          <w:rFonts w:ascii="Arial" w:cs="Arial" w:eastAsia="Arial" w:hAnsi="Arial"/>
          <w:sz w:val="19"/>
          <w:szCs w:val="19"/>
          <w:color w:val="auto"/>
        </w:rPr>
        <w:t>, in any manner that materially and adversely affects the Lenders under a Facility without the written consent of (i) if such Facility is the Initial Domestic Term Loan Facility, the Required Initial Domestic Term Loan Lenders, (ii) if such Facility is the 2015 Domestic Term Loan Facility, the Required 2015 Domestic Term Loan Lenders, (iii) if such Facility is the Singapore Term Loan Facility, the Required Singapore Term Loan Lenders and (iv) if such Facility is the Revolving Facility, the Required Revolving Lenders;</w:t>
      </w:r>
    </w:p>
    <w:p>
      <w:pPr>
        <w:spacing w:after="0" w:line="158" w:lineRule="exact"/>
        <w:rPr>
          <w:rFonts w:ascii="Arial" w:cs="Arial" w:eastAsia="Arial" w:hAnsi="Arial"/>
          <w:sz w:val="19"/>
          <w:szCs w:val="19"/>
          <w:color w:val="auto"/>
        </w:rPr>
      </w:pPr>
    </w:p>
    <w:p>
      <w:pPr>
        <w:jc w:val="both"/>
        <w:ind w:right="20" w:firstLine="645"/>
        <w:spacing w:after="0" w:line="234" w:lineRule="auto"/>
        <w:tabs>
          <w:tab w:leader="none" w:pos="131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10.01(f)</w:t>
      </w:r>
      <w:r>
        <w:rPr>
          <w:rFonts w:ascii="Arial" w:cs="Arial" w:eastAsia="Arial" w:hAnsi="Arial"/>
          <w:sz w:val="22"/>
          <w:szCs w:val="22"/>
          <w:color w:val="auto"/>
        </w:rPr>
        <w:t>), without the written consent of each Lender or (ii) the definition of “Required Facility Lenders,” “Required Revolving Lenders,” “Required Singapore Term Loan Lenders”, “Required Initial Domestic Term Loan Lenders” or “Required 2015 Domestic Term Loan Lenders” without the written consent of each Lender under the applicable Facility;</w:t>
      </w:r>
    </w:p>
    <w:p>
      <w:pPr>
        <w:spacing w:after="0" w:line="191" w:lineRule="exact"/>
        <w:rPr>
          <w:rFonts w:ascii="Arial" w:cs="Arial" w:eastAsia="Arial" w:hAnsi="Arial"/>
          <w:sz w:val="22"/>
          <w:szCs w:val="22"/>
          <w:color w:val="auto"/>
        </w:rPr>
      </w:pPr>
    </w:p>
    <w:p>
      <w:pPr>
        <w:jc w:val="both"/>
        <w:ind w:firstLine="645"/>
        <w:spacing w:after="0" w:line="234" w:lineRule="auto"/>
        <w:tabs>
          <w:tab w:leader="none" w:pos="130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(i) release any Guarantor from the Guaranty, (ii) release the Liens on all or substantially all of the Collateral in any transaction or series of related transactions (it being understood and agreed that the entering into of the Senior Note Documents and the transactions contemplated thereby shall not constitute a release of the Liens on all or substantially all of the Collateral), or (iii) release WFS from its joint and several obligations with respect to WFS Europe and WFS Singapore, without the written consent of each Lender, except to the extent such release is permitted pursuant to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(in which case such release may be made by the Administrative Agent acting alone);</w:t>
      </w:r>
    </w:p>
    <w:p>
      <w:pPr>
        <w:spacing w:after="0" w:line="191" w:lineRule="exact"/>
        <w:rPr>
          <w:rFonts w:ascii="Arial" w:cs="Arial" w:eastAsia="Arial" w:hAnsi="Arial"/>
          <w:sz w:val="22"/>
          <w:szCs w:val="22"/>
          <w:color w:val="auto"/>
        </w:rPr>
      </w:pPr>
    </w:p>
    <w:p>
      <w:pPr>
        <w:jc w:val="both"/>
        <w:ind w:firstLine="645"/>
        <w:spacing w:after="0"/>
        <w:tabs>
          <w:tab w:leader="none" w:pos="130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result in any Borrower satisfying any condition to a Revolving Borrowing contained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hereof (which, but for such amendment, waiver or consent would not otherwise be satisfied), unless and until the Required Revolving Lenders shall consent thereto; or</w:t>
      </w:r>
    </w:p>
    <w:p>
      <w:pPr>
        <w:spacing w:after="0" w:line="186" w:lineRule="exact"/>
        <w:rPr>
          <w:rFonts w:ascii="Arial" w:cs="Arial" w:eastAsia="Arial" w:hAnsi="Arial"/>
          <w:sz w:val="22"/>
          <w:szCs w:val="22"/>
          <w:color w:val="auto"/>
        </w:rPr>
      </w:pPr>
    </w:p>
    <w:p>
      <w:pPr>
        <w:ind w:right="20" w:firstLine="645"/>
        <w:spacing w:after="0" w:line="328" w:lineRule="auto"/>
        <w:tabs>
          <w:tab w:leader="none" w:pos="131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impose any greater restriction on the ability of any Lender under a Facility to assign any of its rights or obligations hereunder without the written consent of the Required Facility Lenders under such Facility;</w:t>
      </w:r>
    </w:p>
    <w:p>
      <w:pPr>
        <w:spacing w:after="0" w:line="10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 no amendment, waiver or consent shall, unless in writing and signed by the L/C-BA Issuer in addition to the Lenders required above, affect the rights or duties of the L/C-BA Issuer under this Agreement or any Issuer Document relating to any Letter of Credit or Bankers’ Acceptance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and the definitions of the terms “Secured Cash Management Agreement” and “Secured Hedge Agreement” may not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72" w:name="page173"/>
    <w:bookmarkEnd w:id="172"/>
    <w:p>
      <w:pPr>
        <w:jc w:val="both"/>
        <w:ind w:left="4" w:right="20"/>
        <w:spacing w:after="0" w:line="268" w:lineRule="auto"/>
        <w:rPr>
          <w:sz w:val="20"/>
          <w:szCs w:val="20"/>
          <w:color w:val="auto"/>
        </w:rPr>
      </w:pPr>
      <w:r>
        <w:rPr>
          <w:rFonts w:ascii="Arial" w:cs="Arial" w:eastAsia="Arial" w:hAnsi="Arial"/>
          <w:sz w:val="19"/>
          <w:szCs w:val="19"/>
          <w:color w:val="auto"/>
        </w:rPr>
        <w:t xml:space="preserve">amended, waived or otherwise modified in a manner adverse to any Cash Management Bank or Hedge Bank without the consent of each affected Cash Management Bank and Hedge Bank that has provided the Administrative Agent with the notice contemplated by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in respect of any affected Secured Cash Management Agreement or Secured Hedge Agreement; (v) the Fee Letters may be amended, or rights or privileges thereunder waived, in a writing executed only by the parties thereto; and (vi) any amendment which in the opinion of the Administrative Agent and the Singapore Agent relates strictly to the interest setting, payment and/or funding mechanics of the Singapore Term Loan Facility shall be effective upon the consent of WFS Singapore, the Administrative Agent and the Singapore Agent and no Lenders other than the Required Singapore Term Loan Lenders. Notwithstanding anything to the contrary herein, no Defaulting Lender other than a Voting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(A) the applicable Lenders other than Defaulting Lenders), and</w:t>
      </w:r>
    </w:p>
    <w:p>
      <w:pPr>
        <w:spacing w:after="0" w:line="8" w:lineRule="exact"/>
        <w:rPr>
          <w:sz w:val="20"/>
          <w:szCs w:val="20"/>
          <w:color w:val="auto"/>
        </w:rPr>
      </w:pPr>
    </w:p>
    <w:p>
      <w:pPr>
        <w:jc w:val="both"/>
        <w:ind w:left="4" w:right="20" w:hanging="4"/>
        <w:spacing w:after="0" w:line="233" w:lineRule="auto"/>
        <w:tabs>
          <w:tab w:leader="none" w:pos="35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applicable Voting Defaulting Lenders), except that (x) the Commitment of any Defaulting Lender may not be increased or extended without the consent of such Lender and (y) any waiver, amendment or modification requiring the consent of all Lenders or each affected Lender, or all Lenders or each effected Lender under a Facility, that by its terms affects any Defaulting Lender more adversely than other affected Lenders shall require the consent of such Defaulting Lender.</w:t>
      </w:r>
    </w:p>
    <w:p>
      <w:pPr>
        <w:spacing w:after="0" w:line="186" w:lineRule="exact"/>
        <w:rPr>
          <w:sz w:val="20"/>
          <w:szCs w:val="20"/>
          <w:color w:val="auto"/>
        </w:rPr>
      </w:pPr>
    </w:p>
    <w:p>
      <w:pPr>
        <w:ind w:left="4" w:right="20" w:firstLine="648"/>
        <w:spacing w:after="0" w:line="276" w:lineRule="auto"/>
        <w:rPr>
          <w:sz w:val="20"/>
          <w:szCs w:val="20"/>
          <w:color w:val="auto"/>
        </w:rPr>
      </w:pPr>
      <w:r>
        <w:rPr>
          <w:rFonts w:ascii="Arial" w:cs="Arial" w:eastAsia="Arial" w:hAnsi="Arial"/>
          <w:sz w:val="19"/>
          <w:szCs w:val="19"/>
          <w:color w:val="auto"/>
        </w:rPr>
        <w:t>Notwithstanding any provision herein to the contrary, but subject to the following paragraph, this Agreement may be amended with the written consent of the Required Lenders, the Administrative Agent and the Borrowers</w:t>
      </w:r>
    </w:p>
    <w:p>
      <w:pPr>
        <w:spacing w:after="0" w:line="2" w:lineRule="exact"/>
        <w:rPr>
          <w:sz w:val="20"/>
          <w:szCs w:val="20"/>
          <w:color w:val="auto"/>
        </w:rPr>
      </w:pPr>
    </w:p>
    <w:p>
      <w:pPr>
        <w:jc w:val="both"/>
        <w:ind w:left="4" w:hanging="4"/>
        <w:spacing w:after="0" w:line="273" w:lineRule="auto"/>
        <w:tabs>
          <w:tab w:leader="none" w:pos="26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to add one or more additional revolving credit or term loan facilities to this Agreement, in each case subject to the limitations in </w:t>
      </w:r>
      <w:r>
        <w:rPr>
          <w:rFonts w:ascii="Arial" w:cs="Arial" w:eastAsia="Arial" w:hAnsi="Arial"/>
          <w:sz w:val="19"/>
          <w:szCs w:val="19"/>
          <w:u w:val="single" w:color="auto"/>
          <w:color w:val="auto"/>
        </w:rPr>
        <w:t>Section 2.14</w:t>
      </w:r>
      <w:r>
        <w:rPr>
          <w:rFonts w:ascii="Arial" w:cs="Arial" w:eastAsia="Arial" w:hAnsi="Arial"/>
          <w:sz w:val="19"/>
          <w:szCs w:val="19"/>
          <w:color w:val="auto"/>
        </w:rPr>
        <w: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49" w:lineRule="exact"/>
        <w:rPr>
          <w:sz w:val="20"/>
          <w:szCs w:val="20"/>
          <w:color w:val="auto"/>
        </w:rPr>
      </w:pPr>
    </w:p>
    <w:p>
      <w:pPr>
        <w:ind w:left="664"/>
        <w:spacing w:after="0"/>
        <w:tabs>
          <w:tab w:leader="none" w:pos="1363" w:val="left"/>
        </w:tabs>
        <w:rPr>
          <w:sz w:val="20"/>
          <w:szCs w:val="20"/>
          <w:color w:val="auto"/>
        </w:rPr>
      </w:pPr>
      <w:r>
        <w:rPr>
          <w:rFonts w:ascii="Arial" w:cs="Arial" w:eastAsia="Arial" w:hAnsi="Arial"/>
          <w:sz w:val="22"/>
          <w:szCs w:val="22"/>
          <w:b w:val="1"/>
          <w:bCs w:val="1"/>
          <w:color w:val="auto"/>
        </w:rPr>
        <w:t>10.02</w:t>
      </w:r>
      <w:r>
        <w:rPr>
          <w:sz w:val="20"/>
          <w:szCs w:val="20"/>
          <w:color w:val="auto"/>
        </w:rPr>
        <w:tab/>
      </w:r>
      <w:r>
        <w:rPr>
          <w:rFonts w:ascii="Arial" w:cs="Arial" w:eastAsia="Arial" w:hAnsi="Arial"/>
          <w:sz w:val="19"/>
          <w:szCs w:val="19"/>
          <w:b w:val="1"/>
          <w:bCs w:val="1"/>
          <w:color w:val="auto"/>
        </w:rPr>
        <w:t>Notices; Effectiveness; Electronic Communication</w:t>
      </w:r>
      <w:r>
        <w:rPr>
          <w:rFonts w:ascii="Arial" w:cs="Arial" w:eastAsia="Arial" w:hAnsi="Arial"/>
          <w:sz w:val="19"/>
          <w:szCs w:val="19"/>
          <w:color w:val="auto"/>
        </w:rPr>
        <w:t>.</w:t>
      </w:r>
    </w:p>
    <w:p>
      <w:pPr>
        <w:spacing w:after="0" w:line="212" w:lineRule="exact"/>
        <w:rPr>
          <w:sz w:val="20"/>
          <w:szCs w:val="20"/>
          <w:color w:val="auto"/>
        </w:rPr>
      </w:pPr>
    </w:p>
    <w:p>
      <w:pPr>
        <w:jc w:val="both"/>
        <w:ind w:left="4" w:firstLine="645"/>
        <w:spacing w:after="0" w:line="282" w:lineRule="auto"/>
        <w:tabs>
          <w:tab w:leader="none" w:pos="1297"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xml:space="preserve">. Except in the case of notices and other communications expressly permitted to be given by telephone (and except as provided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47" w:lineRule="exact"/>
        <w:rPr>
          <w:rFonts w:ascii="Arial" w:cs="Arial" w:eastAsia="Arial" w:hAnsi="Arial"/>
          <w:sz w:val="19"/>
          <w:szCs w:val="19"/>
          <w:color w:val="auto"/>
        </w:rPr>
      </w:pPr>
    </w:p>
    <w:p>
      <w:pPr>
        <w:jc w:val="both"/>
        <w:ind w:left="804" w:right="20" w:firstLine="655"/>
        <w:spacing w:after="0"/>
        <w:tabs>
          <w:tab w:leader="none" w:pos="2115" w:val="left"/>
        </w:tabs>
        <w:numPr>
          <w:ilvl w:val="1"/>
          <w:numId w:val="191"/>
        </w:numPr>
        <w:rPr>
          <w:rFonts w:ascii="Arial" w:cs="Arial" w:eastAsia="Arial" w:hAnsi="Arial"/>
          <w:sz w:val="22"/>
          <w:szCs w:val="22"/>
          <w:color w:val="auto"/>
        </w:rPr>
      </w:pPr>
      <w:r>
        <w:rPr>
          <w:rFonts w:ascii="Arial" w:cs="Arial" w:eastAsia="Arial" w:hAnsi="Arial"/>
          <w:sz w:val="22"/>
          <w:szCs w:val="22"/>
          <w:color w:val="auto"/>
        </w:rPr>
        <w:t xml:space="preserve">if to any Borrower, the Administrative Agent, the L/C-BA Issuer or the Swing Line Lender, to the address, telecopier number, electronic mail address or telephone number specified for such Person on </w:t>
      </w:r>
      <w:r>
        <w:rPr>
          <w:rFonts w:ascii="Arial" w:cs="Arial" w:eastAsia="Arial" w:hAnsi="Arial"/>
          <w:sz w:val="22"/>
          <w:szCs w:val="22"/>
          <w:u w:val="single" w:color="auto"/>
          <w:color w:val="auto"/>
        </w:rPr>
        <w:t>Schedule 10.02</w:t>
      </w:r>
      <w:r>
        <w:rPr>
          <w:rFonts w:ascii="Arial" w:cs="Arial" w:eastAsia="Arial" w:hAnsi="Arial"/>
          <w:sz w:val="22"/>
          <w:szCs w:val="22"/>
          <w:color w:val="auto"/>
        </w:rPr>
        <w:t>; and</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73" w:name="page174"/>
    <w:bookmarkEnd w:id="173"/>
    <w:p>
      <w:pPr>
        <w:jc w:val="both"/>
        <w:ind w:left="804" w:right="20" w:firstLine="655"/>
        <w:spacing w:after="0" w:line="287" w:lineRule="auto"/>
        <w:tabs>
          <w:tab w:leader="none" w:pos="232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any Borrower).</w:t>
      </w:r>
    </w:p>
    <w:p>
      <w:pPr>
        <w:spacing w:after="0" w:line="144" w:lineRule="exact"/>
        <w:rPr>
          <w:sz w:val="20"/>
          <w:szCs w:val="20"/>
          <w:color w:val="auto"/>
        </w:rPr>
      </w:pPr>
    </w:p>
    <w:p>
      <w:pPr>
        <w:jc w:val="both"/>
        <w:ind w:left="4" w:right="20"/>
        <w:spacing w:after="0" w:line="270"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subsection</w:t>
      </w:r>
    </w:p>
    <w:p>
      <w:pPr>
        <w:spacing w:after="0" w:line="4" w:lineRule="exact"/>
        <w:rPr>
          <w:sz w:val="20"/>
          <w:szCs w:val="20"/>
          <w:color w:val="auto"/>
        </w:rPr>
      </w:pPr>
    </w:p>
    <w:p>
      <w:pPr>
        <w:ind w:left="304" w:hanging="304"/>
        <w:spacing w:after="0"/>
        <w:tabs>
          <w:tab w:leader="none" w:pos="304" w:val="left"/>
        </w:tabs>
        <w:numPr>
          <w:ilvl w:val="0"/>
          <w:numId w:val="193"/>
        </w:numPr>
        <w:rPr>
          <w:rFonts w:ascii="Arial" w:cs="Arial" w:eastAsia="Arial" w:hAnsi="Arial"/>
          <w:sz w:val="22"/>
          <w:szCs w:val="22"/>
          <w:u w:val="single" w:color="auto"/>
          <w:color w:val="auto"/>
        </w:rPr>
      </w:pPr>
      <w:r>
        <w:rPr>
          <w:rFonts w:ascii="Arial" w:cs="Arial" w:eastAsia="Arial" w:hAnsi="Arial"/>
          <w:sz w:val="22"/>
          <w:szCs w:val="22"/>
          <w:color w:val="auto"/>
        </w:rPr>
        <w:t xml:space="preserve">below, shall be effective as provided in such </w:t>
      </w:r>
      <w:r>
        <w:rPr>
          <w:rFonts w:ascii="Arial" w:cs="Arial" w:eastAsia="Arial" w:hAnsi="Arial"/>
          <w:sz w:val="22"/>
          <w:szCs w:val="22"/>
          <w:u w:val="single" w:color="auto"/>
          <w:color w:val="auto"/>
        </w:rPr>
        <w:t>subsection (b)</w:t>
      </w:r>
      <w:r>
        <w:rPr>
          <w:rFonts w:ascii="Arial" w:cs="Arial" w:eastAsia="Arial" w:hAnsi="Arial"/>
          <w:sz w:val="22"/>
          <w:szCs w:val="22"/>
          <w:color w:val="auto"/>
        </w:rPr>
        <w:t>.</w:t>
      </w:r>
    </w:p>
    <w:p>
      <w:pPr>
        <w:spacing w:after="0" w:line="188" w:lineRule="exact"/>
        <w:rPr>
          <w:rFonts w:ascii="Arial" w:cs="Arial" w:eastAsia="Arial" w:hAnsi="Arial"/>
          <w:sz w:val="22"/>
          <w:szCs w:val="22"/>
          <w:u w:val="single" w:color="auto"/>
          <w:color w:val="auto"/>
        </w:rPr>
      </w:pPr>
    </w:p>
    <w:p>
      <w:pPr>
        <w:jc w:val="both"/>
        <w:ind w:left="4" w:firstLine="645"/>
        <w:spacing w:after="0" w:line="275" w:lineRule="auto"/>
        <w:tabs>
          <w:tab w:leader="none" w:pos="1309" w:val="left"/>
        </w:tabs>
        <w:numPr>
          <w:ilvl w:val="1"/>
          <w:numId w:val="193"/>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L/C-BA Issuer hereunder may be delivered or furnished by electronic communication (including e 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the L/C-BA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the L/C-BA Issuer, as applicable, has notified the Administrative Agent that it is incapable of receiving notices under such Article by electronic communication. The Administrative Agent or the Borrowers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8" w:lineRule="exact"/>
        <w:rPr>
          <w:rFonts w:ascii="Arial" w:cs="Arial" w:eastAsia="Arial" w:hAnsi="Arial"/>
          <w:sz w:val="19"/>
          <w:szCs w:val="19"/>
          <w:color w:val="auto"/>
        </w:rPr>
      </w:pPr>
    </w:p>
    <w:p>
      <w:pPr>
        <w:jc w:val="both"/>
        <w:ind w:left="4" w:firstLine="645"/>
        <w:spacing w:after="0" w:line="245" w:lineRule="auto"/>
        <w:tabs>
          <w:tab w:leader="none" w:pos="1297" w:val="left"/>
        </w:tabs>
        <w:numPr>
          <w:ilvl w:val="1"/>
          <w:numId w:val="193"/>
        </w:numPr>
        <w:rPr>
          <w:rFonts w:ascii="Arial" w:cs="Arial" w:eastAsia="Arial" w:hAnsi="Arial"/>
          <w:sz w:val="21"/>
          <w:szCs w:val="21"/>
          <w:color w:val="auto"/>
        </w:rPr>
      </w:pPr>
      <w:r>
        <w:rPr>
          <w:rFonts w:ascii="Arial" w:cs="Arial" w:eastAsia="Arial" w:hAnsi="Arial"/>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notification that such notice or communication is available and identifying the website address therefor.</w:t>
      </w:r>
    </w:p>
    <w:p>
      <w:pPr>
        <w:spacing w:after="0" w:line="185" w:lineRule="exact"/>
        <w:rPr>
          <w:rFonts w:ascii="Arial" w:cs="Arial" w:eastAsia="Arial" w:hAnsi="Arial"/>
          <w:sz w:val="21"/>
          <w:szCs w:val="21"/>
          <w:color w:val="auto"/>
        </w:rPr>
      </w:pPr>
    </w:p>
    <w:p>
      <w:pPr>
        <w:jc w:val="both"/>
        <w:ind w:left="4" w:firstLine="645"/>
        <w:spacing w:after="0" w:line="274" w:lineRule="auto"/>
        <w:tabs>
          <w:tab w:leader="none" w:pos="1309" w:val="left"/>
        </w:tabs>
        <w:numPr>
          <w:ilvl w:val="1"/>
          <w:numId w:val="193"/>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w:t>
      </w:r>
    </w:p>
    <w:p>
      <w:pPr>
        <w:spacing w:after="0" w:line="15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74" w:name="page175"/>
    <w:bookmarkEnd w:id="174"/>
    <w:p>
      <w:pPr>
        <w:jc w:val="both"/>
        <w:spacing w:after="0" w:line="277" w:lineRule="auto"/>
        <w:rPr>
          <w:sz w:val="20"/>
          <w:szCs w:val="20"/>
          <w:color w:val="auto"/>
        </w:rPr>
      </w:pPr>
      <w:r>
        <w:rPr>
          <w:rFonts w:ascii="Arial" w:cs="Arial" w:eastAsia="Arial" w:hAnsi="Arial"/>
          <w:sz w:val="19"/>
          <w:szCs w:val="19"/>
          <w:color w:val="auto"/>
        </w:rPr>
        <w:t xml:space="preserve">Borrowers, any Lender, the L/C-BA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the Borrowers, any Lender, the L/C-BA Issuer or any other Person for indirect, special, incidental, consequential or punitive damages (as opposed to direct or actual damages).</w:t>
      </w:r>
    </w:p>
    <w:p>
      <w:pPr>
        <w:spacing w:after="0" w:line="153" w:lineRule="exact"/>
        <w:rPr>
          <w:sz w:val="20"/>
          <w:szCs w:val="20"/>
          <w:color w:val="auto"/>
        </w:rPr>
      </w:pPr>
    </w:p>
    <w:p>
      <w:pPr>
        <w:jc w:val="both"/>
        <w:ind w:firstLine="645"/>
        <w:spacing w:after="0" w:line="271" w:lineRule="auto"/>
        <w:tabs>
          <w:tab w:leader="none" w:pos="1293"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Change of Address</w:t>
      </w:r>
      <w:r>
        <w:rPr>
          <w:rFonts w:ascii="Arial" w:cs="Arial" w:eastAsia="Arial" w:hAnsi="Arial"/>
          <w:sz w:val="19"/>
          <w:szCs w:val="19"/>
          <w:color w:val="auto"/>
        </w:rPr>
        <w:t>, Etc. Each of the Borrowers, the Administrative Agent, the L/C-BA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Borrowing Agent, the Administrative Agent, the L/C-BA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its securities for purposes of United States Federal or state securities laws.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45"/>
        <w:spacing w:after="0" w:line="245" w:lineRule="auto"/>
        <w:tabs>
          <w:tab w:leader="none" w:pos="1310" w:val="left"/>
        </w:tabs>
        <w:numPr>
          <w:ilvl w:val="0"/>
          <w:numId w:val="194"/>
        </w:numPr>
        <w:rPr>
          <w:rFonts w:ascii="Arial" w:cs="Arial" w:eastAsia="Arial" w:hAnsi="Arial"/>
          <w:sz w:val="21"/>
          <w:szCs w:val="21"/>
          <w:color w:val="auto"/>
        </w:rPr>
      </w:pPr>
      <w:r>
        <w:rPr>
          <w:rFonts w:ascii="Arial" w:cs="Arial" w:eastAsia="Arial" w:hAnsi="Arial"/>
          <w:sz w:val="21"/>
          <w:szCs w:val="21"/>
          <w:u w:val="single" w:color="auto"/>
          <w:color w:val="auto"/>
        </w:rPr>
        <w:t>Reliance by Administrative Agent</w:t>
      </w:r>
      <w:r>
        <w:rPr>
          <w:rFonts w:ascii="Arial" w:cs="Arial" w:eastAsia="Arial" w:hAnsi="Arial"/>
          <w:sz w:val="21"/>
          <w:szCs w:val="21"/>
          <w:color w:val="auto"/>
        </w:rPr>
        <w:t>, L/C-BA Issuer and Lenders. The Administrative Agent, the L/C-BA Issuer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L/C-BA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-3875405</wp:posOffset>
            </wp:positionV>
            <wp:extent cx="2254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5425" cy="8890"/>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-1422400</wp:posOffset>
            </wp:positionV>
            <wp:extent cx="15633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63370" cy="8890"/>
                    </a:xfrm>
                    <a:prstGeom prst="rect">
                      <a:avLst/>
                    </a:prstGeom>
                    <a:noFill/>
                  </pic:spPr>
                </pic:pic>
              </a:graphicData>
            </a:graphic>
          </wp:anchor>
        </w:drawing>
      </w:r>
    </w:p>
    <w:p>
      <w:pPr>
        <w:spacing w:after="0" w:line="156" w:lineRule="exact"/>
        <w:rPr>
          <w:sz w:val="20"/>
          <w:szCs w:val="20"/>
          <w:color w:val="auto"/>
        </w:rPr>
      </w:pPr>
    </w:p>
    <w:p>
      <w:pPr>
        <w:jc w:val="both"/>
        <w:ind w:left="20" w:right="20" w:firstLine="648"/>
        <w:spacing w:after="0" w:line="237" w:lineRule="auto"/>
        <w:rPr>
          <w:sz w:val="20"/>
          <w:szCs w:val="20"/>
          <w:color w:val="auto"/>
        </w:rPr>
      </w:pPr>
      <w:r>
        <w:rPr>
          <w:rFonts w:ascii="Arial" w:cs="Arial" w:eastAsia="Arial" w:hAnsi="Arial"/>
          <w:sz w:val="22"/>
          <w:szCs w:val="22"/>
          <w:b w:val="1"/>
          <w:bCs w:val="1"/>
          <w:color w:val="auto"/>
        </w:rPr>
        <w:t>10.03 No Waiver; Cumulative Remedies; Enforcement</w:t>
      </w:r>
      <w:r>
        <w:rPr>
          <w:rFonts w:ascii="Arial" w:cs="Arial" w:eastAsia="Arial" w:hAnsi="Arial"/>
          <w:sz w:val="22"/>
          <w:szCs w:val="22"/>
          <w:color w:val="auto"/>
        </w:rPr>
        <w:t>. No failure by any Lender, the L/C-BA Issuer or</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75" w:name="page176"/>
    <w:bookmarkEnd w:id="175"/>
    <w:p>
      <w:pPr>
        <w:ind w:left="20" w:right="20"/>
        <w:spacing w:after="0" w:line="251" w:lineRule="auto"/>
        <w:rPr>
          <w:sz w:val="20"/>
          <w:szCs w:val="20"/>
          <w:color w:val="auto"/>
        </w:rPr>
      </w:pPr>
      <w:r>
        <w:rPr>
          <w:rFonts w:ascii="Arial" w:cs="Arial" w:eastAsia="Arial" w:hAnsi="Arial"/>
          <w:sz w:val="22"/>
          <w:szCs w:val="22"/>
          <w:color w:val="auto"/>
        </w:rPr>
        <w:t>privilege. The rights, remedies, powers and privileges herein provided are cumulative and not exclusive of any rights, remedies, powers and privileges provided by law.</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and the L/C-BA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L/C-BA Issuer or the Swing Line Lender from exercising the rights and remedies that inure to its benefit (solely in its capacity as L/C-BA Issuer or Swing Line Lender, as the case may be) hereunder and under the other Loan Documents, (c)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b w:val="1"/>
          <w:bCs w:val="1"/>
          <w:color w:val="auto"/>
        </w:rPr>
        <w:t>10.04</w:t>
      </w:r>
      <w:r>
        <w:rPr>
          <w:sz w:val="20"/>
          <w:szCs w:val="20"/>
          <w:color w:val="auto"/>
        </w:rPr>
        <w:tab/>
      </w:r>
      <w:r>
        <w:rPr>
          <w:rFonts w:ascii="Arial" w:cs="Arial" w:eastAsia="Arial" w:hAnsi="Arial"/>
          <w:sz w:val="19"/>
          <w:szCs w:val="19"/>
          <w:b w:val="1"/>
          <w:bCs w:val="1"/>
          <w:color w:val="auto"/>
        </w:rPr>
        <w:t>Expenses; Indemnity; Damage Waiver</w:t>
      </w:r>
      <w:r>
        <w:rPr>
          <w:rFonts w:ascii="Arial" w:cs="Arial" w:eastAsia="Arial" w:hAnsi="Arial"/>
          <w:sz w:val="19"/>
          <w:szCs w:val="19"/>
          <w:color w:val="auto"/>
        </w:rPr>
        <w:t>.</w:t>
      </w:r>
    </w:p>
    <w:p>
      <w:pPr>
        <w:spacing w:after="0" w:line="212" w:lineRule="exact"/>
        <w:rPr>
          <w:sz w:val="20"/>
          <w:szCs w:val="20"/>
          <w:color w:val="auto"/>
        </w:rPr>
      </w:pPr>
    </w:p>
    <w:p>
      <w:pPr>
        <w:jc w:val="both"/>
        <w:ind w:right="20" w:firstLine="645"/>
        <w:spacing w:after="0" w:line="270" w:lineRule="auto"/>
        <w:tabs>
          <w:tab w:leader="none" w:pos="1293"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L/C-BA Issuer in connection with the issuance, amendment, renewal or extension of any Letter of Credit or Bankers’ Acceptance or any demand for payment thereunder and (iii) all out of pocket expenses incurred by the Administrative Agent, any Lender or the L/C-BA Issuer (including the fees, charges and disbursements of any counsel for the Administrative Agent, any Lender or the L/C-BA Issuer), and shall pay all fees and time charges for attorneys who may be employees of the Administrative Agent, any Lender or the L/C-BA Issuer, in connection with the enforcement or protection of its rights (A) in connection with this Agreement and the other Loan Documents, including its rights under this Section, or (B) in connection with the Loans made or Letters of Credit or Bankers’ Acceptances issued hereunder, including all such out of pocket expenses incurred during any workout, restructuring or negotiations in respect of such Loans or Letters of Credit or Bankers’ Acceptances. Notwithstanding the foregoing, WFS Europe and WFS Singapore shall have no obligation for any such amounts resulting from the extension of credit solely for the benefit of WFS (other than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76" w:name="page177"/>
    <w:bookmarkEnd w:id="176"/>
    <w:p>
      <w:pPr>
        <w:spacing w:after="0"/>
        <w:rPr>
          <w:sz w:val="20"/>
          <w:szCs w:val="20"/>
          <w:color w:val="auto"/>
        </w:rPr>
      </w:pPr>
      <w:r>
        <w:rPr>
          <w:rFonts w:ascii="Arial" w:cs="Arial" w:eastAsia="Arial" w:hAnsi="Arial"/>
          <w:sz w:val="21"/>
          <w:szCs w:val="21"/>
          <w:color w:val="auto"/>
        </w:rPr>
        <w:t>extensions of credit made to WFS Europe and/or WFS Singapore at the request of the Borrowing Agent).</w:t>
      </w:r>
    </w:p>
    <w:p>
      <w:pPr>
        <w:spacing w:after="0" w:line="218" w:lineRule="exact"/>
        <w:rPr>
          <w:sz w:val="20"/>
          <w:szCs w:val="20"/>
          <w:color w:val="auto"/>
        </w:rPr>
      </w:pPr>
    </w:p>
    <w:p>
      <w:pPr>
        <w:jc w:val="both"/>
        <w:ind w:firstLine="645"/>
        <w:spacing w:after="0" w:line="269" w:lineRule="auto"/>
        <w:tabs>
          <w:tab w:leader="none" w:pos="1305"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Borrowers</w:t>
      </w:r>
      <w:r>
        <w:rPr>
          <w:rFonts w:ascii="Arial" w:cs="Arial" w:eastAsia="Arial" w:hAnsi="Arial"/>
          <w:sz w:val="19"/>
          <w:szCs w:val="19"/>
          <w:color w:val="auto"/>
        </w:rPr>
        <w:t>. The Borrowers shall indemnify the Administrative Agent (and any sub-agent thereof), each Lender and the L/C-BA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reasonable fees, charges and disbursements of any counsel for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Letter of Credit or Bankers’ Acceptance or the use or proposed use of the proceeds therefrom (including any refusal by the L/C-BA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Borrowers or any of their Restricted Subsidiaries, or any Environmental Liability related in any way to the Borrowers or any of their Restricted Subsidiaries, or (iv) any actual or prospective claim, litigation, investigation or proceeding relating to any of the foregoing, whether based on contract, tort or any other theory, whether brought by a third party or by the Borrowers or any other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Borrowers or any other Loan Party against an Indemnitee for breach in bad faith of such Indemnitee’s obligations hereunder or under any other Loan Document, if the Borrowers or such other Loan Party has obtained a final and nonappealable judgment in its favor on such claim as determined by a court of competent jurisdiction.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45"/>
        <w:spacing w:after="0" w:line="273" w:lineRule="auto"/>
        <w:tabs>
          <w:tab w:leader="none" w:pos="1293"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Borrowers for any reason fail to indefeasibly pay any amount required under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be paid by it to the Administrative Agent (or any sub-agent thereof), the L/C-BA Issuer or any Related Party of any of the foregoing, each Lender (and with respect to the LC-BA Issuer, each Revolving Lender) severally agrees to pay to the Administrative Agent (or any such sub-agent), the L/C-BA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or the L/C-BA Issuer in its capacity as such, or against any Related Party of any of the foregoing acting for the Administrative Agent (or any such sub-agent) or L/C-BA Issuer in connection with such capacity. The obligations of the Lenders under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77" w:name="page178"/>
    <w:bookmarkEnd w:id="177"/>
    <w:p>
      <w:pPr>
        <w:jc w:val="both"/>
        <w:ind w:firstLine="645"/>
        <w:spacing w:after="0" w:line="272" w:lineRule="auto"/>
        <w:tabs>
          <w:tab w:leader="none" w:pos="1508"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w:t>
      </w:r>
      <w:r>
        <w:rPr>
          <w:rFonts w:ascii="Arial" w:cs="Arial" w:eastAsia="Arial" w:hAnsi="Arial"/>
          <w:sz w:val="19"/>
          <w:szCs w:val="19"/>
          <w:color w:val="auto"/>
        </w:rPr>
        <w:t xml:space="preserve">, Etc. To the fullest extent permitted by applicable law, the Borrowers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Letter of Credit or Bankers’ Acceptance or the use of the proceeds thereof. No Indemnitee referred to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(x) the gross negligence or willful misconduct of such Indemnitee as determined by a final and nonappealable judgment of a court of competent jurisdiction or (y) a breach in bad faith by an Indemnitee of </w:t>
      </w:r>
      <w:r>
        <w:rPr>
          <w:rFonts w:ascii="Arial" w:cs="Arial" w:eastAsia="Arial" w:hAnsi="Arial"/>
          <w:sz w:val="19"/>
          <w:szCs w:val="19"/>
          <w:u w:val="single" w:color="auto"/>
          <w:color w:val="auto"/>
        </w:rPr>
        <w:t>Section 10.07</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ind w:right="20" w:firstLine="645"/>
        <w:spacing w:after="0" w:line="251" w:lineRule="auto"/>
        <w:tabs>
          <w:tab w:leader="none" w:pos="1293"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All amounts due under this Section shall be payable not later than ten Business Days after demand therefor.</w:t>
      </w:r>
    </w:p>
    <w:p>
      <w:pPr>
        <w:spacing w:after="0" w:line="173" w:lineRule="exact"/>
        <w:rPr>
          <w:rFonts w:ascii="Arial" w:cs="Arial" w:eastAsia="Arial" w:hAnsi="Arial"/>
          <w:sz w:val="22"/>
          <w:szCs w:val="22"/>
          <w:color w:val="auto"/>
        </w:rPr>
      </w:pPr>
    </w:p>
    <w:p>
      <w:pPr>
        <w:jc w:val="both"/>
        <w:ind w:right="20" w:firstLine="645"/>
        <w:spacing w:after="0"/>
        <w:tabs>
          <w:tab w:leader="none" w:pos="131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agreements in this Section shall survive the resignation of the Administrative Agent, the L/C-BA Issuer and the Swing Line Lender, the replacement of any Lender, the termination of the Aggregate Commitments and the repayment, satisfaction or discharge of all the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-2774315</wp:posOffset>
            </wp:positionV>
            <wp:extent cx="2343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4315" cy="8890"/>
                    </a:xfrm>
                    <a:prstGeom prst="rect">
                      <a:avLst/>
                    </a:prstGeom>
                    <a:noFill/>
                  </pic:spPr>
                </pic:pic>
              </a:graphicData>
            </a:graphic>
          </wp:anchor>
        </w:drawing>
      </w:r>
    </w:p>
    <w:p>
      <w:pPr>
        <w:spacing w:after="0" w:line="160"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21"/>
          <w:szCs w:val="21"/>
          <w:b w:val="1"/>
          <w:bCs w:val="1"/>
          <w:color w:val="auto"/>
        </w:rPr>
        <w:t>10.05 Payments Set Aside</w:t>
      </w:r>
      <w:r>
        <w:rPr>
          <w:rFonts w:ascii="Arial" w:cs="Arial" w:eastAsia="Arial" w:hAnsi="Arial"/>
          <w:sz w:val="21"/>
          <w:szCs w:val="21"/>
          <w:color w:val="auto"/>
        </w:rPr>
        <w:t>. To the extent that any payment by or on behalf of the Borrowers is made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Administrative Agent, the L/C-BA Issuer or any Lender, or the Administrative Agent, the L/C-BA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L/C-BA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L/C-BA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L/C-BA Issuer under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the preceding sentence shall survive the payment in full of the Obligations and the termination of this Agreement.</w:t>
      </w:r>
    </w:p>
    <w:p>
      <w:pPr>
        <w:spacing w:after="0" w:line="18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b w:val="1"/>
          <w:bCs w:val="1"/>
          <w:color w:val="auto"/>
        </w:rPr>
        <w:t>10.06</w:t>
      </w:r>
      <w:r>
        <w:rPr>
          <w:sz w:val="20"/>
          <w:szCs w:val="20"/>
          <w:color w:val="auto"/>
        </w:rPr>
        <w:tab/>
      </w:r>
      <w:r>
        <w:rPr>
          <w:rFonts w:ascii="Arial" w:cs="Arial" w:eastAsia="Arial" w:hAnsi="Arial"/>
          <w:sz w:val="17"/>
          <w:szCs w:val="17"/>
          <w:b w:val="1"/>
          <w:bCs w:val="1"/>
          <w:color w:val="auto"/>
        </w:rPr>
        <w:t>Successors and Assigns</w:t>
      </w:r>
      <w:r>
        <w:rPr>
          <w:rFonts w:ascii="Arial" w:cs="Arial" w:eastAsia="Arial" w:hAnsi="Arial"/>
          <w:sz w:val="17"/>
          <w:szCs w:val="17"/>
          <w:color w:val="auto"/>
        </w:rPr>
        <w:t>.</w:t>
      </w:r>
    </w:p>
    <w:p>
      <w:pPr>
        <w:spacing w:after="0" w:line="212" w:lineRule="exact"/>
        <w:rPr>
          <w:sz w:val="20"/>
          <w:szCs w:val="20"/>
          <w:color w:val="auto"/>
        </w:rPr>
      </w:pPr>
    </w:p>
    <w:p>
      <w:pPr>
        <w:jc w:val="both"/>
        <w:ind w:right="20" w:firstLine="645"/>
        <w:spacing w:after="0" w:line="236" w:lineRule="auto"/>
        <w:tabs>
          <w:tab w:leader="none" w:pos="1293"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Successors and Assigns Generally</w:t>
      </w:r>
      <w:r>
        <w:rPr>
          <w:rFonts w:ascii="Arial" w:cs="Arial" w:eastAsia="Arial" w:hAnsi="Arial"/>
          <w:sz w:val="22"/>
          <w:szCs w:val="22"/>
          <w:color w:val="auto"/>
        </w:rPr>
        <w:t>. The provisions of this Agreement shall be binding upon and inure to the benefit of the parties hereto and their respective successors and assigns permitted hereby, except that neither the Borrowers nor any other Loan Party may assign or otherwise transfer any of its rights or obligations hereunder without the prior written consent of the Administrative Agent and each Lender and no Lender may assign or otherwise transfer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78" w:name="page179"/>
    <w:bookmarkEnd w:id="178"/>
    <w:p>
      <w:pPr>
        <w:ind w:left="4"/>
        <w:spacing w:after="0"/>
        <w:rPr>
          <w:sz w:val="20"/>
          <w:szCs w:val="20"/>
          <w:color w:val="auto"/>
        </w:rPr>
      </w:pPr>
      <w:r>
        <w:rPr>
          <w:rFonts w:ascii="Arial" w:cs="Arial" w:eastAsia="Arial" w:hAnsi="Arial"/>
          <w:sz w:val="19"/>
          <w:szCs w:val="19"/>
          <w:color w:val="auto"/>
        </w:rPr>
        <w:t xml:space="preserve">any of its rights or obligations hereunder except (i) to an assignee in accordance with the provisions of </w:t>
      </w:r>
      <w:r>
        <w:rPr>
          <w:rFonts w:ascii="Arial" w:cs="Arial" w:eastAsia="Arial" w:hAnsi="Arial"/>
          <w:sz w:val="19"/>
          <w:szCs w:val="19"/>
          <w:u w:val="single" w:color="auto"/>
          <w:color w:val="auto"/>
        </w:rPr>
        <w:t>subsection</w:t>
      </w:r>
    </w:p>
    <w:p>
      <w:pPr>
        <w:spacing w:after="0" w:line="43" w:lineRule="exact"/>
        <w:rPr>
          <w:sz w:val="20"/>
          <w:szCs w:val="20"/>
          <w:color w:val="auto"/>
        </w:rPr>
      </w:pPr>
    </w:p>
    <w:p>
      <w:pPr>
        <w:ind w:left="304" w:hanging="304"/>
        <w:spacing w:after="0"/>
        <w:tabs>
          <w:tab w:leader="none" w:pos="304" w:val="left"/>
        </w:tabs>
        <w:numPr>
          <w:ilvl w:val="0"/>
          <w:numId w:val="199"/>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(ii) by way of participation in accordance with the provisions of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or</w:t>
      </w:r>
    </w:p>
    <w:p>
      <w:pPr>
        <w:spacing w:after="0" w:line="24" w:lineRule="exact"/>
        <w:rPr>
          <w:rFonts w:ascii="Arial" w:cs="Arial" w:eastAsia="Arial" w:hAnsi="Arial"/>
          <w:sz w:val="19"/>
          <w:szCs w:val="19"/>
          <w:u w:val="single" w:color="auto"/>
          <w:color w:val="auto"/>
        </w:rPr>
      </w:pPr>
    </w:p>
    <w:p>
      <w:pPr>
        <w:jc w:val="both"/>
        <w:ind w:left="4" w:hanging="4"/>
        <w:spacing w:after="0" w:line="232" w:lineRule="auto"/>
        <w:tabs>
          <w:tab w:leader="none" w:pos="42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by way of pledge or assignment of a security interest subject to the restrictions of </w:t>
      </w:r>
      <w:r>
        <w:rPr>
          <w:rFonts w:ascii="Arial" w:cs="Arial" w:eastAsia="Arial" w:hAnsi="Arial"/>
          <w:sz w:val="22"/>
          <w:szCs w:val="22"/>
          <w:u w:val="single" w:color="auto"/>
          <w:color w:val="auto"/>
        </w:rPr>
        <w:t>subsection (f)</w:t>
      </w:r>
      <w:r>
        <w:rPr>
          <w:rFonts w:ascii="Arial" w:cs="Arial" w:eastAsia="Arial" w:hAnsi="Arial"/>
          <w:sz w:val="22"/>
          <w:szCs w:val="22"/>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2"/>
          <w:szCs w:val="22"/>
          <w:u w:val="single" w:color="auto"/>
          <w:color w:val="auto"/>
        </w:rPr>
        <w:t>subsection (d)</w:t>
      </w:r>
      <w:r>
        <w:rPr>
          <w:rFonts w:ascii="Arial" w:cs="Arial" w:eastAsia="Arial" w:hAnsi="Arial"/>
          <w:sz w:val="22"/>
          <w:szCs w:val="22"/>
          <w:color w:val="auto"/>
        </w:rPr>
        <w:t xml:space="preserve"> of this Section and, to the extent expressly contemplated hereby, the Related Parties of each of the Administrative Agent, the L/C-BA Issuer and the Lenders) any legal or equitable right, remedy or claim under or by reason of this Agreement.</w:t>
      </w:r>
    </w:p>
    <w:p>
      <w:pPr>
        <w:spacing w:after="0" w:line="188" w:lineRule="exact"/>
        <w:rPr>
          <w:rFonts w:ascii="Arial" w:cs="Arial" w:eastAsia="Arial" w:hAnsi="Arial"/>
          <w:sz w:val="22"/>
          <w:szCs w:val="22"/>
          <w:color w:val="auto"/>
        </w:rPr>
      </w:pPr>
    </w:p>
    <w:p>
      <w:pPr>
        <w:jc w:val="both"/>
        <w:ind w:left="4" w:firstLine="645"/>
        <w:spacing w:after="0" w:line="287" w:lineRule="auto"/>
        <w:tabs>
          <w:tab w:leader="none" w:pos="1309"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participations in L/C-BA Obligations and in Swing Line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143" w:lineRule="exact"/>
        <w:rPr>
          <w:rFonts w:ascii="Arial" w:cs="Arial" w:eastAsia="Arial" w:hAnsi="Arial"/>
          <w:sz w:val="19"/>
          <w:szCs w:val="19"/>
          <w:color w:val="auto"/>
        </w:rPr>
      </w:pPr>
    </w:p>
    <w:p>
      <w:pPr>
        <w:ind w:left="2124" w:hanging="665"/>
        <w:spacing w:after="0"/>
        <w:tabs>
          <w:tab w:leader="none" w:pos="2124" w:val="left"/>
        </w:tabs>
        <w:numPr>
          <w:ilvl w:val="2"/>
          <w:numId w:val="200"/>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4" w:right="20" w:firstLine="641"/>
        <w:spacing w:after="0" w:line="238" w:lineRule="auto"/>
        <w:tabs>
          <w:tab w:leader="none" w:pos="2630" w:val="left"/>
        </w:tabs>
        <w:numPr>
          <w:ilvl w:val="3"/>
          <w:numId w:val="200"/>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85" w:lineRule="exact"/>
        <w:rPr>
          <w:rFonts w:ascii="Arial" w:cs="Arial" w:eastAsia="Arial" w:hAnsi="Arial"/>
          <w:sz w:val="22"/>
          <w:szCs w:val="22"/>
          <w:color w:val="auto"/>
        </w:rPr>
      </w:pPr>
    </w:p>
    <w:p>
      <w:pPr>
        <w:jc w:val="both"/>
        <w:ind w:left="1304" w:firstLine="641"/>
        <w:spacing w:after="0" w:line="271" w:lineRule="auto"/>
        <w:tabs>
          <w:tab w:leader="none" w:pos="2632" w:val="left"/>
        </w:tabs>
        <w:numPr>
          <w:ilvl w:val="3"/>
          <w:numId w:val="200"/>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subsection (b)(i)(A)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in the case of an assignment in respect of the Revolving Credit Facility, or $5,000,000, in the case of an assignment in respect of the Initial Domestic Term Loan Facility, the 2015 Domestic Term Loan Facility or the Singapore Term Loan Facility, unless each of the Administrative Agent and, so long as no Event of Default has occurred and is continuing, the Borrowing Agent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804" w:firstLine="655"/>
        <w:spacing w:after="0"/>
        <w:tabs>
          <w:tab w:leader="none" w:pos="2148" w:val="left"/>
        </w:tabs>
        <w:numPr>
          <w:ilvl w:val="2"/>
          <w:numId w:val="200"/>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Loans or the Commitment assigned, except</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79" w:name="page180"/>
    <w:bookmarkEnd w:id="179"/>
    <w:p>
      <w:pPr>
        <w:jc w:val="both"/>
        <w:ind w:left="260" w:right="20"/>
        <w:spacing w:after="0" w:line="241" w:lineRule="auto"/>
        <w:rPr>
          <w:sz w:val="20"/>
          <w:szCs w:val="20"/>
          <w:color w:val="auto"/>
        </w:rPr>
      </w:pPr>
      <w:r>
        <w:rPr>
          <w:rFonts w:ascii="Arial" w:cs="Arial" w:eastAsia="Arial" w:hAnsi="Arial"/>
          <w:sz w:val="22"/>
          <w:szCs w:val="22"/>
          <w:color w:val="auto"/>
        </w:rPr>
        <w:t xml:space="preserve">that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shall not (A) apply to the Swing Line Lender’s rights and obligations in respect of Swing Line Loans or (B) prohibit any Lender from assigning all or a portion of its rights and obligations among separate Facilities on a non-pro rata basis;</w:t>
      </w:r>
    </w:p>
    <w:p>
      <w:pPr>
        <w:spacing w:after="0" w:line="184" w:lineRule="exact"/>
        <w:rPr>
          <w:sz w:val="20"/>
          <w:szCs w:val="20"/>
          <w:color w:val="auto"/>
        </w:rPr>
      </w:pPr>
    </w:p>
    <w:p>
      <w:pPr>
        <w:ind w:left="260" w:firstLine="655"/>
        <w:spacing w:after="0" w:line="251" w:lineRule="auto"/>
        <w:tabs>
          <w:tab w:leader="none" w:pos="1624"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xml:space="preserve">. No consent shall be required for any assignment except to the extent required by </w:t>
      </w:r>
      <w:r>
        <w:rPr>
          <w:rFonts w:ascii="Arial" w:cs="Arial" w:eastAsia="Arial" w:hAnsi="Arial"/>
          <w:sz w:val="22"/>
          <w:szCs w:val="22"/>
          <w:u w:val="single" w:color="auto"/>
          <w:color w:val="auto"/>
        </w:rPr>
        <w:t>subsection (b)(i)(B)</w:t>
      </w:r>
      <w:r>
        <w:rPr>
          <w:rFonts w:ascii="Arial" w:cs="Arial" w:eastAsia="Arial" w:hAnsi="Arial"/>
          <w:sz w:val="22"/>
          <w:szCs w:val="22"/>
          <w:color w:val="auto"/>
        </w:rPr>
        <w:t xml:space="preserve"> of this Section and, in addition:</w:t>
      </w:r>
    </w:p>
    <w:p>
      <w:pPr>
        <w:spacing w:after="0" w:line="173" w:lineRule="exact"/>
        <w:rPr>
          <w:rFonts w:ascii="Arial" w:cs="Arial" w:eastAsia="Arial" w:hAnsi="Arial"/>
          <w:sz w:val="22"/>
          <w:szCs w:val="22"/>
          <w:color w:val="auto"/>
        </w:rPr>
      </w:pPr>
    </w:p>
    <w:p>
      <w:pPr>
        <w:jc w:val="both"/>
        <w:ind w:left="760" w:right="20" w:firstLine="641"/>
        <w:spacing w:after="0" w:line="273" w:lineRule="auto"/>
        <w:tabs>
          <w:tab w:leader="none" w:pos="2086" w:val="left"/>
        </w:tabs>
        <w:numPr>
          <w:ilvl w:val="1"/>
          <w:numId w:val="201"/>
        </w:numPr>
        <w:rPr>
          <w:rFonts w:ascii="Arial" w:cs="Arial" w:eastAsia="Arial" w:hAnsi="Arial"/>
          <w:sz w:val="19"/>
          <w:szCs w:val="19"/>
          <w:color w:val="auto"/>
        </w:rPr>
      </w:pPr>
      <w:r>
        <w:rPr>
          <w:rFonts w:ascii="Arial" w:cs="Arial" w:eastAsia="Arial" w:hAnsi="Arial"/>
          <w:sz w:val="19"/>
          <w:szCs w:val="19"/>
          <w:color w:val="auto"/>
        </w:rPr>
        <w:t xml:space="preserve">the consent of the Borrowing Agent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Borrowing Agent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161" w:lineRule="exact"/>
        <w:rPr>
          <w:rFonts w:ascii="Arial" w:cs="Arial" w:eastAsia="Arial" w:hAnsi="Arial"/>
          <w:sz w:val="19"/>
          <w:szCs w:val="19"/>
          <w:color w:val="auto"/>
        </w:rPr>
      </w:pPr>
    </w:p>
    <w:p>
      <w:pPr>
        <w:jc w:val="both"/>
        <w:ind w:left="760" w:right="20" w:firstLine="641"/>
        <w:spacing w:after="0" w:line="235" w:lineRule="auto"/>
        <w:tabs>
          <w:tab w:leader="none" w:pos="2088"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or delayed) shall be required for assignments in respect of (i) any Term Loan Commitment or Revolving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w:t>
      </w:r>
    </w:p>
    <w:p>
      <w:pPr>
        <w:spacing w:after="0" w:line="188" w:lineRule="exact"/>
        <w:rPr>
          <w:rFonts w:ascii="Arial" w:cs="Arial" w:eastAsia="Arial" w:hAnsi="Arial"/>
          <w:sz w:val="22"/>
          <w:szCs w:val="22"/>
          <w:color w:val="auto"/>
        </w:rPr>
      </w:pPr>
    </w:p>
    <w:p>
      <w:pPr>
        <w:jc w:val="both"/>
        <w:ind w:left="760" w:right="20" w:firstLine="641"/>
        <w:spacing w:after="0" w:line="238" w:lineRule="auto"/>
        <w:tabs>
          <w:tab w:leader="none" w:pos="2074"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the consent of the L/C-BA Issuer (such consent not to be unreasonably withheld or delayed) shall be required for any assignment that increases the obligation of the assignee to participate in exposure under one or more Letters of Credit or Bankers’ Acceptances (whether or not then outstanding); and</w:t>
      </w:r>
    </w:p>
    <w:p>
      <w:pPr>
        <w:spacing w:after="0" w:line="185" w:lineRule="exact"/>
        <w:rPr>
          <w:rFonts w:ascii="Arial" w:cs="Arial" w:eastAsia="Arial" w:hAnsi="Arial"/>
          <w:sz w:val="22"/>
          <w:szCs w:val="22"/>
          <w:color w:val="auto"/>
        </w:rPr>
      </w:pPr>
    </w:p>
    <w:p>
      <w:pPr>
        <w:jc w:val="both"/>
        <w:ind w:left="760" w:right="20" w:firstLine="641"/>
        <w:spacing w:after="0" w:line="297" w:lineRule="auto"/>
        <w:tabs>
          <w:tab w:leader="none" w:pos="2086" w:val="left"/>
        </w:tabs>
        <w:numPr>
          <w:ilvl w:val="1"/>
          <w:numId w:val="201"/>
        </w:numPr>
        <w:rPr>
          <w:rFonts w:ascii="Arial" w:cs="Arial" w:eastAsia="Arial" w:hAnsi="Arial"/>
          <w:sz w:val="19"/>
          <w:szCs w:val="19"/>
          <w:color w:val="auto"/>
        </w:rPr>
      </w:pPr>
      <w:r>
        <w:rPr>
          <w:rFonts w:ascii="Arial" w:cs="Arial" w:eastAsia="Arial" w:hAnsi="Arial"/>
          <w:sz w:val="19"/>
          <w:szCs w:val="19"/>
          <w:color w:val="auto"/>
        </w:rPr>
        <w:t>the consent of the Swing Line Lender (such consent not to be unreasonably withheld or delayed) shall be required for any assignment that increases the obligation of the assignee to participate in exposure under any Swing Line Loan (whether or not then outstanding).</w:t>
      </w:r>
    </w:p>
    <w:p>
      <w:pPr>
        <w:spacing w:after="0" w:line="134" w:lineRule="exact"/>
        <w:rPr>
          <w:rFonts w:ascii="Arial" w:cs="Arial" w:eastAsia="Arial" w:hAnsi="Arial"/>
          <w:sz w:val="19"/>
          <w:szCs w:val="19"/>
          <w:color w:val="auto"/>
        </w:rPr>
      </w:pPr>
    </w:p>
    <w:p>
      <w:pPr>
        <w:jc w:val="both"/>
        <w:ind w:left="260" w:firstLine="655"/>
        <w:spacing w:after="0" w:line="235" w:lineRule="auto"/>
        <w:tabs>
          <w:tab w:leader="none" w:pos="1612"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assignor and assignee parties to each assignment shall execute and deliver to the Administrative Agent an Assignment and Assumption, together with a processing and recordation fee in the amount of $3,500;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118" w:right="879" w:bottom="1440" w:gutter="0" w:footer="0" w:header="0"/>
        </w:sectPr>
      </w:pPr>
    </w:p>
    <w:bookmarkStart w:id="180" w:name="page181"/>
    <w:bookmarkEnd w:id="180"/>
    <w:p>
      <w:pPr>
        <w:jc w:val="both"/>
        <w:ind w:left="800" w:right="20" w:firstLine="655"/>
        <w:spacing w:after="0" w:line="287" w:lineRule="auto"/>
        <w:tabs>
          <w:tab w:leader="none" w:pos="2308"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xml:space="preserve">. No such assignment shall be made (A) to any Borrower or any of any Borrower’s Affiliates or Restricted Subsidiaries, or (B) to any Defaulting Lender or any of its Restricted Subsidiaries, or any Person who, upon becoming a Lender hereunder, would constitute any of the foregoing Persons described in this </w:t>
      </w:r>
      <w:r>
        <w:rPr>
          <w:rFonts w:ascii="Arial" w:cs="Arial" w:eastAsia="Arial" w:hAnsi="Arial"/>
          <w:sz w:val="19"/>
          <w:szCs w:val="19"/>
          <w:u w:val="single" w:color="auto"/>
          <w:color w:val="auto"/>
        </w:rPr>
        <w:t>clause (B)</w:t>
      </w:r>
      <w:r>
        <w:rPr>
          <w:rFonts w:ascii="Arial" w:cs="Arial" w:eastAsia="Arial" w:hAnsi="Arial"/>
          <w:sz w:val="19"/>
          <w:szCs w:val="19"/>
          <w:color w:val="auto"/>
        </w:rPr>
        <w:t>, or (C) to a natural person.</w:t>
      </w:r>
    </w:p>
    <w:p>
      <w:pPr>
        <w:spacing w:after="0" w:line="143" w:lineRule="exact"/>
        <w:rPr>
          <w:rFonts w:ascii="Arial" w:cs="Arial" w:eastAsia="Arial" w:hAnsi="Arial"/>
          <w:sz w:val="19"/>
          <w:szCs w:val="19"/>
          <w:color w:val="auto"/>
        </w:rPr>
      </w:pPr>
    </w:p>
    <w:p>
      <w:pPr>
        <w:jc w:val="both"/>
        <w:ind w:left="800" w:firstLine="655"/>
        <w:spacing w:after="0" w:line="271" w:lineRule="auto"/>
        <w:tabs>
          <w:tab w:leader="none" w:pos="2152"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Bankers’ Acceptances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facts and circumstances occurring prior to the effective date of such assignment.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w:t>
      </w:r>
    </w:p>
    <w:p>
      <w:pPr>
        <w:spacing w:after="0" w:line="162" w:lineRule="exact"/>
        <w:rPr>
          <w:sz w:val="20"/>
          <w:szCs w:val="20"/>
          <w:color w:val="auto"/>
        </w:rPr>
      </w:pPr>
    </w:p>
    <w:p>
      <w:pPr>
        <w:jc w:val="both"/>
        <w:ind w:right="20" w:firstLine="645"/>
        <w:spacing w:after="0" w:line="236" w:lineRule="auto"/>
        <w:tabs>
          <w:tab w:leader="none" w:pos="1293"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Register</w:t>
      </w:r>
      <w:r>
        <w:rPr>
          <w:rFonts w:ascii="Arial" w:cs="Arial" w:eastAsia="Arial" w:hAnsi="Arial"/>
          <w:sz w:val="22"/>
          <w:szCs w:val="22"/>
          <w:color w:val="auto"/>
        </w:rPr>
        <w:t>. The Administrative Agent, acting solely for this purpose as an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L/C-BA Obligations owing to, each Lender pursuant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81" w:name="page182"/>
    <w:bookmarkEnd w:id="181"/>
    <w:p>
      <w:pPr>
        <w:jc w:val="both"/>
        <w:spacing w:after="0" w:line="247" w:lineRule="auto"/>
        <w:rPr>
          <w:sz w:val="20"/>
          <w:szCs w:val="20"/>
          <w:color w:val="auto"/>
        </w:rPr>
      </w:pPr>
      <w:r>
        <w:rPr>
          <w:rFonts w:ascii="Arial" w:cs="Arial" w:eastAsia="Arial" w:hAnsi="Arial"/>
          <w:sz w:val="21"/>
          <w:szCs w:val="21"/>
          <w:color w:val="auto"/>
        </w:rPr>
        <w:t>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(and as a Voting Defaulting Lender)</w:t>
      </w:r>
      <w:r>
        <w:rPr>
          <w:rFonts w:ascii="Arial" w:cs="Arial" w:eastAsia="Arial" w:hAnsi="Arial"/>
          <w:sz w:val="21"/>
          <w:szCs w:val="21"/>
          <w:b w:val="1"/>
          <w:bCs w:val="1"/>
          <w:color w:val="auto"/>
        </w:rPr>
        <w:t>.</w:t>
      </w:r>
      <w:r>
        <w:rPr>
          <w:rFonts w:ascii="Arial" w:cs="Arial" w:eastAsia="Arial" w:hAnsi="Arial"/>
          <w:sz w:val="21"/>
          <w:szCs w:val="21"/>
          <w:color w:val="auto"/>
        </w:rPr>
        <w:t xml:space="preserve"> The Register shall be available for inspection by the Borrowers and any Lender, at any reasonable time and from time to time upon reasonable prior notice.</w:t>
      </w:r>
    </w:p>
    <w:p>
      <w:pPr>
        <w:spacing w:after="0" w:line="179" w:lineRule="exact"/>
        <w:rPr>
          <w:sz w:val="20"/>
          <w:szCs w:val="20"/>
          <w:color w:val="auto"/>
        </w:rPr>
      </w:pPr>
    </w:p>
    <w:p>
      <w:pPr>
        <w:jc w:val="both"/>
        <w:ind w:firstLine="645"/>
        <w:spacing w:after="0" w:line="271" w:lineRule="auto"/>
        <w:tabs>
          <w:tab w:leader="none" w:pos="1305"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Borrowers or the Administrative Agent, sell participations to any Person (other than a natural person, a Defaulting Lender or the Borrowers or any of the Borrower’s Affiliates or Restricted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L/C-BA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L/C-BA Issuer shall continue to deal solely and directly with such Lender in connection with such Lender’s rights and obligations under this Agreement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so long as no Event of Default has occurred and is continuing at the time of such participation, with respect to the sale of any participation in the Singapore Term Loan Facility, the Borrowing Agent’s consent shall be required, which consent shall not be unreasonably withheld or delayed (it being agreed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Each Lender that sells a participation shall, acting solely for this purpose as an agent of the Borrowers, maintain a register on which it enters the name and address of each Participant and the principal amounts (and stated interest) of each Participant’s interest in the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82" w:name="page183"/>
    <w:bookmarkEnd w:id="182"/>
    <w:p>
      <w:pPr>
        <w:jc w:val="both"/>
        <w:ind w:right="20"/>
        <w:spacing w:after="0" w:line="247" w:lineRule="auto"/>
        <w:rPr>
          <w:sz w:val="20"/>
          <w:szCs w:val="20"/>
          <w:color w:val="auto"/>
        </w:rPr>
      </w:pPr>
      <w:r>
        <w:rPr>
          <w:rFonts w:ascii="Arial" w:cs="Arial" w:eastAsia="Arial" w:hAnsi="Arial"/>
          <w:sz w:val="21"/>
          <w:szCs w:val="21"/>
          <w:color w:val="auto"/>
        </w:rPr>
        <w:t xml:space="preserve">agreement or instrument may provide that such Lender will not, without the consent of the Participant, agree to any amendment, waiver or other modification described in the first proviso to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that affects such Participant. Subject to </w:t>
      </w:r>
      <w:r>
        <w:rPr>
          <w:rFonts w:ascii="Arial" w:cs="Arial" w:eastAsia="Arial" w:hAnsi="Arial"/>
          <w:sz w:val="21"/>
          <w:szCs w:val="21"/>
          <w:u w:val="single" w:color="auto"/>
          <w:color w:val="auto"/>
        </w:rPr>
        <w:t>subsection (e)</w:t>
      </w:r>
      <w:r>
        <w:rPr>
          <w:rFonts w:ascii="Arial" w:cs="Arial" w:eastAsia="Arial" w:hAnsi="Arial"/>
          <w:sz w:val="21"/>
          <w:szCs w:val="21"/>
          <w:color w:val="auto"/>
        </w:rPr>
        <w:t xml:space="preserve"> of this Section, the Borrowers agree that each Participant shall be entitled to the benefits of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to the same extent as if it were a Lender and had acquired its interest by assignment pursuant to </w:t>
      </w:r>
      <w:r>
        <w:rPr>
          <w:rFonts w:ascii="Arial" w:cs="Arial" w:eastAsia="Arial" w:hAnsi="Arial"/>
          <w:sz w:val="21"/>
          <w:szCs w:val="21"/>
          <w:u w:val="single" w:color="auto"/>
          <w:color w:val="auto"/>
        </w:rPr>
        <w:t>subsection (b)</w:t>
      </w:r>
      <w:r>
        <w:rPr>
          <w:rFonts w:ascii="Arial" w:cs="Arial" w:eastAsia="Arial" w:hAnsi="Arial"/>
          <w:sz w:val="21"/>
          <w:szCs w:val="21"/>
          <w:color w:val="auto"/>
        </w:rPr>
        <w:t xml:space="preserve"> of this Section. To the extent permitted by law, each Participant also shall be entitled to the benefits of </w:t>
      </w:r>
      <w:r>
        <w:rPr>
          <w:rFonts w:ascii="Arial" w:cs="Arial" w:eastAsia="Arial" w:hAnsi="Arial"/>
          <w:sz w:val="21"/>
          <w:szCs w:val="21"/>
          <w:u w:val="single" w:color="auto"/>
          <w:color w:val="auto"/>
        </w:rPr>
        <w:t>Section 10.08</w:t>
      </w:r>
      <w:r>
        <w:rPr>
          <w:rFonts w:ascii="Arial" w:cs="Arial" w:eastAsia="Arial" w:hAnsi="Arial"/>
          <w:sz w:val="21"/>
          <w:szCs w:val="21"/>
          <w:color w:val="auto"/>
        </w:rPr>
        <w:t xml:space="preserve"> as though it were a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Participant agrees to be subject to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as though it were a Lender.</w:t>
      </w:r>
    </w:p>
    <w:p>
      <w:pPr>
        <w:spacing w:after="0" w:line="178" w:lineRule="exact"/>
        <w:rPr>
          <w:sz w:val="20"/>
          <w:szCs w:val="20"/>
          <w:color w:val="auto"/>
        </w:rPr>
      </w:pPr>
    </w:p>
    <w:p>
      <w:pPr>
        <w:jc w:val="both"/>
        <w:ind w:firstLine="645"/>
        <w:spacing w:after="0" w:line="234" w:lineRule="auto"/>
        <w:tabs>
          <w:tab w:leader="none" w:pos="1293"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Limitations upon Participant Rights</w:t>
      </w:r>
      <w:r>
        <w:rPr>
          <w:rFonts w:ascii="Arial" w:cs="Arial" w:eastAsia="Arial" w:hAnsi="Arial"/>
          <w:sz w:val="22"/>
          <w:szCs w:val="22"/>
          <w:color w:val="auto"/>
        </w:rPr>
        <w:t xml:space="preserve">. A Participant shall not be entitled to receive any greater payment under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3.04</w:t>
      </w:r>
      <w:r>
        <w:rPr>
          <w:rFonts w:ascii="Arial" w:cs="Arial" w:eastAsia="Arial" w:hAnsi="Arial"/>
          <w:sz w:val="22"/>
          <w:szCs w:val="22"/>
          <w:color w:val="auto"/>
        </w:rPr>
        <w:t xml:space="preserve"> than the applicable Lender would have been entitled to receive with respect to the participation sold to such Participant, unless the sale of the participation to such Participant is made with the Borrowing Agent’s prior written consent. A Participant that would be a Foreign Lender if it were a Lender shall not be entitled to the benefits of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unless the Borrowers are notified of the participation sold to such Participant and such Participant agrees, for the benefit of the Borrowers, to comply with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as though it were a Lender.</w:t>
      </w:r>
    </w:p>
    <w:p>
      <w:pPr>
        <w:spacing w:after="0" w:line="191" w:lineRule="exact"/>
        <w:rPr>
          <w:rFonts w:ascii="Arial" w:cs="Arial" w:eastAsia="Arial" w:hAnsi="Arial"/>
          <w:sz w:val="22"/>
          <w:szCs w:val="22"/>
          <w:color w:val="auto"/>
        </w:rPr>
      </w:pPr>
    </w:p>
    <w:p>
      <w:pPr>
        <w:jc w:val="both"/>
        <w:ind w:firstLine="645"/>
        <w:spacing w:after="0" w:line="235" w:lineRule="auto"/>
        <w:tabs>
          <w:tab w:leader="none" w:pos="1310"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Certain Pledges</w:t>
      </w:r>
      <w:r>
        <w:rPr>
          <w:rFonts w:ascii="Arial" w:cs="Arial" w:eastAsia="Arial" w:hAnsi="Arial"/>
          <w:sz w:val="22"/>
          <w:szCs w:val="22"/>
          <w:color w:val="auto"/>
        </w:rPr>
        <w:t xml:space="preserve">. Any Lender may at any time pledge or assign a security interest in all or any portion of its rights under this Agreement (including under its Revolving Note or Term Loan Note, if any) to secure obligations of such Lender, including any pledge or assignment to secure obligations to a Federal Reserve Bank or any central bank having jurisdiction over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88" w:lineRule="exact"/>
        <w:rPr>
          <w:rFonts w:ascii="Arial" w:cs="Arial" w:eastAsia="Arial" w:hAnsi="Arial"/>
          <w:sz w:val="22"/>
          <w:szCs w:val="22"/>
          <w:color w:val="auto"/>
        </w:rPr>
      </w:pPr>
    </w:p>
    <w:p>
      <w:pPr>
        <w:jc w:val="both"/>
        <w:ind w:firstLine="645"/>
        <w:spacing w:after="0" w:line="270" w:lineRule="auto"/>
        <w:tabs>
          <w:tab w:leader="none" w:pos="1305"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Resignation as L/C-BA Issuer or Swing Line Lender after Assignment</w:t>
      </w:r>
      <w:r>
        <w:rPr>
          <w:rFonts w:ascii="Arial" w:cs="Arial" w:eastAsia="Arial" w:hAnsi="Arial"/>
          <w:sz w:val="19"/>
          <w:szCs w:val="19"/>
          <w:color w:val="auto"/>
        </w:rPr>
        <w:t xml:space="preserve">. Notwithstanding anything to the contrary contained herein, if at any time Bank of America assigns all of its Commitment and Loans pursuant to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Bank of America may, (i) upon thirty (30) days’ notice to the Borrowing Agent and the Lenders, resign as L/C-BA Issuer and/or (ii) upon thirty (30) days’ notice to the Borrowing Agent, resign as Swing Line Lender. In the event of any such resignation as L/C-BA Issuer or Swing Line Lender, the Borrowing Agent shall be entitled to appoint from among the Lenders a successor L/C-BA Issuer or Swing Line Lender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failure by the Borrowing Agent to appoint any such successor shall affect the resignation of Bank of America as L/C-BA Issuer or Swing Line Lender, as the case may be. If Bank of America resigns as L/C-BA Issuer, it shall retain all the rights, powers, privileges and duties of the L/C-BA Issuer hereunder with respect to all Letters of Credit or Bankers’ Acceptances issued by it and outstanding as of the effective date of its resignation as L/C-BA Issuer and all L/C-BA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of a successor L/C-BA Issuer and/or Swing Line Lender, (a) such successor shall succeed to and become vested with all of the rights, powers, privileges and duties of the retiring L/C-BA Issuer or Swing Line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83" w:name="page184"/>
    <w:bookmarkEnd w:id="183"/>
    <w:p>
      <w:pPr>
        <w:jc w:val="both"/>
        <w:ind w:right="20"/>
        <w:spacing w:after="0" w:line="236" w:lineRule="auto"/>
        <w:rPr>
          <w:sz w:val="20"/>
          <w:szCs w:val="20"/>
          <w:color w:val="auto"/>
        </w:rPr>
      </w:pPr>
      <w:r>
        <w:rPr>
          <w:rFonts w:ascii="Arial" w:cs="Arial" w:eastAsia="Arial" w:hAnsi="Arial"/>
          <w:sz w:val="22"/>
          <w:szCs w:val="22"/>
          <w:color w:val="auto"/>
        </w:rPr>
        <w:t>Lender, as the case may be, and (b) the successor L/C-BA Issuer shall issue letters of credit and bankers’ acceptances in substitution for the Letters of Credit and Bankers’ Acceptances issued by Bank of America, if any, outstanding at the time of such succession or make other arrangements satisfactory to Bank of America to effectively assume the obligations of Bank of America with respect to such Letters of Credit or Bankers’ Acceptances.</w:t>
      </w:r>
    </w:p>
    <w:p>
      <w:pPr>
        <w:spacing w:after="0" w:line="182"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9"/>
          <w:szCs w:val="19"/>
          <w:b w:val="1"/>
          <w:bCs w:val="1"/>
          <w:color w:val="auto"/>
        </w:rPr>
        <w:t>10.07 Treatment of Certain Information; Confidentiality</w:t>
      </w:r>
      <w:r>
        <w:rPr>
          <w:rFonts w:ascii="Arial" w:cs="Arial" w:eastAsia="Arial" w:hAnsi="Arial"/>
          <w:sz w:val="19"/>
          <w:szCs w:val="19"/>
          <w:color w:val="auto"/>
        </w:rPr>
        <w:t>. Each of the Administrative Agent, the</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and the L/C-BA Issuer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w:t>
      </w:r>
    </w:p>
    <w:p>
      <w:pPr>
        <w:spacing w:after="0" w:line="5" w:lineRule="exact"/>
        <w:rPr>
          <w:sz w:val="20"/>
          <w:szCs w:val="20"/>
          <w:color w:val="auto"/>
        </w:rPr>
      </w:pPr>
    </w:p>
    <w:p>
      <w:pPr>
        <w:jc w:val="both"/>
        <w:ind w:left="20" w:right="20" w:firstLine="1"/>
        <w:spacing w:after="0" w:line="267" w:lineRule="auto"/>
        <w:tabs>
          <w:tab w:leader="none" w:pos="32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9"/>
          <w:szCs w:val="19"/>
          <w:u w:val="single" w:color="auto"/>
          <w:color w:val="auto"/>
        </w:rPr>
        <w:t>Section 2.14(c)</w:t>
      </w:r>
      <w:r>
        <w:rPr>
          <w:rFonts w:ascii="Arial" w:cs="Arial" w:eastAsia="Arial" w:hAnsi="Arial"/>
          <w:sz w:val="19"/>
          <w:szCs w:val="19"/>
          <w:color w:val="auto"/>
        </w:rPr>
        <w:t>,</w:t>
      </w:r>
    </w:p>
    <w:p>
      <w:pPr>
        <w:jc w:val="both"/>
        <w:ind w:left="20" w:right="20" w:firstLine="1"/>
        <w:spacing w:after="0" w:line="267" w:lineRule="auto"/>
        <w:tabs>
          <w:tab w:leader="none" w:pos="371"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any actual or prospective counterparty (or its advisors) to any swap or derivative transaction relating to the Borrowers and their obligations or (iii) any third party vendor engaged by a Lender or an Affiliate of a Lender whose access to the Information is reasonably necessary for such vendor to perform the services or procedures for which such vendor has been engaged by such Lender or Affiliate, (g) with the consent of the Borrowing Agent or</w:t>
      </w:r>
    </w:p>
    <w:p>
      <w:pPr>
        <w:ind w:left="340" w:hanging="319"/>
        <w:spacing w:after="0"/>
        <w:tabs>
          <w:tab w:leader="none" w:pos="34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to the extent such Information (x) becomes publicly available other than as a result of a breach of this Section or</w:t>
      </w:r>
    </w:p>
    <w:p>
      <w:pPr>
        <w:spacing w:after="0" w:line="24" w:lineRule="exact"/>
        <w:rPr>
          <w:rFonts w:ascii="Arial" w:cs="Arial" w:eastAsia="Arial" w:hAnsi="Arial"/>
          <w:sz w:val="19"/>
          <w:szCs w:val="19"/>
          <w:color w:val="auto"/>
        </w:rPr>
      </w:pPr>
    </w:p>
    <w:p>
      <w:pPr>
        <w:jc w:val="both"/>
        <w:ind w:left="20" w:firstLine="1"/>
        <w:spacing w:after="0" w:line="271" w:lineRule="auto"/>
        <w:tabs>
          <w:tab w:leader="none" w:pos="37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becomes available to the Administrative Agent, any Lender, the L/C-BA Issuer or any of their respective Affiliates on a nonconfidential basis from a source other than the Borrowers. For purposes of this Section, “Information” means all information received from the Borrowers or any Restricted Subsidiary relating to the Borrowers or any Subsidiary or any of their respective businesses, other than any such information that is available to the Administrative Agent, any Lender or the L/C-BA Issuer on a nonconfidential basis prior to disclosure by the Borrowers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2"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Each of the Administrative Agent, the Lenders and the L/C-BA Issuer acknowledges that (a) the Information may include material non-public information concerning the Borrowers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84" w:name="page185"/>
    <w:bookmarkEnd w:id="184"/>
    <w:p>
      <w:pPr>
        <w:jc w:val="both"/>
        <w:ind w:right="20" w:firstLine="648"/>
        <w:spacing w:after="0" w:line="252" w:lineRule="auto"/>
        <w:rPr>
          <w:sz w:val="20"/>
          <w:szCs w:val="20"/>
          <w:color w:val="auto"/>
        </w:rPr>
      </w:pPr>
      <w:r>
        <w:rPr>
          <w:rFonts w:ascii="Arial" w:cs="Arial" w:eastAsia="Arial" w:hAnsi="Arial"/>
          <w:sz w:val="21"/>
          <w:szCs w:val="21"/>
          <w:color w:val="auto"/>
        </w:rPr>
        <w:t xml:space="preserve">This Section </w:t>
      </w:r>
      <w:r>
        <w:rPr>
          <w:rFonts w:ascii="Arial" w:cs="Arial" w:eastAsia="Arial" w:hAnsi="Arial"/>
          <w:sz w:val="21"/>
          <w:szCs w:val="21"/>
          <w:u w:val="single" w:color="auto"/>
          <w:color w:val="auto"/>
        </w:rPr>
        <w:t>10.07</w:t>
      </w:r>
      <w:r>
        <w:rPr>
          <w:rFonts w:ascii="Arial" w:cs="Arial" w:eastAsia="Arial" w:hAnsi="Arial"/>
          <w:sz w:val="21"/>
          <w:szCs w:val="21"/>
          <w:color w:val="auto"/>
        </w:rPr>
        <w:t xml:space="preserve"> is not, and shall not be deemed to constitute, an express or implied agreement by the Administrative Agent or the Singapore Agent or any Singapore Term Loan Lender with any Loan Party for a higher degree of confidentiality than that prescribed in Section 47 of the Banking Act, Chapter 19 of Singapore and in the Third Schedule to the Banking Act, Chapter 19 of Singapore.</w:t>
      </w:r>
    </w:p>
    <w:p>
      <w:pPr>
        <w:spacing w:after="0" w:line="169"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9"/>
          <w:szCs w:val="19"/>
          <w:b w:val="1"/>
          <w:bCs w:val="1"/>
          <w:color w:val="auto"/>
        </w:rPr>
        <w:t xml:space="preserve">10.08 Right of Setoff. </w:t>
      </w:r>
      <w:r>
        <w:rPr>
          <w:rFonts w:ascii="Arial" w:cs="Arial" w:eastAsia="Arial" w:hAnsi="Arial"/>
          <w:sz w:val="19"/>
          <w:szCs w:val="19"/>
          <w:color w:val="auto"/>
        </w:rPr>
        <w:t>Subject to the Intercreditor Agreement (if any), if an Event of Default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occurred and be continuing, each Lender, the L/C-BA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L/C-BA Issuer or any such Affiliate to or for the credit or the account of the Borrowers against any and all of the obligations of the Borrowers now or hereafter existing under this Agreement or any other Loan Document to such Lender or the L/C-BA Issuer, irrespective of whether or not such Lender or the L/C-BA Issuer shall have made any demand under this Agreement or any other Loan Document and although such obligations of the Borrowers may be contingent or unmatured or are owed to a branch or office of such Lender or the L/C-BA Issuer different from the branch or office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L/C-BA Issuer and their respective Affiliates under this Section are in addition to other rights and remedies (including other rights of setoff) that such Lender, the L/C-BA Issuer or their respective Affiliates may have. Each Lender and the L/C-BA Issuer agrees to notify the Borrowers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02" w:lineRule="exact"/>
        <w:rPr>
          <w:sz w:val="20"/>
          <w:szCs w:val="20"/>
          <w:color w:val="auto"/>
        </w:rPr>
      </w:pPr>
    </w:p>
    <w:p>
      <w:pPr>
        <w:jc w:val="both"/>
        <w:ind w:left="20" w:right="20" w:firstLine="648"/>
        <w:spacing w:after="0" w:line="270" w:lineRule="auto"/>
        <w:rPr>
          <w:sz w:val="20"/>
          <w:szCs w:val="20"/>
          <w:color w:val="auto"/>
        </w:rPr>
      </w:pPr>
      <w:r>
        <w:rPr>
          <w:rFonts w:ascii="Arial" w:cs="Arial" w:eastAsia="Arial" w:hAnsi="Arial"/>
          <w:sz w:val="19"/>
          <w:szCs w:val="19"/>
          <w:b w:val="1"/>
          <w:bCs w:val="1"/>
          <w:color w:val="auto"/>
        </w:rPr>
        <w:t>10.09 Interest Rate Limitation</w:t>
      </w:r>
      <w:r>
        <w:rPr>
          <w:rFonts w:ascii="Arial" w:cs="Arial" w:eastAsia="Arial" w:hAnsi="Arial"/>
          <w:sz w:val="19"/>
          <w:szCs w:val="19"/>
          <w:color w:val="auto"/>
        </w:rPr>
        <w:t>. Notwithstanding anything to the contrary contained in any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2" w:lineRule="exact"/>
        <w:rPr>
          <w:sz w:val="20"/>
          <w:szCs w:val="20"/>
          <w:color w:val="auto"/>
        </w:rPr>
      </w:pPr>
    </w:p>
    <w:p>
      <w:pPr>
        <w:ind w:left="20" w:right="20" w:firstLine="1"/>
        <w:spacing w:after="0" w:line="237" w:lineRule="auto"/>
        <w:tabs>
          <w:tab w:leader="none" w:pos="35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amortize, prorate, allocate, and spread in equal or unequal parts the total amount of interest throughout the contemplated term of the Obligations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85" w:name="page186"/>
    <w:bookmarkEnd w:id="185"/>
    <w:p>
      <w:pPr>
        <w:jc w:val="both"/>
        <w:ind w:right="20" w:firstLine="648"/>
        <w:spacing w:after="0" w:line="275" w:lineRule="auto"/>
        <w:rPr>
          <w:sz w:val="20"/>
          <w:szCs w:val="20"/>
          <w:color w:val="auto"/>
        </w:rPr>
      </w:pPr>
      <w:r>
        <w:rPr>
          <w:rFonts w:ascii="Arial" w:cs="Arial" w:eastAsia="Arial" w:hAnsi="Arial"/>
          <w:sz w:val="19"/>
          <w:szCs w:val="19"/>
          <w:b w:val="1"/>
          <w:bCs w:val="1"/>
          <w:color w:val="auto"/>
        </w:rPr>
        <w:t xml:space="preserve">10.10 Counterparts; Integration; Effectiveness. </w:t>
      </w:r>
      <w:r>
        <w:rPr>
          <w:rFonts w:ascii="Arial" w:cs="Arial" w:eastAsia="Arial" w:hAnsi="Arial"/>
          <w:sz w:val="19"/>
          <w:szCs w:val="19"/>
          <w:color w:val="auto"/>
        </w:rPr>
        <w:t>This Agreement may be executed in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5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9"/>
          <w:szCs w:val="19"/>
          <w:b w:val="1"/>
          <w:bCs w:val="1"/>
          <w:color w:val="auto"/>
        </w:rPr>
        <w:t xml:space="preserve">10.11 Survival of Representations and Warranties. </w:t>
      </w:r>
      <w:r>
        <w:rPr>
          <w:rFonts w:ascii="Arial" w:cs="Arial" w:eastAsia="Arial" w:hAnsi="Arial"/>
          <w:sz w:val="19"/>
          <w:szCs w:val="19"/>
          <w:color w:val="auto"/>
        </w:rPr>
        <w:t>All representations and warranties made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or Bankers’ Acceptance shall remain outstanding.</w:t>
      </w:r>
    </w:p>
    <w:p>
      <w:pPr>
        <w:spacing w:after="0" w:line="15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10.12 Severability</w:t>
      </w:r>
      <w:r>
        <w:rPr>
          <w:rFonts w:ascii="Arial" w:cs="Arial" w:eastAsia="Arial" w:hAnsi="Arial"/>
          <w:sz w:val="19"/>
          <w:szCs w:val="19"/>
          <w:color w:val="auto"/>
        </w:rPr>
        <w:t>. If any provision of this Agreement or the other Loan Documents is held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the L/C-BA Issuer or the Swing Line Lender, as applicable, then such provisions shall be deemed to be in effect only to the extent not so limited.</w:t>
      </w:r>
    </w:p>
    <w:p>
      <w:pPr>
        <w:spacing w:after="0" w:line="1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10.13 Replacement of Lenders. </w:t>
      </w:r>
      <w:r>
        <w:rPr>
          <w:rFonts w:ascii="Arial" w:cs="Arial" w:eastAsia="Arial" w:hAnsi="Arial"/>
          <w:sz w:val="21"/>
          <w:szCs w:val="21"/>
          <w:color w:val="auto"/>
        </w:rPr>
        <w:t>If any Lender requests compensation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3.04</w:t>
      </w:r>
      <w:r>
        <w:rPr>
          <w:rFonts w:ascii="Arial" w:cs="Arial" w:eastAsia="Arial" w:hAnsi="Arial"/>
          <w:sz w:val="21"/>
          <w:szCs w:val="21"/>
          <w:color w:val="auto"/>
        </w:rPr>
        <w:t>, or if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Borrowers are required to pay any additional amount to any Lender or any Governmental Authority for the account of any Lender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if any Lender is a Defaulting Lender, if any Lender is a Restricted Lender (as defined below) or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1"/>
          <w:szCs w:val="21"/>
          <w:u w:val="single" w:color="auto"/>
          <w:color w:val="auto"/>
        </w:rPr>
        <w:t>Section 10.06</w:t>
      </w:r>
      <w:r>
        <w:rPr>
          <w:rFonts w:ascii="Arial" w:cs="Arial" w:eastAsia="Arial" w:hAnsi="Arial"/>
          <w:sz w:val="21"/>
          <w:szCs w:val="21"/>
          <w:color w:val="auto"/>
        </w:rPr>
        <w:t>), all of its interests, rights and obligations under this Agreement and the related</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63500</wp:posOffset>
            </wp:positionV>
            <wp:extent cx="6465570"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20" w:top="112" w:right="879" w:bottom="1440" w:gutter="0" w:footer="0" w:header="0"/>
        </w:sectPr>
      </w:pPr>
    </w:p>
    <w:bookmarkStart w:id="186" w:name="page187"/>
    <w:bookmarkEnd w:id="186"/>
    <w:p>
      <w:pPr>
        <w:ind w:left="20"/>
        <w:spacing w:after="0"/>
        <w:rPr>
          <w:sz w:val="20"/>
          <w:szCs w:val="20"/>
          <w:color w:val="auto"/>
        </w:rPr>
      </w:pPr>
      <w:r>
        <w:rPr>
          <w:rFonts w:ascii="Arial" w:cs="Arial" w:eastAsia="Arial" w:hAnsi="Arial"/>
          <w:sz w:val="19"/>
          <w:szCs w:val="19"/>
          <w:color w:val="auto"/>
        </w:rPr>
        <w:t>Loan Documents to an assignee that shall assume such obligations (which assignee may be another Lender, if a</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Lender accepts such assignment),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ind w:right="20" w:firstLine="645"/>
        <w:spacing w:after="0" w:line="251" w:lineRule="auto"/>
        <w:tabs>
          <w:tab w:leader="none" w:pos="129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the Borrowers shall have paid to the Administrative Agent the assignment fee specified in </w:t>
      </w:r>
      <w:r>
        <w:rPr>
          <w:rFonts w:ascii="Arial" w:cs="Arial" w:eastAsia="Arial" w:hAnsi="Arial"/>
          <w:sz w:val="22"/>
          <w:szCs w:val="22"/>
          <w:u w:val="single" w:color="auto"/>
          <w:color w:val="auto"/>
        </w:rPr>
        <w:t>Section 10.06(b)</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right="20" w:firstLine="645"/>
        <w:spacing w:after="0" w:line="236" w:lineRule="auto"/>
        <w:tabs>
          <w:tab w:leader="none" w:pos="130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such Lender shall have received payment of an amount equal to 100% of the outstanding principal of its Loans and L/C-BA Advances, accrued interest thereon, accrued fees and all other amounts payable to it hereunder and under the other Loan Documents (including any amounts under </w:t>
      </w:r>
      <w:r>
        <w:rPr>
          <w:rFonts w:ascii="Arial" w:cs="Arial" w:eastAsia="Arial" w:hAnsi="Arial"/>
          <w:sz w:val="22"/>
          <w:szCs w:val="22"/>
          <w:u w:val="single" w:color="auto"/>
          <w:color w:val="auto"/>
        </w:rPr>
        <w:t>Section 3.05</w:t>
      </w:r>
      <w:r>
        <w:rPr>
          <w:rFonts w:ascii="Arial" w:cs="Arial" w:eastAsia="Arial" w:hAnsi="Arial"/>
          <w:sz w:val="22"/>
          <w:szCs w:val="22"/>
          <w:color w:val="auto"/>
        </w:rPr>
        <w:t>) from the assignee (to the extent of such outstanding principal and accrued interest and fees) or the Borrowers (in the case of all other amounts);</w:t>
      </w:r>
    </w:p>
    <w:p>
      <w:pPr>
        <w:spacing w:after="0" w:line="187" w:lineRule="exact"/>
        <w:rPr>
          <w:rFonts w:ascii="Arial" w:cs="Arial" w:eastAsia="Arial" w:hAnsi="Arial"/>
          <w:sz w:val="22"/>
          <w:szCs w:val="22"/>
          <w:color w:val="auto"/>
        </w:rPr>
      </w:pPr>
    </w:p>
    <w:p>
      <w:pPr>
        <w:jc w:val="both"/>
        <w:ind w:right="20" w:firstLine="645"/>
        <w:spacing w:after="0"/>
        <w:tabs>
          <w:tab w:leader="none" w:pos="129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such assignment will result in a reduction in such compensation or payments thereafter;</w:t>
      </w:r>
    </w:p>
    <w:p>
      <w:pPr>
        <w:spacing w:after="0" w:line="186" w:lineRule="exact"/>
        <w:rPr>
          <w:rFonts w:ascii="Arial" w:cs="Arial" w:eastAsia="Arial" w:hAnsi="Arial"/>
          <w:sz w:val="22"/>
          <w:szCs w:val="22"/>
          <w:color w:val="auto"/>
        </w:rPr>
      </w:pPr>
    </w:p>
    <w:p>
      <w:pPr>
        <w:jc w:val="both"/>
        <w:ind w:firstLine="645"/>
        <w:spacing w:after="0"/>
        <w:tabs>
          <w:tab w:leader="none" w:pos="130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 the case of any such assignment by a Restricted Lender, the assignee must have approved in writing the substance of the amendment, waiver or consent which caused the assignor to be a Restricted Lender; and</w:t>
      </w:r>
    </w:p>
    <w:p>
      <w:pPr>
        <w:spacing w:after="0" w:line="186" w:lineRule="exact"/>
        <w:rPr>
          <w:rFonts w:ascii="Arial" w:cs="Arial" w:eastAsia="Arial" w:hAnsi="Arial"/>
          <w:sz w:val="22"/>
          <w:szCs w:val="22"/>
          <w:color w:val="auto"/>
        </w:rPr>
      </w:pPr>
    </w:p>
    <w:p>
      <w:pPr>
        <w:ind w:left="1280" w:hanging="635"/>
        <w:spacing w:after="0"/>
        <w:tabs>
          <w:tab w:leader="none" w:pos="128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w:t>
      </w:r>
    </w:p>
    <w:p>
      <w:pPr>
        <w:spacing w:after="0" w:line="20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8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 xml:space="preserve">For the purposes of this </w:t>
      </w:r>
      <w:r>
        <w:rPr>
          <w:rFonts w:ascii="Arial" w:cs="Arial" w:eastAsia="Arial" w:hAnsi="Arial"/>
          <w:sz w:val="21"/>
          <w:szCs w:val="21"/>
          <w:u w:val="single" w:color="auto"/>
          <w:color w:val="auto"/>
        </w:rPr>
        <w:t>Section 10.13</w:t>
      </w:r>
      <w:r>
        <w:rPr>
          <w:rFonts w:ascii="Arial" w:cs="Arial" w:eastAsia="Arial" w:hAnsi="Arial"/>
          <w:sz w:val="21"/>
          <w:szCs w:val="21"/>
          <w:color w:val="auto"/>
        </w:rPr>
        <w:t>, a “</w:t>
      </w:r>
      <w:r>
        <w:rPr>
          <w:rFonts w:ascii="Arial" w:cs="Arial" w:eastAsia="Arial" w:hAnsi="Arial"/>
          <w:sz w:val="21"/>
          <w:szCs w:val="21"/>
          <w:u w:val="single" w:color="auto"/>
          <w:color w:val="auto"/>
        </w:rPr>
        <w:t>Restricted Lender</w:t>
      </w:r>
      <w:r>
        <w:rPr>
          <w:rFonts w:ascii="Arial" w:cs="Arial" w:eastAsia="Arial" w:hAnsi="Arial"/>
          <w:sz w:val="21"/>
          <w:szCs w:val="21"/>
          <w:color w:val="auto"/>
        </w:rPr>
        <w:t xml:space="preserve">” means a Lender that fails to approve an amendment, waiver or consent requested by the Loan Parties pursuant to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that has received the written approval of not less than the Required Lenders but also requires the approval of such Lender.</w:t>
      </w:r>
    </w:p>
    <w:p>
      <w:pPr>
        <w:spacing w:after="0" w:line="16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b w:val="1"/>
          <w:bCs w:val="1"/>
          <w:color w:val="auto"/>
        </w:rPr>
        <w:t>10.14</w:t>
      </w:r>
      <w:r>
        <w:rPr>
          <w:sz w:val="20"/>
          <w:szCs w:val="20"/>
          <w:color w:val="auto"/>
        </w:rPr>
        <w:tab/>
      </w:r>
      <w:r>
        <w:rPr>
          <w:rFonts w:ascii="Arial" w:cs="Arial" w:eastAsia="Arial" w:hAnsi="Arial"/>
          <w:sz w:val="19"/>
          <w:szCs w:val="19"/>
          <w:b w:val="1"/>
          <w:bCs w:val="1"/>
          <w:color w:val="auto"/>
        </w:rPr>
        <w:t>Governing Law; Jurisdiction; Etc</w:t>
      </w:r>
      <w:r>
        <w:rPr>
          <w:rFonts w:ascii="Arial" w:cs="Arial" w:eastAsia="Arial" w:hAnsi="Arial"/>
          <w:sz w:val="19"/>
          <w:szCs w:val="19"/>
          <w:color w:val="auto"/>
        </w:rPr>
        <w:t>.</w:t>
      </w:r>
    </w:p>
    <w:p>
      <w:pPr>
        <w:spacing w:after="0" w:line="212" w:lineRule="exact"/>
        <w:rPr>
          <w:sz w:val="20"/>
          <w:szCs w:val="20"/>
          <w:color w:val="auto"/>
        </w:rPr>
      </w:pPr>
    </w:p>
    <w:p>
      <w:pPr>
        <w:ind w:right="20" w:firstLine="645"/>
        <w:spacing w:after="0" w:line="251" w:lineRule="auto"/>
        <w:tabs>
          <w:tab w:leader="none" w:pos="1293"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 OF THE STATE OF NEW YORK.</w:t>
      </w:r>
    </w:p>
    <w:p>
      <w:pPr>
        <w:spacing w:after="0" w:line="173" w:lineRule="exact"/>
        <w:rPr>
          <w:rFonts w:ascii="Arial" w:cs="Arial" w:eastAsia="Arial" w:hAnsi="Arial"/>
          <w:sz w:val="22"/>
          <w:szCs w:val="22"/>
          <w:color w:val="auto"/>
        </w:rPr>
      </w:pPr>
    </w:p>
    <w:p>
      <w:pPr>
        <w:jc w:val="both"/>
        <w:ind w:firstLine="645"/>
        <w:spacing w:after="0" w:line="245" w:lineRule="auto"/>
        <w:tabs>
          <w:tab w:leader="none" w:pos="1305"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L/C-BA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187" w:name="page188"/>
    <w:bookmarkEnd w:id="187"/>
    <w:p>
      <w:pPr>
        <w:jc w:val="both"/>
        <w:ind w:left="4" w:right="20"/>
        <w:spacing w:after="0" w:line="244" w:lineRule="auto"/>
        <w:rPr>
          <w:sz w:val="20"/>
          <w:szCs w:val="20"/>
          <w:color w:val="auto"/>
        </w:rPr>
      </w:pPr>
      <w:r>
        <w:rPr>
          <w:rFonts w:ascii="Arial" w:cs="Arial" w:eastAsia="Arial" w:hAnsi="Arial"/>
          <w:sz w:val="21"/>
          <w:szCs w:val="21"/>
          <w:color w:val="auto"/>
        </w:rPr>
        <w:t>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L/C-BA ISSUER MAY OTHERWISE HAVE TO BRING ANY ACTION OR PROCEEDING RELATING TO THIS AGREEMENT OR ANY OTHER LOAN DOCUMENT AGAINST ANY BORROWER OR ANY OTHER LOAN PARTY OR ITS PROPERTIES IN THE COURTS OF ANY JURISDICTION.</w:t>
      </w:r>
    </w:p>
    <w:p>
      <w:pPr>
        <w:spacing w:after="0" w:line="190" w:lineRule="exact"/>
        <w:rPr>
          <w:sz w:val="20"/>
          <w:szCs w:val="20"/>
          <w:color w:val="auto"/>
        </w:rPr>
      </w:pPr>
    </w:p>
    <w:p>
      <w:pPr>
        <w:jc w:val="both"/>
        <w:ind w:left="4" w:firstLine="645"/>
        <w:spacing w:after="0" w:line="246" w:lineRule="auto"/>
        <w:tabs>
          <w:tab w:leader="none" w:pos="1297" w:val="left"/>
        </w:tabs>
        <w:numPr>
          <w:ilvl w:val="1"/>
          <w:numId w:val="213"/>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0" w:lineRule="exact"/>
        <w:rPr>
          <w:rFonts w:ascii="Arial" w:cs="Arial" w:eastAsia="Arial" w:hAnsi="Arial"/>
          <w:sz w:val="21"/>
          <w:szCs w:val="21"/>
          <w:color w:val="auto"/>
        </w:rPr>
      </w:pPr>
    </w:p>
    <w:p>
      <w:pPr>
        <w:jc w:val="both"/>
        <w:ind w:left="4" w:right="20" w:firstLine="645"/>
        <w:spacing w:after="0" w:line="238" w:lineRule="auto"/>
        <w:tabs>
          <w:tab w:leader="none" w:pos="1309"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HERETO IRREVOCABLY CONSENTS TO SERVICE OF PROCESS IN THE MANNER PROVIDED FOR NOTICES IN </w:t>
      </w:r>
      <w:r>
        <w:rPr>
          <w:rFonts w:ascii="Arial" w:cs="Arial" w:eastAsia="Arial" w:hAnsi="Arial"/>
          <w:sz w:val="22"/>
          <w:szCs w:val="22"/>
          <w:u w:val="single" w:color="auto"/>
          <w:color w:val="auto"/>
        </w:rPr>
        <w:t>SECTION 10.02</w:t>
      </w:r>
      <w:r>
        <w:rPr>
          <w:rFonts w:ascii="Arial" w:cs="Arial" w:eastAsia="Arial" w:hAnsi="Arial"/>
          <w:sz w:val="22"/>
          <w:szCs w:val="22"/>
          <w:color w:val="auto"/>
        </w:rPr>
        <w:t>. NOTHING IN THIS AGREEMENT WILL AFFECT THE RIGHT OF ANY PARTY HERETO TO SERVE PROCESS IN ANY OTHER MANNER PERMITTED BY APPLICABLE LAW.</w:t>
      </w:r>
    </w:p>
    <w:p>
      <w:pPr>
        <w:spacing w:after="0" w:line="185" w:lineRule="exact"/>
        <w:rPr>
          <w:rFonts w:ascii="Arial" w:cs="Arial" w:eastAsia="Arial" w:hAnsi="Arial"/>
          <w:sz w:val="22"/>
          <w:szCs w:val="22"/>
          <w:color w:val="auto"/>
        </w:rPr>
      </w:pPr>
    </w:p>
    <w:p>
      <w:pPr>
        <w:jc w:val="both"/>
        <w:ind w:left="4" w:firstLine="645"/>
        <w:spacing w:after="0" w:line="243" w:lineRule="auto"/>
        <w:tabs>
          <w:tab w:leader="none" w:pos="1297" w:val="left"/>
        </w:tabs>
        <w:numPr>
          <w:ilvl w:val="1"/>
          <w:numId w:val="213"/>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6" w:lineRule="exact"/>
        <w:rPr>
          <w:rFonts w:ascii="Arial" w:cs="Arial" w:eastAsia="Arial" w:hAnsi="Arial"/>
          <w:sz w:val="21"/>
          <w:szCs w:val="21"/>
          <w:color w:val="auto"/>
        </w:rPr>
      </w:pPr>
    </w:p>
    <w:p>
      <w:pPr>
        <w:jc w:val="both"/>
        <w:ind w:left="4" w:hanging="4"/>
        <w:spacing w:after="0" w:line="234" w:lineRule="auto"/>
        <w:tabs>
          <w:tab w:leader="none" w:pos="34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8" w:right="879" w:bottom="1440" w:gutter="0" w:footer="0" w:header="0"/>
        </w:sectPr>
      </w:pPr>
    </w:p>
    <w:bookmarkStart w:id="188" w:name="page189"/>
    <w:bookmarkEnd w:id="188"/>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10.15 No Advisory or Fiduciary Responsibility. </w:t>
      </w:r>
      <w:r>
        <w:rPr>
          <w:rFonts w:ascii="Arial" w:cs="Arial" w:eastAsia="Arial" w:hAnsi="Arial"/>
          <w:sz w:val="19"/>
          <w:szCs w:val="19"/>
          <w:color w:val="auto"/>
        </w:rPr>
        <w:t>In connection with all aspects of each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contemplated hereby (including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and the Lead Arrangers are arm’s-length commercial transactions between each Borrower, each of the Loan Parties, and their respective Affiliates, on the one hand, and the Administrative Agent each of the Lead Arrangers, on the other hand, (B) each of the Borrowers and the other Loan Parties has consulted its own legal, accounting, regulatory and tax advisors to the extent it has deemed appropriate, and (C) each of the Borrowers and each other Loan Party is capable of evaluating, and understands and accepts, the terms, risks and conditions of the transactions contemplated hereby and by the other Loan Documents; (ii) (A) each of the Administrative Agent and each Joint Lead Arranger is and has been acting solely as a principal and, except as expressly agreed in writing by the relevant parties, has not been, is not, and will not be acting as an advisor, agent or fiduciary for any Borrower, any other Loan Party or any of their respective Affiliates, or any other Person and (B) neither the Administrative Agent nor any Joint Lead Arranger has any obligation to any Borrower, any other Loan Party or any of their respective Affiliates with respect to the transactions contemplated hereby except those obligations expressly set forth herein and in the other Loan Documents; and (iii) the Administrative Agent and the Joint Lead Arrangers and their respective Affiliates may be engaged in a broad range of transactions that involve interests that differ from those of the Borrowers, the other Loan Parties and their respective Affiliates, and neither the Administrative Agent nor any Joint Lead Arranger has any obligation to disclose any of such interests to any Borrower, any other Loan Party or any of their respective Affiliates. To the fullest extent permitted by law, each of the Borrowers and the other Loan Parties hereby waives and releases any claims that it may have against the Administrative Agent and the Joint Lead Arrangers with respect to any breach or alleged breach of agency or fiduciary duty in connection with any aspect of any transaction contemplated hereby.</w:t>
      </w:r>
    </w:p>
    <w:p>
      <w:pPr>
        <w:spacing w:after="0" w:line="4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10.16 Electronic Execution of Assignments and Certain Other Documents. </w:t>
      </w:r>
      <w:r>
        <w:rPr>
          <w:rFonts w:ascii="Arial" w:cs="Arial" w:eastAsia="Arial" w:hAnsi="Arial"/>
          <w:sz w:val="19"/>
          <w:szCs w:val="19"/>
          <w:color w:val="auto"/>
        </w:rPr>
        <w:t>The words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“signed,” “signature,” and 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neither the Administrative Agent, any L/C-BA Issuer nor any Lender is under any obligation to agree to accept electronic signatures in any form or in any format unless expressly agreed to by the Administrative Agent, such L/C-BA Issuer or such Lender pursuant to procedures approved by it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without limiting the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63500</wp:posOffset>
            </wp:positionV>
            <wp:extent cx="6465570"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20" w:top="112" w:right="879" w:bottom="1440" w:gutter="0" w:footer="0" w:header="0"/>
        </w:sectPr>
      </w:pPr>
    </w:p>
    <w:bookmarkStart w:id="189" w:name="page190"/>
    <w:bookmarkEnd w:id="189"/>
    <w:p>
      <w:pPr>
        <w:jc w:val="both"/>
        <w:ind w:right="20"/>
        <w:spacing w:after="0" w:line="251" w:lineRule="auto"/>
        <w:rPr>
          <w:sz w:val="20"/>
          <w:szCs w:val="20"/>
          <w:color w:val="auto"/>
        </w:rPr>
      </w:pPr>
      <w:r>
        <w:rPr>
          <w:rFonts w:ascii="Arial" w:cs="Arial" w:eastAsia="Arial" w:hAnsi="Arial"/>
          <w:sz w:val="22"/>
          <w:szCs w:val="22"/>
          <w:color w:val="auto"/>
        </w:rPr>
        <w:t>foregoing, upon the request of any party, any electronic signature shall be promptly followed by such manually executed counterpart.</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10.17 USA PATRIOT Act. </w:t>
      </w:r>
      <w:r>
        <w:rPr>
          <w:rFonts w:ascii="Arial" w:cs="Arial" w:eastAsia="Arial" w:hAnsi="Arial"/>
          <w:sz w:val="19"/>
          <w:szCs w:val="19"/>
          <w:color w:val="auto"/>
        </w:rPr>
        <w:t>Each Lender that is subject to the Act (as hereinafter defined)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(for itself and not on 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the Borrowers and other information that will allow such Lender or the Administrative Agent, as applicable, to identify the Borrowers in accordance with the Act.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 pages follow.]</w:t>
      </w: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63500</wp:posOffset>
            </wp:positionV>
            <wp:extent cx="6465570"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100"/>
      </w:cols>
      <w:pgMar w:left="920" w:top="118"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1)"/>
      <w:numFmt w:val="lowerLetter"/>
      <w:start w:val="4"/>
    </w:lvl>
  </w:abstractNum>
  <w:abstractNum w:abstractNumId="2">
    <w:nsid w:val="2A155DBC"/>
    <w:multiLevelType w:val="hybridMultilevel"/>
    <w:lvl w:ilvl="0">
      <w:lvlJc w:val="left"/>
      <w:lvlText w:val="%1."/>
      <w:numFmt w:val="decimal"/>
      <w:start w:val="1"/>
    </w:lvl>
  </w:abstractNum>
  <w:abstractNum w:abstractNumId="3">
    <w:nsid w:val="1D9F6E5F"/>
    <w:multiLevelType w:val="hybridMultilevel"/>
    <w:lvl w:ilvl="0">
      <w:lvlJc w:val="left"/>
      <w:lvlText w:val="%1."/>
      <w:numFmt w:val="decimal"/>
      <w:start w:val="4"/>
    </w:lvl>
  </w:abstractNum>
  <w:abstractNum w:abstractNumId="4">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5108827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
    <w:nsid w:val="53584BC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
    <w:nsid w:val="415E286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
    <w:nsid w:val="7C58FD05"/>
    <w:multiLevelType w:val="hybridMultilevel"/>
    <w:lvl w:ilvl="0">
      <w:lvlJc w:val="left"/>
      <w:lvlText w:val="%1"/>
      <w:numFmt w:val="decimal"/>
      <w:start w:val="1"/>
    </w:lvl>
    <w:lvl w:ilvl="1">
      <w:lvlJc w:val="left"/>
      <w:lvlText w:val="(%2)"/>
      <w:numFmt w:val="lowerLetter"/>
      <w:start w:val="2"/>
    </w:lvl>
  </w:abstractNum>
  <w:abstractNum w:abstractNumId="10">
    <w:nsid w:val="23D86AAC"/>
    <w:multiLevelType w:val="hybridMultilevel"/>
    <w:lvl w:ilvl="0">
      <w:lvlJc w:val="left"/>
      <w:lvlText w:val="%1."/>
      <w:numFmt w:val="decimal"/>
      <w:start w:val="10"/>
    </w:lvl>
    <w:lvl w:ilvl="1">
      <w:lvlJc w:val="left"/>
      <w:lvlText w:val="%2"/>
      <w:numFmt w:val="lowerLetter"/>
      <w:start w:val="1"/>
    </w:lvl>
  </w:abstractNum>
  <w:abstractNum w:abstractNumId="11">
    <w:nsid w:val="45E6D486"/>
    <w:multiLevelType w:val="hybridMultilevel"/>
    <w:lvl w:ilvl="0">
      <w:lvlJc w:val="left"/>
      <w:lvlText w:val="%1."/>
      <w:numFmt w:val="decimal"/>
      <w:start w:val="14"/>
    </w:lvl>
  </w:abstractNum>
  <w:abstractNum w:abstractNumId="12">
    <w:nsid w:val="5C10FE21"/>
    <w:multiLevelType w:val="hybridMultilevel"/>
    <w:lvl w:ilvl="0">
      <w:lvlJc w:val="left"/>
      <w:lvlText w:val="1"/>
      <w:numFmt w:val="bullet"/>
      <w:start w:val="1"/>
    </w:lvl>
  </w:abstractNum>
  <w:abstractNum w:abstractNumId="13">
    <w:nsid w:val="E7FFA2B"/>
    <w:multiLevelType w:val="hybridMultilevel"/>
    <w:lvl w:ilvl="0">
      <w:lvlJc w:val="left"/>
      <w:lvlText w:val="%1."/>
      <w:numFmt w:val="upperLetter"/>
      <w:start w:val="1"/>
    </w:lvl>
  </w:abstractNum>
  <w:abstractNum w:abstractNumId="14">
    <w:nsid w:val="3C5991AA"/>
    <w:multiLevelType w:val="hybridMultilevel"/>
    <w:lvl w:ilvl="0">
      <w:lvlJc w:val="left"/>
      <w:lvlText w:val="(%1)"/>
      <w:numFmt w:val="lowerLetter"/>
      <w:start w:val="1"/>
    </w:lvl>
  </w:abstractNum>
  <w:abstractNum w:abstractNumId="15">
    <w:nsid w:val="4BD8591A"/>
    <w:multiLevelType w:val="hybridMultilevel"/>
    <w:lvl w:ilvl="0">
      <w:lvlJc w:val="left"/>
      <w:lvlText w:val="(%1)"/>
      <w:numFmt w:val="lowerLetter"/>
      <w:start w:val="2"/>
    </w:lvl>
  </w:abstractNum>
  <w:abstractNum w:abstractNumId="16">
    <w:nsid w:val="78DF6A55"/>
    <w:multiLevelType w:val="hybridMultilevel"/>
    <w:lvl w:ilvl="0">
      <w:lvlJc w:val="left"/>
      <w:lvlText w:val="%1"/>
      <w:numFmt w:val="lowerLetter"/>
      <w:start w:val="1"/>
    </w:lvl>
    <w:lvl w:ilvl="1">
      <w:lvlJc w:val="left"/>
      <w:lvlText w:val="(%2)"/>
      <w:numFmt w:val="lowerLetter"/>
      <w:start w:val="1"/>
    </w:lvl>
  </w:abstractNum>
  <w:abstractNum w:abstractNumId="17">
    <w:nsid w:val="39B7AAA2"/>
    <w:multiLevelType w:val="hybridMultilevel"/>
    <w:lvl w:ilvl="0">
      <w:lvlJc w:val="left"/>
      <w:lvlText w:val="(%1)"/>
      <w:numFmt w:val="lowerLetter"/>
      <w:start w:val="9"/>
    </w:lvl>
    <w:lvl w:ilvl="1">
      <w:lvlJc w:val="left"/>
      <w:lvlText w:val="%2"/>
      <w:numFmt w:val="lowerLetter"/>
      <w:start w:val="1"/>
    </w:lvl>
  </w:abstractNum>
  <w:abstractNum w:abstractNumId="18">
    <w:nsid w:val="2B0D8DBE"/>
    <w:multiLevelType w:val="hybridMultilevel"/>
    <w:lvl w:ilvl="0">
      <w:lvlJc w:val="left"/>
      <w:lvlText w:val="(%1)"/>
      <w:numFmt w:val="lowerLetter"/>
      <w:start w:val="1"/>
    </w:lvl>
  </w:abstractNum>
  <w:abstractNum w:abstractNumId="19">
    <w:nsid w:val="6C80EC70"/>
    <w:multiLevelType w:val="hybridMultilevel"/>
    <w:lvl w:ilvl="0">
      <w:lvlJc w:val="left"/>
      <w:lvlText w:val="(%1)"/>
      <w:numFmt w:val="lowerRoman"/>
      <w:start w:val="3"/>
    </w:lvl>
  </w:abstractNum>
  <w:abstractNum w:abstractNumId="20">
    <w:nsid w:val="379E21B5"/>
    <w:multiLevelType w:val="hybridMultilevel"/>
    <w:lvl w:ilvl="0">
      <w:lvlJc w:val="left"/>
      <w:lvlText w:val="(%1)"/>
      <w:numFmt w:val="lowerRoman"/>
      <w:start w:val="1"/>
    </w:lvl>
  </w:abstractNum>
  <w:abstractNum w:abstractNumId="21">
    <w:nsid w:val="69E373"/>
    <w:multiLevelType w:val="hybridMultilevel"/>
    <w:lvl w:ilvl="0">
      <w:lvlJc w:val="left"/>
      <w:lvlText w:val="(%1)"/>
      <w:numFmt w:val="lowerLetter"/>
      <w:start w:val="2"/>
    </w:lvl>
  </w:abstractNum>
  <w:abstractNum w:abstractNumId="22">
    <w:nsid w:val="2C27173B"/>
    <w:multiLevelType w:val="hybridMultilevel"/>
    <w:lvl w:ilvl="0">
      <w:lvlJc w:val="left"/>
      <w:lvlText w:val="(%1)"/>
      <w:numFmt w:val="lowerLetter"/>
      <w:start w:val="7"/>
    </w:lvl>
  </w:abstractNum>
  <w:abstractNum w:abstractNumId="23">
    <w:nsid w:val="4C9B0904"/>
    <w:multiLevelType w:val="hybridMultilevel"/>
    <w:lvl w:ilvl="0">
      <w:lvlJc w:val="left"/>
      <w:lvlText w:val="(%1)"/>
      <w:numFmt w:val="lowerLetter"/>
      <w:start w:val="1"/>
    </w:lvl>
  </w:abstractNum>
  <w:abstractNum w:abstractNumId="24">
    <w:nsid w:val="6AA7B75C"/>
    <w:multiLevelType w:val="hybridMultilevel"/>
    <w:lvl w:ilvl="0">
      <w:lvlJc w:val="left"/>
      <w:lvlText w:val="(%1)"/>
      <w:numFmt w:val="upperLetter"/>
      <w:start w:val="1"/>
    </w:lvl>
  </w:abstractNum>
  <w:abstractNum w:abstractNumId="25">
    <w:nsid w:val="1DF029D3"/>
    <w:multiLevelType w:val="hybridMultilevel"/>
    <w:lvl w:ilvl="0">
      <w:lvlJc w:val="left"/>
      <w:lvlText w:val="(%1)"/>
      <w:numFmt w:val="lowerLetter"/>
      <w:start w:val="2"/>
    </w:lvl>
  </w:abstractNum>
  <w:abstractNum w:abstractNumId="26">
    <w:nsid w:val="5675FF36"/>
    <w:multiLevelType w:val="hybridMultilevel"/>
    <w:lvl w:ilvl="0">
      <w:lvlJc w:val="left"/>
      <w:lvlText w:val="(%1)"/>
      <w:numFmt w:val="lowerLetter"/>
      <w:start w:val="1"/>
    </w:lvl>
  </w:abstractNum>
  <w:abstractNum w:abstractNumId="27">
    <w:nsid w:val="3DD15094"/>
    <w:multiLevelType w:val="hybridMultilevel"/>
    <w:lvl w:ilvl="0">
      <w:lvlJc w:val="left"/>
      <w:lvlText w:val="(%1)"/>
      <w:numFmt w:val="lowerRoman"/>
      <w:start w:val="1"/>
    </w:lvl>
  </w:abstractNum>
  <w:abstractNum w:abstractNumId="28">
    <w:nsid w:val="3DB012B3"/>
    <w:multiLevelType w:val="hybridMultilevel"/>
    <w:lvl w:ilvl="0">
      <w:lvlJc w:val="left"/>
      <w:lvlText w:val="(%1)"/>
      <w:numFmt w:val="lowerLetter"/>
      <w:start w:val="2"/>
    </w:lvl>
  </w:abstractNum>
  <w:abstractNum w:abstractNumId="29">
    <w:nsid w:val="2708C9AF"/>
    <w:multiLevelType w:val="hybridMultilevel"/>
    <w:lvl w:ilvl="0">
      <w:lvlJc w:val="left"/>
      <w:lvlText w:val="(%1)"/>
      <w:numFmt w:val="lowerLetter"/>
      <w:start w:val="1"/>
    </w:lvl>
  </w:abstractNum>
  <w:abstractNum w:abstractNumId="30">
    <w:nsid w:val="5B25ACE2"/>
    <w:multiLevelType w:val="hybridMultilevel"/>
    <w:lvl w:ilvl="0">
      <w:lvlJc w:val="left"/>
      <w:lvlText w:val="(%1)"/>
      <w:numFmt w:val="lowerLetter"/>
      <w:start w:val="2"/>
    </w:lvl>
  </w:abstractNum>
  <w:abstractNum w:abstractNumId="31">
    <w:nsid w:val="175DFCF0"/>
    <w:multiLevelType w:val="hybridMultilevel"/>
    <w:lvl w:ilvl="0">
      <w:lvlJc w:val="left"/>
      <w:lvlText w:val="(%1)"/>
      <w:numFmt w:val="lowerLetter"/>
      <w:start w:val="1"/>
    </w:lvl>
  </w:abstractNum>
  <w:abstractNum w:abstractNumId="32">
    <w:nsid w:val="4F97E3E4"/>
    <w:multiLevelType w:val="hybridMultilevel"/>
    <w:lvl w:ilvl="0">
      <w:lvlJc w:val="left"/>
      <w:lvlText w:val="(%1)"/>
      <w:numFmt w:val="lowerLetter"/>
      <w:start w:val="3"/>
    </w:lvl>
  </w:abstractNum>
  <w:abstractNum w:abstractNumId="33">
    <w:nsid w:val="53B0A9E"/>
    <w:multiLevelType w:val="hybridMultilevel"/>
    <w:lvl w:ilvl="0">
      <w:lvlJc w:val="left"/>
      <w:lvlText w:val="%1"/>
      <w:numFmt w:val="lowerLetter"/>
      <w:start w:val="1"/>
    </w:lvl>
    <w:lvl w:ilvl="1">
      <w:lvlJc w:val="left"/>
      <w:lvlText w:val="(%2)"/>
      <w:numFmt w:val="lowerLetter"/>
      <w:start w:val="1"/>
    </w:lvl>
  </w:abstractNum>
  <w:abstractNum w:abstractNumId="34">
    <w:nsid w:val="34FD6B4F"/>
    <w:multiLevelType w:val="hybridMultilevel"/>
    <w:lvl w:ilvl="0">
      <w:lvlJc w:val="left"/>
      <w:lvlText w:val="(%1)"/>
      <w:numFmt w:val="lowerLetter"/>
      <w:start w:val="35"/>
    </w:lvl>
    <w:lvl w:ilvl="1">
      <w:lvlJc w:val="left"/>
      <w:lvlText w:val="(%2)"/>
      <w:numFmt w:val="lowerLetter"/>
      <w:start w:val="2"/>
    </w:lvl>
  </w:abstractNum>
  <w:abstractNum w:abstractNumId="35">
    <w:nsid w:val="5915FF32"/>
    <w:multiLevelType w:val="hybridMultilevel"/>
    <w:lvl w:ilvl="0">
      <w:lvlJc w:val="left"/>
      <w:lvlText w:val="(%1)"/>
      <w:numFmt w:val="lowerLetter"/>
      <w:start w:val="1"/>
    </w:lvl>
  </w:abstractNum>
  <w:abstractNum w:abstractNumId="36">
    <w:nsid w:val="56438D15"/>
    <w:multiLevelType w:val="hybridMultilevel"/>
    <w:lvl w:ilvl="0">
      <w:lvlJc w:val="left"/>
      <w:lvlText w:val="(%1)"/>
      <w:numFmt w:val="lowerLetter"/>
      <w:start w:val="2"/>
    </w:lvl>
  </w:abstractNum>
  <w:abstractNum w:abstractNumId="37">
    <w:nsid w:val="519E3149"/>
    <w:multiLevelType w:val="hybridMultilevel"/>
    <w:lvl w:ilvl="0">
      <w:lvlJc w:val="left"/>
      <w:lvlText w:val="(%1)"/>
      <w:numFmt w:val="lowerLetter"/>
      <w:start w:val="1"/>
    </w:lvl>
    <w:lvl w:ilvl="1">
      <w:lvlJc w:val="left"/>
      <w:lvlText w:val="(%2)"/>
      <w:numFmt w:val="lowerRoman"/>
      <w:start w:val="2"/>
    </w:lvl>
  </w:abstractNum>
  <w:abstractNum w:abstractNumId="38">
    <w:nsid w:val="2C6E4AFD"/>
    <w:multiLevelType w:val="hybridMultilevel"/>
    <w:lvl w:ilvl="0">
      <w:lvlJc w:val="left"/>
      <w:lvlText w:val="(%1)"/>
      <w:numFmt w:val="lowerLetter"/>
      <w:start w:val="2"/>
    </w:lvl>
  </w:abstractNum>
  <w:abstractNum w:abstractNumId="39">
    <w:nsid w:val="17A1B582"/>
    <w:multiLevelType w:val="hybridMultilevel"/>
    <w:lvl w:ilvl="0">
      <w:lvlJc w:val="left"/>
      <w:lvlText w:val="(%1)"/>
      <w:numFmt w:val="lowerLetter"/>
      <w:start w:val="1"/>
    </w:lvl>
  </w:abstractNum>
  <w:abstractNum w:abstractNumId="40">
    <w:nsid w:val="4DF72E4E"/>
    <w:multiLevelType w:val="hybridMultilevel"/>
    <w:lvl w:ilvl="0">
      <w:lvlJc w:val="left"/>
      <w:lvlText w:val="(%1)"/>
      <w:numFmt w:val="lowerLetter"/>
      <w:start w:val="61"/>
    </w:lvl>
    <w:lvl w:ilvl="1">
      <w:lvlJc w:val="left"/>
      <w:lvlText w:val="%2"/>
      <w:numFmt w:val="lowerLetter"/>
      <w:start w:val="1"/>
    </w:lvl>
  </w:abstractNum>
  <w:abstractNum w:abstractNumId="41">
    <w:nsid w:val="5046B5A9"/>
    <w:multiLevelType w:val="hybridMultilevel"/>
    <w:lvl w:ilvl="0">
      <w:lvlJc w:val="left"/>
      <w:lvlText w:val="(%1)"/>
      <w:numFmt w:val="lowerLetter"/>
      <w:start w:val="9"/>
    </w:lvl>
    <w:lvl w:ilvl="1">
      <w:lvlJc w:val="left"/>
      <w:lvlText w:val="(%2)"/>
      <w:numFmt w:val="lowerLetter"/>
      <w:start w:val="2"/>
    </w:lvl>
  </w:abstractNum>
  <w:abstractNum w:abstractNumId="42">
    <w:nsid w:val="5D888A08"/>
    <w:multiLevelType w:val="hybridMultilevel"/>
    <w:lvl w:ilvl="0">
      <w:lvlJc w:val="left"/>
      <w:lvlText w:val="(%1)"/>
      <w:numFmt w:val="lowerLetter"/>
      <w:start w:val="9"/>
    </w:lvl>
    <w:lvl w:ilvl="1">
      <w:lvlJc w:val="left"/>
      <w:lvlText w:val="%2"/>
      <w:numFmt w:val="lowerLetter"/>
      <w:start w:val="1"/>
    </w:lvl>
  </w:abstractNum>
  <w:abstractNum w:abstractNumId="43">
    <w:nsid w:val="2A082C70"/>
    <w:multiLevelType w:val="hybridMultilevel"/>
    <w:lvl w:ilvl="0">
      <w:lvlJc w:val="left"/>
      <w:lvlText w:val="(%1)"/>
      <w:numFmt w:val="lowerLetter"/>
      <w:start w:val="35"/>
    </w:lvl>
    <w:lvl w:ilvl="1">
      <w:lvlJc w:val="left"/>
      <w:lvlText w:val="(%2)"/>
      <w:numFmt w:val="lowerLetter"/>
      <w:start w:val="3"/>
    </w:lvl>
  </w:abstractNum>
  <w:abstractNum w:abstractNumId="44">
    <w:nsid w:val="5EC6AFD4"/>
    <w:multiLevelType w:val="hybridMultilevel"/>
    <w:lvl w:ilvl="0">
      <w:lvlJc w:val="left"/>
      <w:lvlText w:val="(%1)"/>
      <w:numFmt w:val="lowerLetter"/>
      <w:start w:val="4"/>
    </w:lvl>
  </w:abstractNum>
  <w:abstractNum w:abstractNumId="45">
    <w:nsid w:val="19E21BB2"/>
    <w:multiLevelType w:val="hybridMultilevel"/>
    <w:lvl w:ilvl="0">
      <w:lvlJc w:val="left"/>
      <w:lvlText w:val="(%1)"/>
      <w:numFmt w:val="lowerLetter"/>
      <w:start w:val="1"/>
    </w:lvl>
    <w:lvl w:ilvl="1">
      <w:lvlJc w:val="left"/>
      <w:lvlText w:val="(%2)"/>
      <w:numFmt w:val="lowerLetter"/>
      <w:start w:val="9"/>
    </w:lvl>
  </w:abstractNum>
  <w:abstractNum w:abstractNumId="46">
    <w:nsid w:val="75E0858A"/>
    <w:multiLevelType w:val="hybridMultilevel"/>
    <w:lvl w:ilvl="0">
      <w:lvlJc w:val="left"/>
      <w:lvlText w:val="(%1)"/>
      <w:numFmt w:val="lowerRoman"/>
      <w:start w:val="2"/>
    </w:lvl>
    <w:lvl w:ilvl="1">
      <w:lvlJc w:val="left"/>
      <w:lvlText w:val="(%2)"/>
      <w:numFmt w:val="upperLetter"/>
      <w:start w:val="1"/>
    </w:lvl>
  </w:abstractNum>
  <w:abstractNum w:abstractNumId="47">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8">
    <w:nsid w:val="5399C65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9">
    <w:nsid w:val="20EE13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0">
    <w:nsid w:val="4427069A"/>
    <w:multiLevelType w:val="hybridMultilevel"/>
    <w:lvl w:ilvl="0">
      <w:lvlJc w:val="left"/>
      <w:lvlText w:val="(%1)"/>
      <w:numFmt w:val="lowerRoman"/>
      <w:start w:val="1"/>
    </w:lvl>
  </w:abstractNum>
  <w:abstractNum w:abstractNumId="51">
    <w:nsid w:val="B37E80A"/>
    <w:multiLevelType w:val="hybridMultilevel"/>
    <w:lvl w:ilvl="0">
      <w:lvlJc w:val="left"/>
      <w:lvlText w:val="%1"/>
      <w:numFmt w:val="lowerLetter"/>
      <w:start w:val="1"/>
    </w:lvl>
    <w:lvl w:ilvl="1">
      <w:lvlJc w:val="left"/>
      <w:lvlText w:val="(%2)"/>
      <w:numFmt w:val="lowerRoman"/>
      <w:start w:val="3"/>
    </w:lvl>
  </w:abstractNum>
  <w:abstractNum w:abstractNumId="52">
    <w:nsid w:val="2157F6BC"/>
    <w:multiLevelType w:val="hybridMultilevel"/>
    <w:lvl w:ilvl="0">
      <w:lvlJc w:val="left"/>
      <w:lvlText w:val="(%1)"/>
      <w:numFmt w:val="lowerLetter"/>
      <w:start w:val="3"/>
    </w:lvl>
    <w:lvl w:ilvl="1">
      <w:lvlJc w:val="left"/>
      <w:lvlText w:val="(%2)"/>
      <w:numFmt w:val="lowerRoman"/>
      <w:start w:val="1"/>
    </w:lvl>
  </w:abstractNum>
  <w:abstractNum w:abstractNumId="53">
    <w:nsid w:val="704E1DD5"/>
    <w:multiLevelType w:val="hybridMultilevel"/>
    <w:lvl w:ilvl="0">
      <w:lvlJc w:val="left"/>
      <w:lvlText w:val="%1"/>
      <w:numFmt w:val="lowerLetter"/>
      <w:start w:val="1"/>
    </w:lvl>
    <w:lvl w:ilvl="1">
      <w:lvlJc w:val="left"/>
      <w:lvlText w:val="(%2)"/>
      <w:numFmt w:val="upperLetter"/>
      <w:start w:val="6"/>
    </w:lvl>
    <w:lvl w:ilvl="2">
      <w:lvlJc w:val="left"/>
      <w:lvlText w:val="(%3)"/>
      <w:numFmt w:val="lowerRoman"/>
      <w:start w:val="2"/>
    </w:lvl>
  </w:abstractNum>
  <w:abstractNum w:abstractNumId="54">
    <w:nsid w:val="57D2F10E"/>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55">
    <w:nsid w:val="BFFAE18"/>
    <w:multiLevelType w:val="hybridMultilevel"/>
    <w:lvl w:ilvl="0">
      <w:lvlJc w:val="left"/>
      <w:lvlText w:val="(%1)"/>
      <w:numFmt w:val="lowerRoman"/>
      <w:start w:val="2"/>
    </w:lvl>
  </w:abstractNum>
  <w:abstractNum w:abstractNumId="56">
    <w:nsid w:val="E3E47A8"/>
    <w:multiLevelType w:val="hybridMultilevel"/>
    <w:lvl w:ilvl="0">
      <w:lvlJc w:val="left"/>
      <w:lvlText w:val="%1"/>
      <w:numFmt w:val="lowerLetter"/>
      <w:start w:val="1"/>
    </w:lvl>
    <w:lvl w:ilvl="1">
      <w:lvlJc w:val="left"/>
      <w:lvlText w:val="(%2)"/>
      <w:numFmt w:val="lowerRoman"/>
      <w:start w:val="6"/>
    </w:lvl>
  </w:abstractNum>
  <w:abstractNum w:abstractNumId="57">
    <w:nsid w:val="2E48F044"/>
    <w:multiLevelType w:val="hybridMultilevel"/>
    <w:lvl w:ilvl="0">
      <w:lvlJc w:val="left"/>
      <w:lvlText w:val="(%1)"/>
      <w:numFmt w:val="lowerLetter"/>
      <w:start w:val="5"/>
    </w:lvl>
    <w:lvl w:ilvl="1">
      <w:lvlJc w:val="left"/>
      <w:lvlText w:val="(%2)"/>
      <w:numFmt w:val="lowerRoman"/>
      <w:start w:val="1"/>
    </w:lvl>
  </w:abstractNum>
  <w:abstractNum w:abstractNumId="58">
    <w:nsid w:val="49D0FEAC"/>
    <w:multiLevelType w:val="hybridMultilevel"/>
    <w:lvl w:ilvl="0">
      <w:lvlJc w:val="left"/>
      <w:lvlText w:val="%1"/>
      <w:numFmt w:val="lowerLetter"/>
      <w:start w:val="1"/>
    </w:lvl>
    <w:lvl w:ilvl="1">
      <w:lvlJc w:val="left"/>
      <w:lvlText w:val="(%2)"/>
      <w:numFmt w:val="lowerLetter"/>
      <w:start w:val="35"/>
    </w:lvl>
  </w:abstractNum>
  <w:abstractNum w:abstractNumId="59">
    <w:nsid w:val="4BEE5A5B"/>
    <w:multiLevelType w:val="hybridMultilevel"/>
    <w:lvl w:ilvl="0">
      <w:lvlJc w:val="left"/>
      <w:lvlText w:val="(%1)"/>
      <w:numFmt w:val="lowerLetter"/>
      <w:start w:val="6"/>
    </w:lvl>
    <w:lvl w:ilvl="1">
      <w:lvlJc w:val="left"/>
      <w:lvlText w:val="(%2)"/>
      <w:numFmt w:val="lowerLetter"/>
      <w:start w:val="9"/>
    </w:lvl>
  </w:abstractNum>
  <w:abstractNum w:abstractNumId="60">
    <w:nsid w:val="5551B9F3"/>
    <w:multiLevelType w:val="hybridMultilevel"/>
    <w:lvl w:ilvl="0">
      <w:lvlJc w:val="left"/>
      <w:lvlText w:val="(%1)"/>
      <w:numFmt w:val="lowerRoman"/>
      <w:start w:val="2"/>
    </w:lvl>
  </w:abstractNum>
  <w:abstractNum w:abstractNumId="61">
    <w:nsid w:val="24F6AB8E"/>
    <w:multiLevelType w:val="hybridMultilevel"/>
    <w:lvl w:ilvl="0">
      <w:lvlJc w:val="left"/>
      <w:lvlText w:val="(%1)"/>
      <w:numFmt w:val="lowerRoman"/>
      <w:start w:val="7"/>
    </w:lvl>
  </w:abstractNum>
  <w:abstractNum w:abstractNumId="62">
    <w:nsid w:val="634C574C"/>
    <w:multiLevelType w:val="hybridMultilevel"/>
    <w:lvl w:ilvl="0">
      <w:lvlJc w:val="left"/>
      <w:lvlText w:val="%1"/>
      <w:numFmt w:val="lowerRoman"/>
      <w:start w:val="1"/>
    </w:lvl>
    <w:lvl w:ilvl="1">
      <w:lvlJc w:val="left"/>
      <w:lvlText w:val="(%2)"/>
      <w:numFmt w:val="lowerLetter"/>
      <w:start w:val="7"/>
    </w:lvl>
  </w:abstractNum>
  <w:abstractNum w:abstractNumId="63">
    <w:nsid w:val="24E99DD7"/>
    <w:multiLevelType w:val="hybridMultilevel"/>
    <w:lvl w:ilvl="0">
      <w:lvlJc w:val="left"/>
      <w:lvlText w:val="(%1)"/>
      <w:numFmt w:val="lowerRoman"/>
      <w:start w:val="8"/>
    </w:lvl>
    <w:lvl w:ilvl="1">
      <w:lvlJc w:val="left"/>
      <w:lvlText w:val="%2"/>
      <w:numFmt w:val="lowerLetter"/>
      <w:start w:val="1"/>
    </w:lvl>
  </w:abstractNum>
  <w:abstractNum w:abstractNumId="64">
    <w:nsid w:val="2A31B62D"/>
    <w:multiLevelType w:val="hybridMultilevel"/>
    <w:lvl w:ilvl="0">
      <w:lvlJc w:val="left"/>
      <w:lvlText w:val="(%1)"/>
      <w:numFmt w:val="lowerLetter"/>
      <w:start w:val="8"/>
    </w:lvl>
  </w:abstractNum>
  <w:abstractNum w:abstractNumId="65">
    <w:nsid w:val="1849C29B"/>
    <w:multiLevelType w:val="hybridMultilevel"/>
    <w:lvl w:ilvl="0">
      <w:lvlJc w:val="left"/>
      <w:lvlText w:val="(%1)"/>
      <w:numFmt w:val="lowerLetter"/>
      <w:start w:val="10"/>
    </w:lvl>
  </w:abstractNum>
  <w:abstractNum w:abstractNumId="66">
    <w:nsid w:val="7DFF9D09"/>
    <w:multiLevelType w:val="hybridMultilevel"/>
    <w:lvl w:ilvl="0">
      <w:lvlJc w:val="left"/>
      <w:lvlText w:val="(%1)"/>
      <w:numFmt w:val="lowerLetter"/>
      <w:start w:val="13"/>
    </w:lvl>
  </w:abstractNum>
  <w:abstractNum w:abstractNumId="67">
    <w:nsid w:val="754342"/>
    <w:multiLevelType w:val="hybridMultilevel"/>
    <w:lvl w:ilvl="0">
      <w:lvlJc w:val="left"/>
      <w:lvlText w:val="%1"/>
      <w:numFmt w:val="lowerLetter"/>
      <w:start w:val="1"/>
    </w:lvl>
    <w:lvl w:ilvl="1">
      <w:lvlJc w:val="left"/>
      <w:lvlText w:val="(%2)"/>
      <w:numFmt w:val="lowerLetter"/>
      <w:start w:val="1"/>
    </w:lvl>
  </w:abstractNum>
  <w:abstractNum w:abstractNumId="68">
    <w:nsid w:val="69E7F3E5"/>
    <w:multiLevelType w:val="hybridMultilevel"/>
    <w:lvl w:ilvl="0">
      <w:lvlJc w:val="left"/>
      <w:lvlText w:val="(%1)"/>
      <w:numFmt w:val="lowerLetter"/>
      <w:start w:val="35"/>
    </w:lvl>
    <w:lvl w:ilvl="1">
      <w:lvlJc w:val="left"/>
      <w:lvlText w:val="%2"/>
      <w:numFmt w:val="lowerLetter"/>
      <w:start w:val="1"/>
    </w:lvl>
  </w:abstractNum>
  <w:abstractNum w:abstractNumId="69">
    <w:nsid w:val="2A6DE806"/>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70">
    <w:nsid w:val="1816F8C4"/>
    <w:multiLevelType w:val="hybridMultilevel"/>
    <w:lvl w:ilvl="0">
      <w:lvlJc w:val="left"/>
      <w:lvlText w:val="%1"/>
      <w:numFmt w:val="lowerLetter"/>
      <w:start w:val="1"/>
    </w:lvl>
    <w:lvl w:ilvl="1">
      <w:lvlJc w:val="left"/>
      <w:lvlText w:val="(%2)"/>
      <w:numFmt w:val="lowerRoman"/>
      <w:start w:val="3"/>
    </w:lvl>
  </w:abstractNum>
  <w:abstractNum w:abstractNumId="71">
    <w:nsid w:val="37DF2233"/>
    <w:multiLevelType w:val="hybridMultilevel"/>
    <w:lvl w:ilvl="0">
      <w:lvlJc w:val="left"/>
      <w:lvlText w:val="(%1)"/>
      <w:numFmt w:val="lowerLetter"/>
      <w:start w:val="4"/>
    </w:lvl>
    <w:lvl w:ilvl="1">
      <w:lvlJc w:val="left"/>
      <w:lvlText w:val="(%2)"/>
      <w:numFmt w:val="lowerRoman"/>
      <w:start w:val="1"/>
    </w:lvl>
  </w:abstractNum>
  <w:abstractNum w:abstractNumId="72">
    <w:nsid w:val="7AB49DAF"/>
    <w:multiLevelType w:val="hybridMultilevel"/>
    <w:lvl w:ilvl="0">
      <w:lvlJc w:val="left"/>
      <w:lvlText w:val="(%1)"/>
      <w:numFmt w:val="lowerLetter"/>
      <w:start w:val="5"/>
    </w:lvl>
  </w:abstractNum>
  <w:abstractNum w:abstractNumId="73">
    <w:nsid w:val="759F82CD"/>
    <w:multiLevelType w:val="hybridMultilevel"/>
    <w:lvl w:ilvl="0">
      <w:lvlJc w:val="left"/>
      <w:lvlText w:val="(%1)"/>
      <w:numFmt w:val="lowerLetter"/>
      <w:start w:val="1"/>
    </w:lvl>
  </w:abstractNum>
  <w:abstractNum w:abstractNumId="74">
    <w:nsid w:val="61E74EA3"/>
    <w:multiLevelType w:val="hybridMultilevel"/>
    <w:lvl w:ilvl="0">
      <w:lvlJc w:val="left"/>
      <w:lvlText w:val="(%1)"/>
      <w:numFmt w:val="lowerLetter"/>
      <w:start w:val="2"/>
    </w:lvl>
    <w:lvl w:ilvl="1">
      <w:lvlJc w:val="left"/>
      <w:lvlText w:val="(%2)"/>
      <w:numFmt w:val="lowerRoman"/>
      <w:start w:val="1"/>
    </w:lvl>
  </w:abstractNum>
  <w:abstractNum w:abstractNumId="75">
    <w:nsid w:val="597B4D84"/>
    <w:multiLevelType w:val="hybridMultilevel"/>
    <w:lvl w:ilvl="0">
      <w:lvlJc w:val="left"/>
      <w:lvlText w:val="(%1)"/>
      <w:numFmt w:val="lowerRoman"/>
      <w:start w:val="3"/>
    </w:lvl>
  </w:abstractNum>
  <w:abstractNum w:abstractNumId="76">
    <w:nsid w:val="F819E7F"/>
    <w:multiLevelType w:val="hybridMultilevel"/>
    <w:lvl w:ilvl="0">
      <w:lvlJc w:val="left"/>
      <w:lvlText w:val="(%1)"/>
      <w:numFmt w:val="lowerLetter"/>
      <w:start w:val="5"/>
    </w:lvl>
  </w:abstractNum>
  <w:abstractNum w:abstractNumId="77">
    <w:nsid w:val="57C7D42D"/>
    <w:multiLevelType w:val="hybridMultilevel"/>
    <w:lvl w:ilvl="0">
      <w:lvlJc w:val="left"/>
      <w:lvlText w:val="(%1)"/>
      <w:numFmt w:val="lowerLetter"/>
      <w:start w:val="1"/>
    </w:lvl>
    <w:lvl w:ilvl="1">
      <w:lvlJc w:val="left"/>
      <w:lvlText w:val="(%2)"/>
      <w:numFmt w:val="lowerLetter"/>
      <w:start w:val="35"/>
    </w:lvl>
  </w:abstractNum>
  <w:abstractNum w:abstractNumId="78">
    <w:nsid w:val="312167AD"/>
    <w:multiLevelType w:val="hybridMultilevel"/>
    <w:lvl w:ilvl="0">
      <w:lvlJc w:val="left"/>
      <w:lvlText w:val="(%1)"/>
      <w:numFmt w:val="lowerLetter"/>
      <w:start w:val="1"/>
    </w:lvl>
  </w:abstractNum>
  <w:abstractNum w:abstractNumId="79">
    <w:nsid w:val="631B64D4"/>
    <w:multiLevelType w:val="hybridMultilevel"/>
    <w:lvl w:ilvl="0">
      <w:lvlJc w:val="left"/>
      <w:lvlText w:val="(%1)"/>
      <w:numFmt w:val="lowerLetter"/>
      <w:start w:val="2"/>
    </w:lvl>
  </w:abstractNum>
  <w:abstractNum w:abstractNumId="80">
    <w:nsid w:val="78B5E776"/>
    <w:multiLevelType w:val="hybridMultilevel"/>
    <w:lvl w:ilvl="0">
      <w:lvlJc w:val="left"/>
      <w:lvlText w:val="(%1)"/>
      <w:numFmt w:val="lowerLetter"/>
      <w:start w:val="3"/>
    </w:lvl>
  </w:abstractNum>
  <w:abstractNum w:abstractNumId="81">
    <w:nsid w:val="75486E47"/>
    <w:multiLevelType w:val="hybridMultilevel"/>
    <w:lvl w:ilvl="0">
      <w:lvlJc w:val="left"/>
      <w:lvlText w:val="(%1)"/>
      <w:numFmt w:val="lowerLetter"/>
      <w:start w:val="4"/>
    </w:lvl>
  </w:abstractNum>
  <w:abstractNum w:abstractNumId="82">
    <w:nsid w:val="6E534CDE"/>
    <w:multiLevelType w:val="hybridMultilevel"/>
    <w:lvl w:ilvl="0">
      <w:lvlJc w:val="left"/>
      <w:lvlText w:val="(%1)"/>
      <w:numFmt w:val="lowerLetter"/>
      <w:start w:val="1"/>
    </w:lvl>
  </w:abstractNum>
  <w:abstractNum w:abstractNumId="83">
    <w:nsid w:val="1A0DDE32"/>
    <w:multiLevelType w:val="hybridMultilevel"/>
    <w:lvl w:ilvl="0">
      <w:lvlJc w:val="left"/>
      <w:lvlText w:val="(%1)"/>
      <w:numFmt w:val="lowerLetter"/>
      <w:start w:val="4"/>
    </w:lvl>
  </w:abstractNum>
  <w:abstractNum w:abstractNumId="84">
    <w:nsid w:val="65968C1C"/>
    <w:multiLevelType w:val="hybridMultilevel"/>
    <w:lvl w:ilvl="0">
      <w:lvlJc w:val="left"/>
      <w:lvlText w:val="%1"/>
      <w:numFmt w:val="lowerLetter"/>
      <w:start w:val="1"/>
    </w:lvl>
    <w:lvl w:ilvl="1">
      <w:lvlJc w:val="left"/>
      <w:lvlText w:val="(%2)"/>
      <w:numFmt w:val="lowerLetter"/>
      <w:start w:val="1"/>
    </w:lvl>
  </w:abstractNum>
  <w:abstractNum w:abstractNumId="85">
    <w:nsid w:val="46263DEC"/>
    <w:multiLevelType w:val="hybridMultilevel"/>
    <w:lvl w:ilvl="0">
      <w:lvlJc w:val="left"/>
      <w:lvlText w:val="(%1)"/>
      <w:numFmt w:val="lowerLetter"/>
      <w:start w:val="9"/>
    </w:lvl>
    <w:lvl w:ilvl="1">
      <w:lvlJc w:val="left"/>
      <w:lvlText w:val="(%2)"/>
      <w:numFmt w:val="lowerLetter"/>
      <w:start w:val="2"/>
    </w:lvl>
  </w:abstractNum>
  <w:abstractNum w:abstractNumId="86">
    <w:nsid w:val="260D8C4A"/>
    <w:multiLevelType w:val="hybridMultilevel"/>
    <w:lvl w:ilvl="0">
      <w:lvlJc w:val="left"/>
      <w:lvlText w:val="%1"/>
      <w:numFmt w:val="lowerLetter"/>
      <w:start w:val="1"/>
    </w:lvl>
    <w:lvl w:ilvl="1">
      <w:lvlJc w:val="left"/>
      <w:lvlText w:val="(%2)"/>
      <w:numFmt w:val="lowerLetter"/>
      <w:start w:val="1"/>
    </w:lvl>
  </w:abstractNum>
  <w:abstractNum w:abstractNumId="87">
    <w:nsid w:val="73D4D3C4"/>
    <w:multiLevelType w:val="hybridMultilevel"/>
    <w:lvl w:ilvl="0">
      <w:lvlJc w:val="left"/>
      <w:lvlText w:val="(%1)"/>
      <w:numFmt w:val="lowerLetter"/>
      <w:start w:val="10"/>
    </w:lvl>
    <w:lvl w:ilvl="1">
      <w:lvlJc w:val="left"/>
      <w:lvlText w:val="%2"/>
      <w:numFmt w:val="lowerLetter"/>
      <w:start w:val="1"/>
    </w:lvl>
  </w:abstractNum>
  <w:abstractNum w:abstractNumId="88">
    <w:nsid w:val="746F2E30"/>
    <w:multiLevelType w:val="hybridMultilevel"/>
    <w:lvl w:ilvl="0">
      <w:lvlJc w:val="left"/>
      <w:lvlText w:val="(%1)"/>
      <w:numFmt w:val="lowerLetter"/>
      <w:start w:val="1"/>
    </w:lvl>
  </w:abstractNum>
  <w:abstractNum w:abstractNumId="89">
    <w:nsid w:val="6FDE8AF6"/>
    <w:multiLevelType w:val="hybridMultilevel"/>
    <w:lvl w:ilvl="0">
      <w:lvlJc w:val="left"/>
      <w:lvlText w:val="(%1)"/>
      <w:numFmt w:val="lowerLetter"/>
      <w:start w:val="2"/>
    </w:lvl>
  </w:abstractNum>
  <w:abstractNum w:abstractNumId="90">
    <w:nsid w:val="3FC32E20"/>
    <w:multiLevelType w:val="hybridMultilevel"/>
    <w:lvl w:ilvl="0">
      <w:lvlJc w:val="left"/>
      <w:lvlText w:val="(%1)"/>
      <w:numFmt w:val="lowerLetter"/>
      <w:start w:val="1"/>
    </w:lvl>
  </w:abstractNum>
  <w:abstractNum w:abstractNumId="91">
    <w:nsid w:val="49C0E823"/>
    <w:multiLevelType w:val="hybridMultilevel"/>
    <w:lvl w:ilvl="0">
      <w:lvlJc w:val="left"/>
      <w:lvlText w:val="(%1)"/>
      <w:numFmt w:val="lowerRoman"/>
      <w:start w:val="2"/>
    </w:lvl>
  </w:abstractNum>
  <w:abstractNum w:abstractNumId="92">
    <w:nsid w:val="14D53685"/>
    <w:multiLevelType w:val="hybridMultilevel"/>
    <w:lvl w:ilvl="0">
      <w:lvlJc w:val="left"/>
      <w:lvlText w:val="(%1)"/>
      <w:numFmt w:val="lowerLetter"/>
      <w:start w:val="3"/>
    </w:lvl>
  </w:abstractNum>
  <w:abstractNum w:abstractNumId="93">
    <w:nsid w:val="230F856C"/>
    <w:multiLevelType w:val="hybridMultilevel"/>
    <w:lvl w:ilvl="0">
      <w:lvlJc w:val="left"/>
      <w:lvlText w:val="(%1)"/>
      <w:numFmt w:val="lowerLetter"/>
      <w:start w:val="5"/>
    </w:lvl>
  </w:abstractNum>
  <w:abstractNum w:abstractNumId="94">
    <w:nsid w:val="6EAA85FB"/>
    <w:multiLevelType w:val="hybridMultilevel"/>
    <w:lvl w:ilvl="0">
      <w:lvlJc w:val="left"/>
      <w:lvlText w:val="(%1)"/>
      <w:numFmt w:val="lowerLetter"/>
      <w:start w:val="1"/>
    </w:lvl>
    <w:lvl w:ilvl="1">
      <w:lvlJc w:val="left"/>
      <w:lvlText w:val="(%2)"/>
      <w:numFmt w:val="lowerRoman"/>
      <w:start w:val="1"/>
    </w:lvl>
  </w:abstractNum>
  <w:abstractNum w:abstractNumId="95">
    <w:nsid w:val="3F06ECB2"/>
    <w:multiLevelType w:val="hybridMultilevel"/>
    <w:lvl w:ilvl="0">
      <w:lvlJc w:val="left"/>
      <w:lvlText w:val="(%1)"/>
      <w:numFmt w:val="lowerLetter"/>
      <w:start w:val="1"/>
    </w:lvl>
  </w:abstractNum>
  <w:abstractNum w:abstractNumId="96">
    <w:nsid w:val="3B594807"/>
    <w:multiLevelType w:val="hybridMultilevel"/>
    <w:lvl w:ilvl="0">
      <w:lvlJc w:val="left"/>
      <w:lvlText w:val="%1"/>
      <w:numFmt w:val="lowerRoman"/>
      <w:start w:val="1"/>
    </w:lvl>
    <w:lvl w:ilvl="1">
      <w:lvlJc w:val="left"/>
      <w:lvlText w:val="(%2)"/>
      <w:numFmt w:val="lowerLetter"/>
      <w:start w:val="2"/>
    </w:lvl>
  </w:abstractNum>
  <w:abstractNum w:abstractNumId="97">
    <w:nsid w:val="6CAA2304"/>
    <w:multiLevelType w:val="hybridMultilevel"/>
    <w:lvl w:ilvl="0">
      <w:lvlJc w:val="left"/>
      <w:lvlText w:val="(%1)"/>
      <w:numFmt w:val="lowerRoman"/>
      <w:start w:val="1"/>
    </w:lvl>
    <w:lvl w:ilvl="1">
      <w:lvlJc w:val="left"/>
      <w:lvlText w:val="%2"/>
      <w:numFmt w:val="lowerLetter"/>
      <w:start w:val="1"/>
    </w:lvl>
  </w:abstractNum>
  <w:abstractNum w:abstractNumId="98">
    <w:nsid w:val="3F7C2FF4"/>
    <w:multiLevelType w:val="hybridMultilevel"/>
    <w:lvl w:ilvl="0">
      <w:lvlJc w:val="left"/>
      <w:lvlText w:val="(%1)"/>
      <w:numFmt w:val="lowerLetter"/>
      <w:start w:val="6"/>
    </w:lvl>
  </w:abstractNum>
  <w:abstractNum w:abstractNumId="99">
    <w:nsid w:val="25413BEC"/>
    <w:multiLevelType w:val="hybridMultilevel"/>
    <w:lvl w:ilvl="0">
      <w:lvlJc w:val="left"/>
      <w:lvlText w:val="%1"/>
      <w:numFmt w:val="lowerLetter"/>
      <w:start w:val="1"/>
    </w:lvl>
    <w:lvl w:ilvl="1">
      <w:lvlJc w:val="left"/>
      <w:lvlText w:val="(%2)"/>
      <w:numFmt w:val="lowerLetter"/>
      <w:start w:val="1"/>
    </w:lvl>
  </w:abstractNum>
  <w:abstractNum w:abstractNumId="100">
    <w:nsid w:val="17180B0B"/>
    <w:multiLevelType w:val="hybridMultilevel"/>
    <w:lvl w:ilvl="0">
      <w:lvlJc w:val="left"/>
      <w:lvlText w:val="(%1)"/>
      <w:numFmt w:val="lowerLetter"/>
      <w:start w:val="9"/>
    </w:lvl>
    <w:lvl w:ilvl="1">
      <w:lvlJc w:val="left"/>
      <w:lvlText w:val="(%2)"/>
      <w:numFmt w:val="lowerLetter"/>
      <w:start w:val="2"/>
    </w:lvl>
  </w:abstractNum>
  <w:abstractNum w:abstractNumId="101">
    <w:nsid w:val="579328B9"/>
    <w:multiLevelType w:val="hybridMultilevel"/>
    <w:lvl w:ilvl="0">
      <w:lvlJc w:val="left"/>
      <w:lvlText w:val="(%1)"/>
      <w:numFmt w:val="lowerLetter"/>
      <w:start w:val="1"/>
    </w:lvl>
    <w:lvl w:ilvl="1">
      <w:lvlJc w:val="left"/>
      <w:lvlText w:val="(%2)"/>
      <w:numFmt w:val="lowerRoman"/>
      <w:start w:val="1"/>
    </w:lvl>
  </w:abstractNum>
  <w:abstractNum w:abstractNumId="102">
    <w:nsid w:val="5D205E20"/>
    <w:multiLevelType w:val="hybridMultilevel"/>
    <w:lvl w:ilvl="0">
      <w:lvlJc w:val="left"/>
      <w:lvlText w:val="%1"/>
      <w:numFmt w:val="lowerLetter"/>
      <w:start w:val="1"/>
    </w:lvl>
    <w:lvl w:ilvl="1">
      <w:lvlJc w:val="left"/>
      <w:lvlText w:val="(%2)"/>
      <w:numFmt w:val="lowerRoman"/>
      <w:start w:val="3"/>
    </w:lvl>
  </w:abstractNum>
  <w:abstractNum w:abstractNumId="103">
    <w:nsid w:val="11CCA8BA"/>
    <w:multiLevelType w:val="hybridMultilevel"/>
    <w:lvl w:ilvl="0">
      <w:lvlJc w:val="left"/>
      <w:lvlText w:val="(%1)"/>
      <w:numFmt w:val="lowerLetter"/>
      <w:start w:val="2"/>
    </w:lvl>
    <w:lvl w:ilvl="1">
      <w:lvlJc w:val="left"/>
      <w:lvlText w:val="%2"/>
      <w:numFmt w:val="lowerRoman"/>
      <w:start w:val="1"/>
    </w:lvl>
  </w:abstractNum>
  <w:abstractNum w:abstractNumId="104">
    <w:nsid w:val="4D32AB86"/>
    <w:multiLevelType w:val="hybridMultilevel"/>
    <w:lvl w:ilvl="0">
      <w:lvlJc w:val="left"/>
      <w:lvlText w:val="(%1)"/>
      <w:numFmt w:val="lowerLetter"/>
      <w:start w:val="1"/>
    </w:lvl>
  </w:abstractNum>
  <w:abstractNum w:abstractNumId="105">
    <w:nsid w:val="3F07ACC3"/>
    <w:multiLevelType w:val="hybridMultilevel"/>
    <w:lvl w:ilvl="0">
      <w:lvlJc w:val="left"/>
      <w:lvlText w:val="(%1)"/>
      <w:numFmt w:val="lowerLetter"/>
      <w:start w:val="1"/>
    </w:lvl>
  </w:abstractNum>
  <w:abstractNum w:abstractNumId="106">
    <w:nsid w:val="6B47F63E"/>
    <w:multiLevelType w:val="hybridMultilevel"/>
    <w:lvl w:ilvl="0">
      <w:lvlJc w:val="left"/>
      <w:lvlText w:val="(%1)"/>
      <w:numFmt w:val="lowerLetter"/>
      <w:start w:val="2"/>
    </w:lvl>
    <w:lvl w:ilvl="1">
      <w:lvlJc w:val="left"/>
      <w:lvlText w:val="(%2)"/>
      <w:numFmt w:val="lowerRoman"/>
      <w:start w:val="1"/>
    </w:lvl>
  </w:abstractNum>
  <w:abstractNum w:abstractNumId="107">
    <w:nsid w:val="5CB44A05"/>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108">
    <w:nsid w:val="16CF80F1"/>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09">
    <w:nsid w:val="1C695DEC"/>
    <w:multiLevelType w:val="hybridMultilevel"/>
    <w:lvl w:ilvl="0">
      <w:lvlJc w:val="left"/>
      <w:lvlText w:val="(%1)"/>
      <w:numFmt w:val="upperLetter"/>
      <w:start w:val="1"/>
    </w:lvl>
  </w:abstractNum>
  <w:abstractNum w:abstractNumId="110">
    <w:nsid w:val="3FCFAED9"/>
    <w:multiLevelType w:val="hybridMultilevel"/>
    <w:lvl w:ilvl="0">
      <w:lvlJc w:val="left"/>
      <w:lvlText w:val="(%1)"/>
      <w:numFmt w:val="upperLetter"/>
      <w:start w:val="2"/>
    </w:lvl>
    <w:lvl w:ilvl="1">
      <w:lvlJc w:val="left"/>
      <w:lvlText w:val="(%2)"/>
      <w:numFmt w:val="upperLetter"/>
      <w:start w:val="9"/>
    </w:lvl>
  </w:abstractNum>
  <w:abstractNum w:abstractNumId="111">
    <w:nsid w:val="F856867"/>
    <w:multiLevelType w:val="hybridMultilevel"/>
    <w:lvl w:ilvl="0">
      <w:lvlJc w:val="left"/>
      <w:lvlText w:val="(%1)"/>
      <w:numFmt w:val="upperLetter"/>
      <w:start w:val="35"/>
    </w:lvl>
  </w:abstractNum>
  <w:abstractNum w:abstractNumId="112">
    <w:nsid w:val="11B1CC33"/>
    <w:multiLevelType w:val="hybridMultilevel"/>
    <w:lvl w:ilvl="0">
      <w:lvlJc w:val="left"/>
      <w:lvlText w:val="(%1)"/>
      <w:numFmt w:val="upperLetter"/>
      <w:start w:val="61"/>
    </w:lvl>
  </w:abstractNum>
  <w:abstractNum w:abstractNumId="113">
    <w:nsid w:val="2E22FBB7"/>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22"/>
    </w:lvl>
  </w:abstractNum>
  <w:abstractNum w:abstractNumId="114">
    <w:nsid w:val="29934699"/>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115">
    <w:nsid w:val="77485850"/>
    <w:multiLevelType w:val="hybridMultilevel"/>
    <w:lvl w:ilvl="0">
      <w:lvlJc w:val="left"/>
      <w:lvlText w:val="%1"/>
      <w:numFmt w:val="lowerLetter"/>
      <w:start w:val="1"/>
    </w:lvl>
    <w:lvl w:ilvl="1">
      <w:lvlJc w:val="left"/>
      <w:lvlText w:val="(%2)"/>
      <w:numFmt w:val="lowerRoman"/>
      <w:start w:val="4"/>
    </w:lvl>
  </w:abstractNum>
  <w:abstractNum w:abstractNumId="116">
    <w:nsid w:val="744939A3"/>
    <w:multiLevelType w:val="hybridMultilevel"/>
    <w:lvl w:ilvl="0">
      <w:lvlJc w:val="left"/>
      <w:lvlText w:val="(%1)"/>
      <w:numFmt w:val="lowerLetter"/>
      <w:start w:val="6"/>
    </w:lvl>
    <w:lvl w:ilvl="1">
      <w:lvlJc w:val="left"/>
      <w:lvlText w:val="%2"/>
      <w:numFmt w:val="lowerRoman"/>
      <w:start w:val="1"/>
    </w:lvl>
  </w:abstractNum>
  <w:abstractNum w:abstractNumId="117">
    <w:nsid w:val="4FA0D2E3"/>
    <w:multiLevelType w:val="hybridMultilevel"/>
    <w:lvl w:ilvl="0">
      <w:lvlJc w:val="left"/>
      <w:lvlText w:val="(%1)"/>
      <w:numFmt w:val="lowerLetter"/>
      <w:start w:val="1"/>
    </w:lvl>
  </w:abstractNum>
  <w:abstractNum w:abstractNumId="118">
    <w:nsid w:val="6B1D2C14"/>
    <w:multiLevelType w:val="hybridMultilevel"/>
    <w:lvl w:ilvl="0">
      <w:lvlJc w:val="left"/>
      <w:lvlText w:val="(%1)"/>
      <w:numFmt w:val="lowerLetter"/>
      <w:start w:val="1"/>
    </w:lvl>
    <w:lvl w:ilvl="1">
      <w:lvlJc w:val="left"/>
      <w:lvlText w:val="(%2)"/>
      <w:numFmt w:val="lowerRoman"/>
      <w:start w:val="1"/>
    </w:lvl>
  </w:abstractNum>
  <w:abstractNum w:abstractNumId="119">
    <w:nsid w:val="68B867D3"/>
    <w:multiLevelType w:val="hybridMultilevel"/>
    <w:lvl w:ilvl="0">
      <w:lvlJc w:val="left"/>
      <w:lvlText w:val="(%1)"/>
      <w:numFmt w:val="lowerLetter"/>
      <w:start w:val="2"/>
    </w:lvl>
  </w:abstractNum>
  <w:abstractNum w:abstractNumId="120">
    <w:nsid w:val="3F7F5DD9"/>
    <w:multiLevelType w:val="hybridMultilevel"/>
    <w:lvl w:ilvl="0">
      <w:lvlJc w:val="left"/>
      <w:lvlText w:val="(%1)"/>
      <w:numFmt w:val="lowerLetter"/>
      <w:start w:val="3"/>
    </w:lvl>
  </w:abstractNum>
  <w:abstractNum w:abstractNumId="121">
    <w:nsid w:val="2AE05A34"/>
    <w:multiLevelType w:val="hybridMultilevel"/>
    <w:lvl w:ilvl="0">
      <w:lvlJc w:val="left"/>
      <w:lvlText w:val="(%1)"/>
      <w:numFmt w:val="lowerLetter"/>
      <w:start w:val="1"/>
    </w:lvl>
  </w:abstractNum>
  <w:abstractNum w:abstractNumId="122">
    <w:nsid w:val="32794FF7"/>
    <w:multiLevelType w:val="hybridMultilevel"/>
    <w:lvl w:ilvl="0">
      <w:lvlJc w:val="left"/>
      <w:lvlText w:val="(%1)"/>
      <w:numFmt w:val="lowerLetter"/>
      <w:start w:val="2"/>
    </w:lvl>
  </w:abstractNum>
  <w:abstractNum w:abstractNumId="123">
    <w:nsid w:val="5454945E"/>
    <w:multiLevelType w:val="hybridMultilevel"/>
    <w:lvl w:ilvl="0">
      <w:lvlJc w:val="left"/>
      <w:lvlText w:val="(%1)"/>
      <w:numFmt w:val="lowerLetter"/>
      <w:start w:val="1"/>
    </w:lvl>
  </w:abstractNum>
  <w:abstractNum w:abstractNumId="124">
    <w:nsid w:val="4DEFDFA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5">
    <w:nsid w:val="2123D5F2"/>
    <w:multiLevelType w:val="hybridMultilevel"/>
    <w:lvl w:ilvl="0">
      <w:lvlJc w:val="left"/>
      <w:lvlText w:val="(%1)"/>
      <w:numFmt w:val="lowerRoman"/>
      <w:start w:val="5"/>
    </w:lvl>
  </w:abstractNum>
  <w:abstractNum w:abstractNumId="126">
    <w:nsid w:val="135B8110"/>
    <w:multiLevelType w:val="hybridMultilevel"/>
    <w:lvl w:ilvl="0">
      <w:lvlJc w:val="left"/>
      <w:lvlText w:val="%1"/>
      <w:numFmt w:val="lowerLetter"/>
      <w:start w:val="1"/>
    </w:lvl>
    <w:lvl w:ilvl="1">
      <w:lvlJc w:val="left"/>
      <w:lvlText w:val="(%2)"/>
      <w:numFmt w:val="lowerRoman"/>
      <w:start w:val="12"/>
    </w:lvl>
  </w:abstractNum>
  <w:abstractNum w:abstractNumId="127">
    <w:nsid w:val="94927A8"/>
    <w:multiLevelType w:val="hybridMultilevel"/>
    <w:lvl w:ilvl="0">
      <w:lvlJc w:val="left"/>
      <w:lvlText w:val="(%1)"/>
      <w:numFmt w:val="lowerLetter"/>
      <w:start w:val="2"/>
    </w:lvl>
    <w:lvl w:ilvl="1">
      <w:lvlJc w:val="left"/>
      <w:lvlText w:val="%2"/>
      <w:numFmt w:val="lowerRoman"/>
      <w:start w:val="1"/>
    </w:lvl>
  </w:abstractNum>
  <w:abstractNum w:abstractNumId="128">
    <w:nsid w:val="DCDF8F6"/>
    <w:multiLevelType w:val="hybridMultilevel"/>
    <w:lvl w:ilvl="0">
      <w:lvlJc w:val="left"/>
      <w:lvlText w:val="(%1)"/>
      <w:numFmt w:val="lowerLetter"/>
      <w:start w:val="1"/>
    </w:lvl>
  </w:abstractNum>
  <w:abstractNum w:abstractNumId="129">
    <w:nsid w:val="52D7B105"/>
    <w:multiLevelType w:val="hybridMultilevel"/>
    <w:lvl w:ilvl="0">
      <w:lvlJc w:val="left"/>
      <w:lvlText w:val="%1"/>
      <w:numFmt w:val="lowerLetter"/>
      <w:start w:val="1"/>
    </w:lvl>
    <w:lvl w:ilvl="1">
      <w:lvlJc w:val="left"/>
      <w:lvlText w:val="(%2)"/>
      <w:numFmt w:val="lowerLetter"/>
      <w:start w:val="4"/>
    </w:lvl>
  </w:abstractNum>
  <w:abstractNum w:abstractNumId="130">
    <w:nsid w:val="2E8A6394"/>
    <w:multiLevelType w:val="hybridMultilevel"/>
    <w:lvl w:ilvl="0">
      <w:lvlJc w:val="left"/>
      <w:lvlText w:val="(%1)"/>
      <w:numFmt w:val="lowerLetter"/>
      <w:start w:val="2"/>
    </w:lvl>
    <w:lvl w:ilvl="1">
      <w:lvlJc w:val="left"/>
      <w:lvlText w:val="%2"/>
      <w:numFmt w:val="lowerLetter"/>
      <w:start w:val="1"/>
    </w:lvl>
  </w:abstractNum>
  <w:abstractNum w:abstractNumId="131">
    <w:nsid w:val="24E60401"/>
    <w:multiLevelType w:val="hybridMultilevel"/>
    <w:lvl w:ilvl="0">
      <w:lvlJc w:val="left"/>
      <w:lvlText w:val="%1"/>
      <w:numFmt w:val="lowerLetter"/>
      <w:start w:val="1"/>
    </w:lvl>
    <w:lvl w:ilvl="1">
      <w:lvlJc w:val="left"/>
      <w:lvlText w:val="(%2)"/>
      <w:numFmt w:val="lowerLetter"/>
      <w:start w:val="1"/>
    </w:lvl>
  </w:abstractNum>
  <w:abstractNum w:abstractNumId="132">
    <w:nsid w:val="2A6AD9BE"/>
    <w:multiLevelType w:val="hybridMultilevel"/>
    <w:lvl w:ilvl="0">
      <w:lvlJc w:val="left"/>
      <w:lvlText w:val="(%1)"/>
      <w:numFmt w:val="lowerLetter"/>
      <w:start w:val="35"/>
    </w:lvl>
    <w:lvl w:ilvl="1">
      <w:lvlJc w:val="left"/>
      <w:lvlText w:val="(%2)"/>
      <w:numFmt w:val="lowerLetter"/>
      <w:start w:val="3"/>
    </w:lvl>
  </w:abstractNum>
  <w:abstractNum w:abstractNumId="133">
    <w:nsid w:val="BAAC1B4"/>
    <w:multiLevelType w:val="hybridMultilevel"/>
    <w:lvl w:ilvl="0">
      <w:lvlJc w:val="left"/>
      <w:lvlText w:val="(%1)"/>
      <w:numFmt w:val="lowerLetter"/>
      <w:start w:val="1"/>
    </w:lvl>
  </w:abstractNum>
  <w:abstractNum w:abstractNumId="134">
    <w:nsid w:val="36B2ACBC"/>
    <w:multiLevelType w:val="hybridMultilevel"/>
    <w:lvl w:ilvl="0">
      <w:lvlJc w:val="left"/>
      <w:lvlText w:val="(%1)"/>
      <w:numFmt w:val="lowerLetter"/>
      <w:start w:val="2"/>
    </w:lvl>
    <w:lvl w:ilvl="1">
      <w:lvlJc w:val="left"/>
      <w:lvlText w:val="(%2)"/>
      <w:numFmt w:val="lowerRoman"/>
      <w:start w:val="1"/>
    </w:lvl>
  </w:abstractNum>
  <w:abstractNum w:abstractNumId="135">
    <w:nsid w:val="779D8544"/>
    <w:multiLevelType w:val="hybridMultilevel"/>
    <w:lvl w:ilvl="0">
      <w:lvlJc w:val="left"/>
      <w:lvlText w:val="(%1)"/>
      <w:numFmt w:val="lowerRoman"/>
      <w:start w:val="3"/>
    </w:lvl>
  </w:abstractNum>
  <w:abstractNum w:abstractNumId="136">
    <w:nsid w:val="4AB26E78"/>
    <w:multiLevelType w:val="hybridMultilevel"/>
    <w:lvl w:ilvl="0">
      <w:lvlJc w:val="left"/>
      <w:lvlText w:val="(%1)"/>
      <w:numFmt w:val="lowerLetter"/>
      <w:start w:val="1"/>
    </w:lvl>
  </w:abstractNum>
  <w:abstractNum w:abstractNumId="137">
    <w:nsid w:val="21FAA2FA"/>
    <w:multiLevelType w:val="hybridMultilevel"/>
    <w:lvl w:ilvl="0">
      <w:lvlJc w:val="left"/>
      <w:lvlText w:val="(%1)"/>
      <w:numFmt w:val="lowerLetter"/>
      <w:start w:val="1"/>
    </w:lvl>
  </w:abstractNum>
  <w:abstractNum w:abstractNumId="138">
    <w:nsid w:val="5451CF49"/>
    <w:multiLevelType w:val="hybridMultilevel"/>
    <w:lvl w:ilvl="0">
      <w:lvlJc w:val="left"/>
      <w:lvlText w:val="(%1)"/>
      <w:numFmt w:val="lowerLetter"/>
      <w:start w:val="3"/>
    </w:lvl>
  </w:abstractNum>
  <w:abstractNum w:abstractNumId="139">
    <w:nsid w:val="6181EF69"/>
    <w:multiLevelType w:val="hybridMultilevel"/>
    <w:lvl w:ilvl="0">
      <w:lvlJc w:val="left"/>
      <w:lvlText w:val="(%1)"/>
      <w:numFmt w:val="lowerLetter"/>
      <w:start w:val="2"/>
    </w:lvl>
  </w:abstractNum>
  <w:abstractNum w:abstractNumId="140">
    <w:nsid w:val="3E6400E6"/>
    <w:multiLevelType w:val="hybridMultilevel"/>
    <w:lvl w:ilvl="0">
      <w:lvlJc w:val="left"/>
      <w:lvlText w:val="(%1)"/>
      <w:numFmt w:val="lowerLetter"/>
      <w:start w:val="1"/>
    </w:lvl>
  </w:abstractNum>
  <w:abstractNum w:abstractNumId="141">
    <w:nsid w:val="14217E23"/>
    <w:multiLevelType w:val="hybridMultilevel"/>
    <w:lvl w:ilvl="0">
      <w:lvlJc w:val="left"/>
      <w:lvlText w:val="(%1)"/>
      <w:numFmt w:val="lowerLetter"/>
      <w:start w:val="5"/>
    </w:lvl>
  </w:abstractNum>
  <w:abstractNum w:abstractNumId="142">
    <w:nsid w:val="710757D0"/>
    <w:multiLevelType w:val="hybridMultilevel"/>
    <w:lvl w:ilvl="0">
      <w:lvlJc w:val="left"/>
      <w:lvlText w:val="(%1)"/>
      <w:numFmt w:val="lowerLetter"/>
      <w:start w:val="1"/>
    </w:lvl>
  </w:abstractNum>
  <w:abstractNum w:abstractNumId="143">
    <w:nsid w:val="5015CD1A"/>
    <w:multiLevelType w:val="hybridMultilevel"/>
    <w:lvl w:ilvl="0">
      <w:lvlJc w:val="left"/>
      <w:lvlText w:val="(%1)"/>
      <w:numFmt w:val="lowerLetter"/>
      <w:start w:val="3"/>
    </w:lvl>
  </w:abstractNum>
  <w:abstractNum w:abstractNumId="144">
    <w:nsid w:val="424479DA"/>
    <w:multiLevelType w:val="hybridMultilevel"/>
    <w:lvl w:ilvl="0">
      <w:lvlJc w:val="left"/>
      <w:lvlText w:val="(%1)"/>
      <w:numFmt w:val="lowerLetter"/>
      <w:start w:val="1"/>
    </w:lvl>
  </w:abstractNum>
  <w:abstractNum w:abstractNumId="145">
    <w:nsid w:val="1A9A9E69"/>
    <w:multiLevelType w:val="hybridMultilevel"/>
    <w:lvl w:ilvl="0">
      <w:lvlJc w:val="left"/>
      <w:lvlText w:val="(%1)"/>
      <w:numFmt w:val="lowerLetter"/>
      <w:start w:val="1"/>
    </w:lvl>
  </w:abstractNum>
  <w:abstractNum w:abstractNumId="146">
    <w:nsid w:val="475E256A"/>
    <w:multiLevelType w:val="hybridMultilevel"/>
    <w:lvl w:ilvl="0">
      <w:lvlJc w:val="left"/>
      <w:lvlText w:val="(%1)"/>
      <w:numFmt w:val="lowerLetter"/>
      <w:start w:val="1"/>
    </w:lvl>
  </w:abstractNum>
  <w:abstractNum w:abstractNumId="147">
    <w:nsid w:val="368DB37E"/>
    <w:multiLevelType w:val="hybridMultilevel"/>
    <w:lvl w:ilvl="0">
      <w:lvlJc w:val="left"/>
      <w:lvlText w:val="(%1)"/>
      <w:numFmt w:val="lowerLetter"/>
      <w:start w:val="1"/>
    </w:lvl>
  </w:abstractNum>
  <w:abstractNum w:abstractNumId="148">
    <w:nsid w:val="6A3B714C"/>
    <w:multiLevelType w:val="hybridMultilevel"/>
    <w:lvl w:ilvl="0">
      <w:lvlJc w:val="left"/>
      <w:lvlText w:val="%1"/>
      <w:numFmt w:val="lowerLetter"/>
      <w:start w:val="1"/>
    </w:lvl>
    <w:lvl w:ilvl="1">
      <w:lvlJc w:val="left"/>
      <w:lvlText w:val="(%2)"/>
      <w:numFmt w:val="lowerLetter"/>
      <w:start w:val="1"/>
    </w:lvl>
  </w:abstractNum>
  <w:abstractNum w:abstractNumId="149">
    <w:nsid w:val="327B517E"/>
    <w:multiLevelType w:val="hybridMultilevel"/>
    <w:lvl w:ilvl="0">
      <w:lvlJc w:val="left"/>
      <w:lvlText w:val="(%1)"/>
      <w:numFmt w:val="lowerLetter"/>
      <w:start w:val="9"/>
    </w:lvl>
    <w:lvl w:ilvl="1">
      <w:lvlJc w:val="left"/>
      <w:lvlText w:val="(%2)"/>
      <w:numFmt w:val="lowerLetter"/>
      <w:start w:val="3"/>
    </w:lvl>
  </w:abstractNum>
  <w:abstractNum w:abstractNumId="150">
    <w:nsid w:val="1F461B51"/>
    <w:multiLevelType w:val="hybridMultilevel"/>
    <w:lvl w:ilvl="0">
      <w:lvlJc w:val="left"/>
      <w:lvlText w:val="(%1)"/>
      <w:numFmt w:val="lowerLetter"/>
      <w:start w:val="1"/>
    </w:lvl>
  </w:abstractNum>
  <w:abstractNum w:abstractNumId="151">
    <w:nsid w:val="29BACF25"/>
    <w:multiLevelType w:val="hybridMultilevel"/>
    <w:lvl w:ilvl="0">
      <w:lvlJc w:val="left"/>
      <w:lvlText w:val="(%1)"/>
      <w:numFmt w:val="lowerLetter"/>
      <w:start w:val="6"/>
    </w:lvl>
  </w:abstractNum>
  <w:abstractNum w:abstractNumId="152">
    <w:nsid w:val="5D5BABB3"/>
    <w:multiLevelType w:val="hybridMultilevel"/>
    <w:lvl w:ilvl="0">
      <w:lvlJc w:val="left"/>
      <w:lvlText w:val="(%1)"/>
      <w:numFmt w:val="lowerLetter"/>
      <w:start w:val="19"/>
    </w:lvl>
  </w:abstractNum>
  <w:abstractNum w:abstractNumId="153">
    <w:nsid w:val="51BF6B48"/>
    <w:multiLevelType w:val="hybridMultilevel"/>
    <w:lvl w:ilvl="0">
      <w:lvlJc w:val="left"/>
      <w:lvlText w:val="(%1)"/>
      <w:numFmt w:val="lowerLetter"/>
      <w:start w:val="1"/>
    </w:lvl>
    <w:lvl w:ilvl="1">
      <w:lvlJc w:val="left"/>
      <w:lvlText w:val="(%2)"/>
      <w:numFmt w:val="lowerRoman"/>
      <w:start w:val="1"/>
    </w:lvl>
  </w:abstractNum>
  <w:abstractNum w:abstractNumId="154">
    <w:nsid w:val="7E0F6384"/>
    <w:multiLevelType w:val="hybridMultilevel"/>
    <w:lvl w:ilvl="0">
      <w:lvlJc w:val="left"/>
      <w:lvlText w:val="%1"/>
      <w:numFmt w:val="lowerLetter"/>
      <w:start w:val="1"/>
    </w:lvl>
    <w:lvl w:ilvl="1">
      <w:lvlJc w:val="left"/>
      <w:lvlText w:val="(%2)"/>
      <w:numFmt w:val="lowerRoman"/>
      <w:start w:val="4"/>
    </w:lvl>
  </w:abstractNum>
  <w:abstractNum w:abstractNumId="155">
    <w:nsid w:val="2B4B8B53"/>
    <w:multiLevelType w:val="hybridMultilevel"/>
    <w:lvl w:ilvl="0">
      <w:lvlJc w:val="left"/>
      <w:lvlText w:val="(%1)"/>
      <w:numFmt w:val="lowerLetter"/>
      <w:start w:val="7"/>
    </w:lvl>
    <w:lvl w:ilvl="1">
      <w:lvlJc w:val="left"/>
      <w:lvlText w:val="%2"/>
      <w:numFmt w:val="lowerRoman"/>
      <w:start w:val="1"/>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2"/>
    </w:lvl>
  </w:abstractNum>
  <w:abstractNum w:abstractNumId="158">
    <w:nsid w:val="3494B2FB"/>
    <w:multiLevelType w:val="hybridMultilevel"/>
    <w:lvl w:ilvl="0">
      <w:lvlJc w:val="left"/>
      <w:lvlText w:val="(%1)"/>
      <w:numFmt w:val="lowerLetter"/>
      <w:start w:val="9"/>
    </w:lvl>
  </w:abstractNum>
  <w:abstractNum w:abstractNumId="159">
    <w:nsid w:val="B13A31"/>
    <w:multiLevelType w:val="hybridMultilevel"/>
    <w:lvl w:ilvl="0">
      <w:lvlJc w:val="left"/>
      <w:lvlText w:val="(%1)"/>
      <w:numFmt w:val="lowerLetter"/>
      <w:start w:val="1"/>
    </w:lvl>
  </w:abstractNum>
  <w:abstractNum w:abstractNumId="160">
    <w:nsid w:val="64429599"/>
    <w:multiLevelType w:val="hybridMultilevel"/>
    <w:lvl w:ilvl="0">
      <w:lvlJc w:val="left"/>
      <w:lvlText w:val="(%1)"/>
      <w:numFmt w:val="lowerLetter"/>
      <w:start w:val="2"/>
    </w:lvl>
  </w:abstractNum>
  <w:abstractNum w:abstractNumId="161">
    <w:nsid w:val="631F1690"/>
    <w:multiLevelType w:val="hybridMultilevel"/>
    <w:lvl w:ilvl="0">
      <w:lvlJc w:val="left"/>
      <w:lvlText w:val="%1"/>
      <w:numFmt w:val="lowerLetter"/>
      <w:start w:val="1"/>
    </w:lvl>
    <w:lvl w:ilvl="1">
      <w:lvlJc w:val="left"/>
      <w:lvlText w:val="(%2)"/>
      <w:numFmt w:val="lowerLetter"/>
      <w:start w:val="1"/>
    </w:lvl>
  </w:abstractNum>
  <w:abstractNum w:abstractNumId="162">
    <w:nsid w:val="25973E32"/>
    <w:multiLevelType w:val="hybridMultilevel"/>
    <w:lvl w:ilvl="0">
      <w:lvlJc w:val="left"/>
      <w:lvlText w:val="(%1)"/>
      <w:numFmt w:val="lowerLetter"/>
      <w:start w:val="9"/>
    </w:lvl>
    <w:lvl w:ilvl="1">
      <w:lvlJc w:val="left"/>
      <w:lvlText w:val="(%2)"/>
      <w:numFmt w:val="lowerLetter"/>
      <w:start w:val="6"/>
    </w:lvl>
  </w:abstractNum>
  <w:abstractNum w:abstractNumId="163">
    <w:nsid w:val="EAD6F57"/>
    <w:multiLevelType w:val="hybridMultilevel"/>
    <w:lvl w:ilvl="0">
      <w:lvlJc w:val="left"/>
      <w:lvlText w:val="(%1)"/>
      <w:numFmt w:val="lowerLetter"/>
      <w:start w:val="1"/>
    </w:lvl>
  </w:abstractNum>
  <w:abstractNum w:abstractNumId="164">
    <w:nsid w:val="6EC9D844"/>
    <w:multiLevelType w:val="hybridMultilevel"/>
    <w:lvl w:ilvl="0">
      <w:lvlJc w:val="left"/>
      <w:lvlText w:val="(%1)"/>
      <w:numFmt w:val="lowerLetter"/>
      <w:start w:val="2"/>
    </w:lvl>
  </w:abstractNum>
  <w:abstractNum w:abstractNumId="165">
    <w:nsid w:val="5C49EAEE"/>
    <w:multiLevelType w:val="hybridMultilevel"/>
    <w:lvl w:ilvl="0">
      <w:lvlJc w:val="left"/>
      <w:lvlText w:val="%1"/>
      <w:numFmt w:val="lowerLetter"/>
      <w:start w:val="1"/>
    </w:lvl>
    <w:lvl w:ilvl="1">
      <w:lvlJc w:val="left"/>
      <w:lvlText w:val="(%2)"/>
      <w:numFmt w:val="lowerLetter"/>
      <w:start w:val="5"/>
    </w:lvl>
  </w:abstractNum>
  <w:abstractNum w:abstractNumId="166">
    <w:nsid w:val="64AF49B"/>
    <w:multiLevelType w:val="hybridMultilevel"/>
    <w:lvl w:ilvl="0">
      <w:lvlJc w:val="left"/>
      <w:lvlText w:val="(%1)"/>
      <w:numFmt w:val="lowerLetter"/>
      <w:start w:val="61"/>
    </w:lvl>
    <w:lvl w:ilvl="1">
      <w:lvlJc w:val="left"/>
      <w:lvlText w:val="%2"/>
      <w:numFmt w:val="lowerLetter"/>
      <w:start w:val="1"/>
    </w:lvl>
  </w:abstractNum>
  <w:abstractNum w:abstractNumId="167">
    <w:nsid w:val="397C46BC"/>
    <w:multiLevelType w:val="hybridMultilevel"/>
    <w:lvl w:ilvl="0">
      <w:lvlJc w:val="left"/>
      <w:lvlText w:val="(%1)"/>
      <w:numFmt w:val="lowerRoman"/>
      <w:start w:val="3"/>
    </w:lvl>
  </w:abstractNum>
  <w:abstractNum w:abstractNumId="168">
    <w:nsid w:val="7E448DE9"/>
    <w:multiLevelType w:val="hybridMultilevel"/>
    <w:lvl w:ilvl="0">
      <w:lvlJc w:val="left"/>
      <w:lvlText w:val="(%1)"/>
      <w:numFmt w:val="lowerLetter"/>
      <w:start w:val="1"/>
    </w:lvl>
  </w:abstractNum>
  <w:abstractNum w:abstractNumId="169">
    <w:nsid w:val="5A9CC3E5"/>
    <w:multiLevelType w:val="hybridMultilevel"/>
    <w:lvl w:ilvl="0">
      <w:lvlJc w:val="left"/>
      <w:lvlText w:val="(%1)"/>
      <w:numFmt w:val="lowerLetter"/>
      <w:start w:val="3"/>
    </w:lvl>
  </w:abstractNum>
  <w:abstractNum w:abstractNumId="170">
    <w:nsid w:val="1AFE3625"/>
    <w:multiLevelType w:val="hybridMultilevel"/>
    <w:lvl w:ilvl="0">
      <w:lvlJc w:val="left"/>
      <w:lvlText w:val="(%1)"/>
      <w:numFmt w:val="lowerLetter"/>
      <w:start w:val="1"/>
    </w:lvl>
  </w:abstractNum>
  <w:abstractNum w:abstractNumId="171">
    <w:nsid w:val="3CA88ECF"/>
    <w:multiLevelType w:val="hybridMultilevel"/>
    <w:lvl w:ilvl="0">
      <w:lvlJc w:val="left"/>
      <w:lvlText w:val="(%1)"/>
      <w:numFmt w:val="lowerLetter"/>
      <w:start w:val="2"/>
    </w:lvl>
  </w:abstractNum>
  <w:abstractNum w:abstractNumId="172">
    <w:nsid w:val="6EBE4208"/>
    <w:multiLevelType w:val="hybridMultilevel"/>
    <w:lvl w:ilvl="0">
      <w:lvlJc w:val="left"/>
      <w:lvlText w:val="%1"/>
      <w:numFmt w:val="lowerLetter"/>
      <w:start w:val="1"/>
    </w:lvl>
    <w:lvl w:ilvl="1">
      <w:lvlJc w:val="left"/>
      <w:lvlText w:val="(%2)"/>
      <w:numFmt w:val="lowerLetter"/>
      <w:start w:val="6"/>
    </w:lvl>
  </w:abstractNum>
  <w:abstractNum w:abstractNumId="173">
    <w:nsid w:val="C058DF5"/>
    <w:multiLevelType w:val="hybridMultilevel"/>
    <w:lvl w:ilvl="0">
      <w:lvlJc w:val="left"/>
      <w:lvlText w:val="(%1)"/>
      <w:numFmt w:val="lowerLetter"/>
      <w:start w:val="35"/>
    </w:lvl>
    <w:lvl w:ilvl="1">
      <w:lvlJc w:val="left"/>
      <w:lvlText w:val="(%2)"/>
      <w:numFmt w:val="lowerLetter"/>
      <w:start w:val="10"/>
    </w:lvl>
  </w:abstractNum>
  <w:abstractNum w:abstractNumId="174">
    <w:nsid w:val="CBE5BE9"/>
    <w:multiLevelType w:val="hybridMultilevel"/>
    <w:lvl w:ilvl="0">
      <w:lvlJc w:val="left"/>
      <w:lvlText w:val="%1"/>
      <w:numFmt w:val="lowerLetter"/>
      <w:start w:val="1"/>
    </w:lvl>
    <w:lvl w:ilvl="1">
      <w:lvlJc w:val="left"/>
      <w:lvlText w:val="(%2)"/>
      <w:numFmt w:val="lowerLetter"/>
      <w:start w:val="11"/>
    </w:lvl>
  </w:abstractNum>
  <w:abstractNum w:abstractNumId="175">
    <w:nsid w:val="3102BBE2"/>
    <w:multiLevelType w:val="hybridMultilevel"/>
    <w:lvl w:ilvl="0">
      <w:lvlJc w:val="left"/>
      <w:lvlText w:val="(%1)"/>
      <w:numFmt w:val="lowerLetter"/>
      <w:start w:val="35"/>
    </w:lvl>
    <w:lvl w:ilvl="1">
      <w:lvlJc w:val="left"/>
      <w:lvlText w:val="(%2)"/>
      <w:numFmt w:val="lowerLetter"/>
      <w:start w:val="13"/>
    </w:lvl>
  </w:abstractNum>
  <w:abstractNum w:abstractNumId="176">
    <w:nsid w:val="26A02C5E"/>
    <w:multiLevelType w:val="hybridMultilevel"/>
    <w:lvl w:ilvl="0">
      <w:lvlJc w:val="left"/>
      <w:lvlText w:val="(%1)"/>
      <w:numFmt w:val="lowerLetter"/>
      <w:start w:val="1"/>
    </w:lvl>
  </w:abstractNum>
  <w:abstractNum w:abstractNumId="177">
    <w:nsid w:val="541C8153"/>
    <w:multiLevelType w:val="hybridMultilevel"/>
    <w:lvl w:ilvl="0">
      <w:lvlJc w:val="left"/>
      <w:lvlText w:val="(%1)"/>
      <w:numFmt w:val="lowerLetter"/>
      <w:start w:val="1"/>
    </w:lvl>
  </w:abstractNum>
  <w:abstractNum w:abstractNumId="178">
    <w:nsid w:val="67906F60"/>
    <w:multiLevelType w:val="hybridMultilevel"/>
    <w:lvl w:ilvl="0">
      <w:lvlJc w:val="left"/>
      <w:lvlText w:val="(%1)"/>
      <w:numFmt w:val="lowerLetter"/>
      <w:start w:val="3"/>
    </w:lvl>
  </w:abstractNum>
  <w:abstractNum w:abstractNumId="179">
    <w:nsid w:val="10DB9DAA"/>
    <w:multiLevelType w:val="hybridMultilevel"/>
    <w:lvl w:ilvl="0">
      <w:lvlJc w:val="left"/>
      <w:lvlText w:val="(%1)"/>
      <w:numFmt w:val="lowerLetter"/>
      <w:start w:val="1"/>
    </w:lvl>
  </w:abstractNum>
  <w:abstractNum w:abstractNumId="180">
    <w:nsid w:val="697D2D2"/>
    <w:multiLevelType w:val="hybridMultilevel"/>
    <w:lvl w:ilvl="0">
      <w:lvlJc w:val="left"/>
      <w:lvlText w:val="%1"/>
      <w:numFmt w:val="lowerLetter"/>
      <w:start w:val="1"/>
    </w:lvl>
    <w:lvl w:ilvl="1">
      <w:lvlJc w:val="left"/>
      <w:lvlText w:val="(%2)"/>
      <w:numFmt w:val="lowerLetter"/>
      <w:start w:val="3"/>
    </w:lvl>
  </w:abstractNum>
  <w:abstractNum w:abstractNumId="181">
    <w:nsid w:val="6D68AB2"/>
    <w:multiLevelType w:val="hybridMultilevel"/>
    <w:lvl w:ilvl="0">
      <w:lvlJc w:val="left"/>
      <w:lvlText w:val="(%1)"/>
      <w:numFmt w:val="lowerLetter"/>
      <w:start w:val="9"/>
    </w:lvl>
    <w:lvl w:ilvl="1">
      <w:lvlJc w:val="left"/>
      <w:lvlText w:val="%2"/>
      <w:numFmt w:val="lowerLetter"/>
      <w:start w:val="1"/>
    </w:lvl>
  </w:abstractNum>
  <w:abstractNum w:abstractNumId="182">
    <w:nsid w:val="3A966CD0"/>
    <w:multiLevelType w:val="hybridMultilevel"/>
    <w:lvl w:ilvl="0">
      <w:lvlJc w:val="left"/>
      <w:lvlText w:val="(%1)"/>
      <w:numFmt w:val="lowerLetter"/>
      <w:start w:val="2"/>
    </w:lvl>
  </w:abstractNum>
  <w:abstractNum w:abstractNumId="183">
    <w:nsid w:val="63F37E85"/>
    <w:multiLevelType w:val="hybridMultilevel"/>
    <w:lvl w:ilvl="0">
      <w:lvlJc w:val="left"/>
      <w:lvlText w:val="(%1)"/>
      <w:numFmt w:val="lowerLetter"/>
      <w:start w:val="1"/>
    </w:lvl>
  </w:abstractNum>
  <w:abstractNum w:abstractNumId="184">
    <w:nsid w:val="5895F5FA"/>
    <w:multiLevelType w:val="hybridMultilevel"/>
    <w:lvl w:ilvl="0">
      <w:lvlJc w:val="left"/>
      <w:lvlText w:val="%1"/>
      <w:numFmt w:val="upperLetter"/>
      <w:start w:val="1"/>
    </w:lvl>
    <w:lvl w:ilvl="1">
      <w:lvlJc w:val="left"/>
      <w:lvlText w:val="(%2)"/>
      <w:numFmt w:val="lowerLetter"/>
      <w:start w:val="1"/>
    </w:lvl>
  </w:abstractNum>
  <w:abstractNum w:abstractNumId="185">
    <w:nsid w:val="38A5D054"/>
    <w:multiLevelType w:val="hybridMultilevel"/>
    <w:lvl w:ilvl="0">
      <w:lvlJc w:val="left"/>
      <w:lvlText w:val="(%1)"/>
      <w:numFmt w:val="upperLetter"/>
      <w:start w:val="1"/>
    </w:lvl>
    <w:lvl w:ilvl="1">
      <w:lvlJc w:val="left"/>
      <w:lvlText w:val="(%2)"/>
      <w:numFmt w:val="lowerLetter"/>
      <w:start w:val="2"/>
    </w:lvl>
  </w:abstractNum>
  <w:abstractNum w:abstractNumId="186">
    <w:nsid w:val="F3F09D8"/>
    <w:multiLevelType w:val="hybridMultilevel"/>
    <w:lvl w:ilvl="0">
      <w:lvlJc w:val="left"/>
      <w:lvlText w:val="(%1)"/>
      <w:numFmt w:val="lowerLetter"/>
      <w:start w:val="1"/>
    </w:lvl>
  </w:abstractNum>
  <w:abstractNum w:abstractNumId="187">
    <w:nsid w:val="4B793735"/>
    <w:multiLevelType w:val="hybridMultilevel"/>
    <w:lvl w:ilvl="0">
      <w:lvlJc w:val="left"/>
      <w:lvlText w:val="(%1)"/>
      <w:numFmt w:val="lowerLetter"/>
      <w:start w:val="5"/>
    </w:lvl>
  </w:abstractNum>
  <w:abstractNum w:abstractNumId="188">
    <w:nsid w:val="4A10B4E8"/>
    <w:multiLevelType w:val="hybridMultilevel"/>
    <w:lvl w:ilvl="0">
      <w:lvlJc w:val="left"/>
      <w:lvlText w:val="(%1)"/>
      <w:numFmt w:val="upperLetter"/>
      <w:start w:val="2"/>
    </w:lvl>
  </w:abstractNum>
  <w:abstractNum w:abstractNumId="189">
    <w:nsid w:val="43D3BCD4"/>
    <w:multiLevelType w:val="hybridMultilevel"/>
    <w:lvl w:ilvl="0">
      <w:lvlJc w:val="left"/>
      <w:lvlText w:val="(%1)"/>
      <w:numFmt w:val="lowerRoman"/>
      <w:start w:val="1"/>
    </w:lvl>
  </w:abstractNum>
  <w:abstractNum w:abstractNumId="190">
    <w:nsid w:val="4C2A7166"/>
    <w:multiLevelType w:val="hybridMultilevel"/>
    <w:lvl w:ilvl="0">
      <w:lvlJc w:val="left"/>
      <w:lvlText w:val="(%1)"/>
      <w:numFmt w:val="lowerLetter"/>
      <w:start w:val="1"/>
    </w:lvl>
    <w:lvl w:ilvl="1">
      <w:lvlJc w:val="left"/>
      <w:lvlText w:val="(%2)"/>
      <w:numFmt w:val="lowerLetter"/>
      <w:start w:val="9"/>
    </w:lvl>
  </w:abstractNum>
  <w:abstractNum w:abstractNumId="191">
    <w:nsid w:val="2E534A82"/>
    <w:multiLevelType w:val="hybridMultilevel"/>
    <w:lvl w:ilvl="0">
      <w:lvlJc w:val="left"/>
      <w:lvlText w:val="(%1)"/>
      <w:numFmt w:val="lowerRoman"/>
      <w:start w:val="2"/>
    </w:lvl>
  </w:abstractNum>
  <w:abstractNum w:abstractNumId="192">
    <w:nsid w:val="26F2D364"/>
    <w:multiLevelType w:val="hybridMultilevel"/>
    <w:lvl w:ilvl="0">
      <w:lvlJc w:val="left"/>
      <w:lvlText w:val="(%1)"/>
      <w:numFmt w:val="lowerLetter"/>
      <w:start w:val="2"/>
    </w:lvl>
    <w:lvl w:ilvl="1">
      <w:lvlJc w:val="left"/>
      <w:lvlText w:val="(%2)"/>
      <w:numFmt w:val="lowerLetter"/>
      <w:start w:val="2"/>
    </w:lvl>
  </w:abstractNum>
  <w:abstractNum w:abstractNumId="193">
    <w:nsid w:val="71C1AF98"/>
    <w:multiLevelType w:val="hybridMultilevel"/>
    <w:lvl w:ilvl="0">
      <w:lvlJc w:val="left"/>
      <w:lvlText w:val="(%1)"/>
      <w:numFmt w:val="lowerLetter"/>
      <w:start w:val="5"/>
    </w:lvl>
  </w:abstractNum>
  <w:abstractNum w:abstractNumId="194">
    <w:nsid w:val="3D00B9D9"/>
    <w:multiLevelType w:val="hybridMultilevel"/>
    <w:lvl w:ilvl="0">
      <w:lvlJc w:val="left"/>
      <w:lvlText w:val="(%1)"/>
      <w:numFmt w:val="lowerLetter"/>
      <w:start w:val="1"/>
    </w:lvl>
  </w:abstractNum>
  <w:abstractNum w:abstractNumId="195">
    <w:nsid w:val="15BCABA8"/>
    <w:multiLevelType w:val="hybridMultilevel"/>
    <w:lvl w:ilvl="0">
      <w:lvlJc w:val="left"/>
      <w:lvlText w:val="(%1)"/>
      <w:numFmt w:val="lowerLetter"/>
      <w:start w:val="2"/>
    </w:lvl>
  </w:abstractNum>
  <w:abstractNum w:abstractNumId="196">
    <w:nsid w:val="4E0B9A87"/>
    <w:multiLevelType w:val="hybridMultilevel"/>
    <w:lvl w:ilvl="0">
      <w:lvlJc w:val="left"/>
      <w:lvlText w:val="(%1)"/>
      <w:numFmt w:val="lowerLetter"/>
      <w:start w:val="4"/>
    </w:lvl>
  </w:abstractNum>
  <w:abstractNum w:abstractNumId="197">
    <w:nsid w:val="434BAE75"/>
    <w:multiLevelType w:val="hybridMultilevel"/>
    <w:lvl w:ilvl="0">
      <w:lvlJc w:val="left"/>
      <w:lvlText w:val="(%1)"/>
      <w:numFmt w:val="lowerLetter"/>
      <w:start w:val="1"/>
    </w:lvl>
  </w:abstractNum>
  <w:abstractNum w:abstractNumId="198">
    <w:nsid w:val="4F38F265"/>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9">
    <w:nsid w:val="4C502870"/>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00">
    <w:nsid w:val="1DE8725A"/>
    <w:multiLevelType w:val="hybridMultilevel"/>
    <w:lvl w:ilvl="0">
      <w:lvlJc w:val="left"/>
      <w:lvlText w:val="(%1)"/>
      <w:numFmt w:val="lowerRoman"/>
      <w:start w:val="3"/>
    </w:lvl>
    <w:lvl w:ilvl="1">
      <w:lvlJc w:val="left"/>
      <w:lvlText w:val="(%2)"/>
      <w:numFmt w:val="upperLetter"/>
      <w:start w:val="1"/>
    </w:lvl>
  </w:abstractNum>
  <w:abstractNum w:abstractNumId="201">
    <w:nsid w:val="6A37288A"/>
    <w:multiLevelType w:val="hybridMultilevel"/>
    <w:lvl w:ilvl="0">
      <w:lvlJc w:val="left"/>
      <w:lvlText w:val="(%1)"/>
      <w:numFmt w:val="lowerRoman"/>
      <w:start w:val="5"/>
    </w:lvl>
  </w:abstractNum>
  <w:abstractNum w:abstractNumId="202">
    <w:nsid w:val="8F8B73F"/>
    <w:multiLevelType w:val="hybridMultilevel"/>
    <w:lvl w:ilvl="0">
      <w:lvlJc w:val="left"/>
      <w:lvlText w:val="(%1)"/>
      <w:numFmt w:val="lowerLetter"/>
      <w:start w:val="3"/>
    </w:lvl>
  </w:abstractNum>
  <w:abstractNum w:abstractNumId="203">
    <w:nsid w:val="CA6B462"/>
    <w:multiLevelType w:val="hybridMultilevel"/>
    <w:lvl w:ilvl="0">
      <w:lvlJc w:val="left"/>
      <w:lvlText w:val="(%1)"/>
      <w:numFmt w:val="lowerLetter"/>
      <w:start w:val="4"/>
    </w:lvl>
  </w:abstractNum>
  <w:abstractNum w:abstractNumId="204">
    <w:nsid w:val="763CB680"/>
    <w:multiLevelType w:val="hybridMultilevel"/>
    <w:lvl w:ilvl="0">
      <w:lvlJc w:val="left"/>
      <w:lvlText w:val="(%1)"/>
      <w:numFmt w:val="lowerLetter"/>
      <w:start w:val="5"/>
    </w:lvl>
  </w:abstractNum>
  <w:abstractNum w:abstractNumId="205">
    <w:nsid w:val="15B71329"/>
    <w:multiLevelType w:val="hybridMultilevel"/>
    <w:lvl w:ilvl="0">
      <w:lvlJc w:val="left"/>
      <w:lvlText w:val="(%1)"/>
      <w:numFmt w:val="lowerLetter"/>
      <w:start w:val="3"/>
    </w:lvl>
  </w:abstractNum>
  <w:abstractNum w:abstractNumId="206">
    <w:nsid w:val="3DA97044"/>
    <w:multiLevelType w:val="hybridMultilevel"/>
    <w:lvl w:ilvl="0">
      <w:lvlJc w:val="left"/>
      <w:lvlText w:val="(%1)"/>
      <w:numFmt w:val="lowerLetter"/>
      <w:start w:val="35"/>
    </w:lvl>
  </w:abstractNum>
  <w:abstractNum w:abstractNumId="207">
    <w:nsid w:val="1CDCE2DE"/>
    <w:multiLevelType w:val="hybridMultilevel"/>
    <w:lvl w:ilvl="0">
      <w:lvlJc w:val="left"/>
      <w:lvlText w:val="(%1)"/>
      <w:numFmt w:val="lowerLetter"/>
      <w:start w:val="8"/>
    </w:lvl>
  </w:abstractNum>
  <w:abstractNum w:abstractNumId="208">
    <w:nsid w:val="69D3947C"/>
    <w:multiLevelType w:val="hybridMultilevel"/>
    <w:lvl w:ilvl="0">
      <w:lvlJc w:val="left"/>
      <w:lvlText w:val="(%1)"/>
      <w:numFmt w:val="lowerLetter"/>
      <w:start w:val="25"/>
    </w:lvl>
  </w:abstractNum>
  <w:abstractNum w:abstractNumId="209">
    <w:nsid w:val="2539DFA5"/>
    <w:multiLevelType w:val="hybridMultilevel"/>
    <w:lvl w:ilvl="0">
      <w:lvlJc w:val="left"/>
      <w:lvlText w:val="(%1)"/>
      <w:numFmt w:val="lowerLetter"/>
      <w:start w:val="3"/>
    </w:lvl>
  </w:abstractNum>
  <w:abstractNum w:abstractNumId="210">
    <w:nsid w:val="2DB88089"/>
    <w:multiLevelType w:val="hybridMultilevel"/>
    <w:lvl w:ilvl="0">
      <w:lvlJc w:val="left"/>
      <w:lvlText w:val="(%1)"/>
      <w:numFmt w:val="lowerLetter"/>
      <w:start w:val="1"/>
    </w:lvl>
  </w:abstractNum>
  <w:abstractNum w:abstractNumId="211">
    <w:nsid w:val="706B674E"/>
    <w:multiLevelType w:val="hybridMultilevel"/>
    <w:lvl w:ilvl="0">
      <w:lvlJc w:val="left"/>
      <w:lvlText w:val="(%1)"/>
      <w:numFmt w:val="lowerLetter"/>
      <w:start w:val="1"/>
    </w:lvl>
  </w:abstractNum>
  <w:abstractNum w:abstractNumId="212">
    <w:nsid w:val="2C106A57"/>
    <w:multiLevelType w:val="hybridMultilevel"/>
    <w:lvl w:ilvl="0">
      <w:lvlJc w:val="left"/>
      <w:lvlText w:val="%1"/>
      <w:numFmt w:val="upperLetter"/>
      <w:start w:val="1"/>
    </w:lvl>
    <w:lvl w:ilvl="1">
      <w:lvlJc w:val="left"/>
      <w:lvlText w:val="(%2)"/>
      <w:numFmt w:val="lowerLetter"/>
      <w:start w:val="3"/>
    </w:lvl>
  </w:abstractNum>
  <w:abstractNum w:abstractNumId="213">
    <w:nsid w:val="684EED59"/>
    <w:multiLevelType w:val="hybridMultilevel"/>
    <w:lvl w:ilvl="0">
      <w:lvlJc w:val="left"/>
      <w:lvlText w:val="(%1)"/>
      <w:numFmt w:val="upp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2019-12-06T00:14:55Z</dcterms:created>
  <dcterms:modified xsi:type="dcterms:W3CDTF">2019-12-06T00:14:55Z</dcterms:modified>
</cp:coreProperties>
</file>