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CROSBY MICHAEL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00"/>
        <w:spacing w:after="0" w:line="331" w:lineRule="auto"/>
        <w:rPr>
          <w:sz w:val="20"/>
          <w:szCs w:val="20"/>
          <w:color w:val="auto"/>
        </w:rPr>
      </w:pPr>
      <w:r>
        <w:rPr>
          <w:rFonts w:ascii="Arial" w:cs="Arial" w:eastAsia="Arial" w:hAnsi="Arial"/>
          <w:sz w:val="18"/>
          <w:szCs w:val="18"/>
          <w:color w:val="0000FF"/>
        </w:rPr>
        <w:t>C/O WORLD FUEL SERVICES CORPORATION 9800 N.W. 41ST STREET</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20" w:type="dxa"/>
            <w:vAlign w:val="bottom"/>
          </w:tcPr>
          <w:p>
            <w:pPr>
              <w:spacing w:after="0"/>
              <w:rPr>
                <w:sz w:val="20"/>
                <w:szCs w:val="20"/>
                <w:color w:val="auto"/>
              </w:rPr>
            </w:pPr>
            <w:r>
              <w:rPr>
                <w:rFonts w:ascii="Arial" w:cs="Arial" w:eastAsia="Arial" w:hAnsi="Arial"/>
                <w:sz w:val="18"/>
                <w:szCs w:val="18"/>
                <w:color w:val="0000FF"/>
              </w:rPr>
              <w:t>MIAMI</w:t>
            </w:r>
          </w:p>
        </w:tc>
        <w:tc>
          <w:tcPr>
            <w:tcW w:w="1200" w:type="dxa"/>
            <w:vAlign w:val="bottom"/>
          </w:tcPr>
          <w:p>
            <w:pPr>
              <w:ind w:left="360"/>
              <w:spacing w:after="0"/>
              <w:rPr>
                <w:sz w:val="20"/>
                <w:szCs w:val="20"/>
                <w:color w:val="auto"/>
              </w:rPr>
            </w:pPr>
            <w:r>
              <w:rPr>
                <w:rFonts w:ascii="Arial" w:cs="Arial" w:eastAsia="Arial" w:hAnsi="Arial"/>
                <w:sz w:val="18"/>
                <w:szCs w:val="18"/>
                <w:color w:val="0000FF"/>
              </w:rPr>
              <w:t>FL</w:t>
            </w:r>
          </w:p>
        </w:tc>
        <w:tc>
          <w:tcPr>
            <w:tcW w:w="1680" w:type="dxa"/>
            <w:vAlign w:val="bottom"/>
          </w:tcPr>
          <w:p>
            <w:pPr>
              <w:ind w:left="420"/>
              <w:spacing w:after="0"/>
              <w:rPr>
                <w:sz w:val="20"/>
                <w:szCs w:val="20"/>
                <w:color w:val="auto"/>
              </w:rPr>
            </w:pPr>
            <w:r>
              <w:rPr>
                <w:rFonts w:ascii="Arial" w:cs="Arial" w:eastAsia="Arial" w:hAnsi="Arial"/>
                <w:sz w:val="18"/>
                <w:szCs w:val="18"/>
                <w:color w:val="0000FF"/>
              </w:rPr>
              <w:t>33178</w:t>
            </w: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3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WORLD FUEL SERVICES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INT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4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5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2900" w:type="dxa"/>
            <w:vAlign w:val="bottom"/>
            <w:gridSpan w:val="2"/>
            <w:vMerge w:val="restart"/>
          </w:tcPr>
          <w:p>
            <w:pPr>
              <w:ind w:left="560"/>
              <w:spacing w:after="0"/>
              <w:rPr>
                <w:sz w:val="20"/>
                <w:szCs w:val="20"/>
                <w:color w:val="auto"/>
              </w:rPr>
            </w:pPr>
            <w:r>
              <w:rPr>
                <w:rFonts w:ascii="Arial" w:cs="Arial" w:eastAsia="Arial" w:hAnsi="Arial"/>
                <w:sz w:val="18"/>
                <w:szCs w:val="18"/>
                <w:color w:val="0000FF"/>
              </w:rPr>
              <w:t>EVP, Global Land</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03/15/2019</w:t>
            </w: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5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680"/>
              <w:spacing w:after="0"/>
              <w:rPr>
                <w:sz w:val="20"/>
                <w:szCs w:val="20"/>
                <w:color w:val="auto"/>
              </w:rPr>
            </w:pPr>
            <w:r>
              <w:rPr>
                <w:rFonts w:ascii="Arial" w:cs="Arial" w:eastAsia="Arial" w:hAnsi="Arial"/>
                <w:sz w:val="18"/>
                <w:szCs w:val="18"/>
                <w:color w:val="0000FF"/>
              </w:rPr>
              <w:t>03/15/2019</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78"/>
              <w:spacing w:after="0"/>
              <w:rPr>
                <w:sz w:val="20"/>
                <w:szCs w:val="20"/>
                <w:color w:val="auto"/>
              </w:rPr>
            </w:pPr>
            <w:r>
              <w:rPr>
                <w:rFonts w:ascii="Arial" w:cs="Arial" w:eastAsia="Arial" w:hAnsi="Arial"/>
                <w:sz w:val="14"/>
                <w:szCs w:val="14"/>
                <w:color w:val="0000FF"/>
                <w:w w:val="92"/>
              </w:rPr>
              <w:t>F</w:t>
            </w:r>
          </w:p>
        </w:tc>
        <w:tc>
          <w:tcPr>
            <w:tcW w:w="780" w:type="dxa"/>
            <w:vAlign w:val="bottom"/>
            <w:tcBorders>
              <w:bottom w:val="single" w:sz="8" w:color="2C2C2C"/>
            </w:tcBorders>
          </w:tcPr>
          <w:p>
            <w:pPr>
              <w:jc w:val="center"/>
              <w:ind w:right="52"/>
              <w:spacing w:after="0"/>
              <w:rPr>
                <w:sz w:val="20"/>
                <w:szCs w:val="20"/>
                <w:color w:val="auto"/>
              </w:rPr>
            </w:pPr>
            <w:r>
              <w:rPr>
                <w:rFonts w:ascii="Arial" w:cs="Arial" w:eastAsia="Arial" w:hAnsi="Arial"/>
                <w:sz w:val="18"/>
                <w:szCs w:val="18"/>
                <w:color w:val="0000FF"/>
              </w:rPr>
              <w:t>643</w:t>
            </w:r>
            <w:r>
              <w:rPr>
                <w:rFonts w:ascii="Arial" w:cs="Arial" w:eastAsia="Arial" w:hAnsi="Arial"/>
                <w:sz w:val="22"/>
                <w:szCs w:val="22"/>
                <w:color w:val="008000"/>
                <w:vertAlign w:val="superscript"/>
              </w:rPr>
              <w:t>(1)</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29.68</w:t>
            </w:r>
            <w:r>
              <w:rPr>
                <w:rFonts w:ascii="Arial" w:cs="Arial" w:eastAsia="Arial" w:hAnsi="Arial"/>
                <w:sz w:val="22"/>
                <w:szCs w:val="22"/>
                <w:color w:val="008000"/>
                <w:w w:val="93"/>
                <w:vertAlign w:val="superscript"/>
              </w:rPr>
              <w:t>(2)</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43,231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680"/>
              <w:spacing w:after="0"/>
              <w:rPr>
                <w:sz w:val="20"/>
                <w:szCs w:val="20"/>
                <w:color w:val="auto"/>
              </w:rPr>
            </w:pPr>
            <w:r>
              <w:rPr>
                <w:rFonts w:ascii="Arial" w:cs="Arial" w:eastAsia="Arial" w:hAnsi="Arial"/>
                <w:sz w:val="18"/>
                <w:szCs w:val="18"/>
                <w:color w:val="0000FF"/>
              </w:rPr>
              <w:t>03/15/2019</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8"/>
              <w:spacing w:after="0"/>
              <w:rPr>
                <w:sz w:val="20"/>
                <w:szCs w:val="20"/>
                <w:color w:val="auto"/>
              </w:rPr>
            </w:pPr>
            <w:r>
              <w:rPr>
                <w:rFonts w:ascii="Arial" w:cs="Arial" w:eastAsia="Arial" w:hAnsi="Arial"/>
                <w:sz w:val="14"/>
                <w:szCs w:val="14"/>
                <w:color w:val="0000FF"/>
              </w:rPr>
              <w:t>A</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8"/>
              </w:rPr>
              <w:t>15,902</w:t>
            </w:r>
            <w:r>
              <w:rPr>
                <w:rFonts w:ascii="Arial" w:cs="Arial" w:eastAsia="Arial" w:hAnsi="Arial"/>
                <w:sz w:val="22"/>
                <w:szCs w:val="22"/>
                <w:color w:val="008000"/>
                <w:w w:val="98"/>
                <w:vertAlign w:val="superscript"/>
              </w:rPr>
              <w:t>(3)</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A</w:t>
            </w:r>
          </w:p>
        </w:tc>
        <w:tc>
          <w:tcPr>
            <w:tcW w:w="72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29.68</w:t>
            </w:r>
            <w:r>
              <w:rPr>
                <w:rFonts w:ascii="Arial" w:cs="Arial" w:eastAsia="Arial" w:hAnsi="Arial"/>
                <w:sz w:val="22"/>
                <w:szCs w:val="22"/>
                <w:color w:val="008000"/>
                <w:w w:val="93"/>
                <w:vertAlign w:val="superscript"/>
              </w:rPr>
              <w:t>(2)</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59,133</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2"/>
          </w:tcPr>
          <w:p>
            <w:pPr>
              <w:jc w:val="center"/>
              <w:ind w:left="9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60" w:type="dxa"/>
            <w:vAlign w:val="bottom"/>
            <w:gridSpan w:val="9"/>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8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8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38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1,870 restricted stock units held by the reporting person vested and settled on March 15, 2019. The issuer withheld the reported shares to cover the reporting person's tax liability associated with these restricted stock units.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shown is the closing price of the issuer's common stock on the NYSE on March 15, 2019.</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restricted stock units will vest in three equal annual installments beginning on March 15, 2020.</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Amy A. Quintana,</w:t>
            </w:r>
          </w:p>
        </w:tc>
        <w:tc>
          <w:tcPr>
            <w:tcW w:w="6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03/19/2019</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63879" TargetMode="External"/><Relationship Id="rId13"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2019-12-24T04:35:17Z</dcterms:created>
  <dcterms:modified xsi:type="dcterms:W3CDTF">2019-12-24T04:35:17Z</dcterms:modified>
</cp:coreProperties>
</file>