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4180"/>
        <w:spacing w:after="0"/>
        <w:rPr>
          <w:sz w:val="20"/>
          <w:szCs w:val="20"/>
          <w:color w:val="auto"/>
        </w:rPr>
      </w:pPr>
      <w:r>
        <w:rPr>
          <w:rFonts w:ascii="Arial" w:cs="Arial" w:eastAsia="Arial" w:hAnsi="Arial"/>
          <w:sz w:val="20"/>
          <w:szCs w:val="20"/>
          <w:b w:val="1"/>
          <w:bCs w:val="1"/>
          <w:color w:val="auto"/>
        </w:rPr>
        <w:t xml:space="preserve">*** Exercise Your </w:t>
      </w:r>
      <w:r>
        <w:rPr>
          <w:rFonts w:ascii="Arial" w:cs="Arial" w:eastAsia="Arial" w:hAnsi="Arial"/>
          <w:sz w:val="20"/>
          <w:szCs w:val="20"/>
          <w:b w:val="1"/>
          <w:bCs w:val="1"/>
          <w:i w:val="1"/>
          <w:iCs w:val="1"/>
          <w:color w:val="auto"/>
        </w:rPr>
        <w:t>Right</w:t>
      </w:r>
      <w:r>
        <w:rPr>
          <w:rFonts w:ascii="Arial" w:cs="Arial" w:eastAsia="Arial" w:hAnsi="Arial"/>
          <w:sz w:val="20"/>
          <w:szCs w:val="20"/>
          <w:b w:val="1"/>
          <w:bCs w:val="1"/>
          <w:color w:val="auto"/>
        </w:rPr>
        <w:t xml:space="preserve"> to Vote ***</w:t>
      </w:r>
    </w:p>
    <w:p>
      <w:pPr>
        <w:spacing w:after="0" w:line="40" w:lineRule="exact"/>
        <w:rPr>
          <w:sz w:val="24"/>
          <w:szCs w:val="24"/>
          <w:color w:val="auto"/>
        </w:rPr>
      </w:pPr>
    </w:p>
    <w:p>
      <w:pPr>
        <w:ind w:left="2700"/>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Shareholder Meeting to Be Held on May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3388360</wp:posOffset>
            </wp:positionH>
            <wp:positionV relativeFrom="paragraph">
              <wp:posOffset>137795</wp:posOffset>
            </wp:positionV>
            <wp:extent cx="3850640" cy="1982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0640" cy="198247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WORLD FUEL SERVICES CORPORATION</w:t>
            </w:r>
          </w:p>
        </w:tc>
        <w:tc>
          <w:tcPr>
            <w:tcW w:w="230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Meeting Type:</w:t>
            </w: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Meeting Information</w:t>
            </w:r>
          </w:p>
        </w:tc>
        <w:tc>
          <w:tcPr>
            <w:tcW w:w="0" w:type="dxa"/>
            <w:vAlign w:val="bottom"/>
          </w:tcPr>
          <w:p>
            <w:pPr>
              <w:spacing w:after="0"/>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Annual Meeting</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300" w:type="dxa"/>
            <w:vAlign w:val="bottom"/>
          </w:tcPr>
          <w:p>
            <w:pPr>
              <w:ind w:left="700"/>
              <w:spacing w:after="0"/>
              <w:rPr>
                <w:sz w:val="20"/>
                <w:szCs w:val="20"/>
                <w:color w:val="auto"/>
              </w:rPr>
            </w:pPr>
            <w:r>
              <w:rPr>
                <w:rFonts w:ascii="Arial" w:cs="Arial" w:eastAsia="Arial" w:hAnsi="Arial"/>
                <w:sz w:val="16"/>
                <w:szCs w:val="16"/>
                <w:b w:val="1"/>
                <w:bCs w:val="1"/>
                <w:color w:val="auto"/>
              </w:rPr>
              <w:t>For holders as of:</w:t>
            </w:r>
          </w:p>
        </w:tc>
        <w:tc>
          <w:tcPr>
            <w:tcW w:w="1900" w:type="dxa"/>
            <w:vAlign w:val="bottom"/>
            <w:gridSpan w:val="2"/>
          </w:tcPr>
          <w:p>
            <w:pPr>
              <w:ind w:left="300"/>
              <w:spacing w:after="0"/>
              <w:rPr>
                <w:sz w:val="20"/>
                <w:szCs w:val="20"/>
                <w:color w:val="auto"/>
              </w:rPr>
            </w:pPr>
            <w:r>
              <w:rPr>
                <w:rFonts w:ascii="Arial" w:cs="Arial" w:eastAsia="Arial" w:hAnsi="Arial"/>
                <w:sz w:val="16"/>
                <w:szCs w:val="16"/>
                <w:color w:val="auto"/>
              </w:rPr>
              <w:t>April 4, 2013</w:t>
            </w:r>
          </w:p>
        </w:tc>
        <w:tc>
          <w:tcPr>
            <w:tcW w:w="0" w:type="dxa"/>
            <w:vAlign w:val="bottom"/>
          </w:tcPr>
          <w:p>
            <w:pPr>
              <w:spacing w:after="0"/>
              <w:rPr>
                <w:sz w:val="1"/>
                <w:szCs w:val="1"/>
                <w:color w:val="auto"/>
              </w:rPr>
            </w:pPr>
          </w:p>
        </w:tc>
      </w:tr>
      <w:tr>
        <w:trPr>
          <w:trHeight w:val="411"/>
        </w:trPr>
        <w:tc>
          <w:tcPr>
            <w:tcW w:w="3540" w:type="dxa"/>
            <w:vAlign w:val="bottom"/>
          </w:tcPr>
          <w:p>
            <w:pPr>
              <w:spacing w:after="0"/>
              <w:rPr>
                <w:sz w:val="24"/>
                <w:szCs w:val="24"/>
                <w:color w:val="auto"/>
              </w:rPr>
            </w:pPr>
          </w:p>
        </w:tc>
        <w:tc>
          <w:tcPr>
            <w:tcW w:w="2300" w:type="dxa"/>
            <w:vAlign w:val="bottom"/>
          </w:tcPr>
          <w:p>
            <w:pPr>
              <w:ind w:left="70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31, 2013</w:t>
            </w:r>
          </w:p>
        </w:tc>
        <w:tc>
          <w:tcPr>
            <w:tcW w:w="1900" w:type="dxa"/>
            <w:vAlign w:val="bottom"/>
            <w:gridSpan w:val="2"/>
          </w:tcPr>
          <w:p>
            <w:pPr>
              <w:ind w:left="480"/>
              <w:spacing w:after="0"/>
              <w:rPr>
                <w:sz w:val="20"/>
                <w:szCs w:val="20"/>
                <w:color w:val="auto"/>
              </w:rPr>
            </w:pPr>
            <w:r>
              <w:rPr>
                <w:rFonts w:ascii="Arial" w:cs="Arial" w:eastAsia="Arial" w:hAnsi="Arial"/>
                <w:sz w:val="16"/>
                <w:szCs w:val="16"/>
                <w:b w:val="1"/>
                <w:bCs w:val="1"/>
                <w:color w:val="auto"/>
                <w:w w:val="93"/>
              </w:rPr>
              <w:t xml:space="preserve">Time: </w:t>
            </w:r>
            <w:r>
              <w:rPr>
                <w:rFonts w:ascii="Arial" w:cs="Arial" w:eastAsia="Arial" w:hAnsi="Arial"/>
                <w:sz w:val="16"/>
                <w:szCs w:val="16"/>
                <w:color w:val="auto"/>
                <w:w w:val="93"/>
              </w:rPr>
              <w:t>8:00 a.m. EDT</w:t>
            </w:r>
          </w:p>
        </w:tc>
        <w:tc>
          <w:tcPr>
            <w:tcW w:w="0" w:type="dxa"/>
            <w:vAlign w:val="bottom"/>
          </w:tcPr>
          <w:p>
            <w:pPr>
              <w:spacing w:after="0"/>
              <w:rPr>
                <w:sz w:val="1"/>
                <w:szCs w:val="1"/>
                <w:color w:val="auto"/>
              </w:rPr>
            </w:pPr>
          </w:p>
        </w:tc>
      </w:tr>
      <w:tr>
        <w:trPr>
          <w:trHeight w:val="207"/>
        </w:trPr>
        <w:tc>
          <w:tcPr>
            <w:tcW w:w="3540" w:type="dxa"/>
            <w:vAlign w:val="bottom"/>
          </w:tcPr>
          <w:p>
            <w:pPr>
              <w:spacing w:after="0"/>
              <w:rPr>
                <w:sz w:val="17"/>
                <w:szCs w:val="17"/>
                <w:color w:val="auto"/>
              </w:rPr>
            </w:pPr>
          </w:p>
        </w:tc>
        <w:tc>
          <w:tcPr>
            <w:tcW w:w="4200" w:type="dxa"/>
            <w:vAlign w:val="bottom"/>
            <w:gridSpan w:val="3"/>
          </w:tcPr>
          <w:p>
            <w:pPr>
              <w:ind w:left="70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Chadbourne &amp; Parke LLP</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200" w:type="dxa"/>
            <w:vAlign w:val="bottom"/>
            <w:gridSpan w:val="3"/>
          </w:tcPr>
          <w:p>
            <w:pPr>
              <w:ind w:left="1640"/>
              <w:spacing w:after="0"/>
              <w:rPr>
                <w:sz w:val="20"/>
                <w:szCs w:val="20"/>
                <w:color w:val="auto"/>
              </w:rPr>
            </w:pPr>
            <w:r>
              <w:rPr>
                <w:rFonts w:ascii="Arial" w:cs="Arial" w:eastAsia="Arial" w:hAnsi="Arial"/>
                <w:sz w:val="16"/>
                <w:szCs w:val="16"/>
                <w:color w:val="auto"/>
              </w:rPr>
              <w:t>30 Rockefeller Plaza</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4200" w:type="dxa"/>
            <w:vAlign w:val="bottom"/>
            <w:gridSpan w:val="3"/>
          </w:tcPr>
          <w:p>
            <w:pPr>
              <w:ind w:left="1640"/>
              <w:spacing w:after="0"/>
              <w:rPr>
                <w:sz w:val="20"/>
                <w:szCs w:val="20"/>
                <w:color w:val="auto"/>
              </w:rPr>
            </w:pPr>
            <w:r>
              <w:rPr>
                <w:rFonts w:ascii="Arial" w:cs="Arial" w:eastAsia="Arial" w:hAnsi="Arial"/>
                <w:sz w:val="16"/>
                <w:szCs w:val="16"/>
                <w:color w:val="auto"/>
              </w:rPr>
              <w:t>Conference Room 3610</w:t>
            </w:r>
          </w:p>
        </w:tc>
        <w:tc>
          <w:tcPr>
            <w:tcW w:w="0" w:type="dxa"/>
            <w:vAlign w:val="bottom"/>
          </w:tcPr>
          <w:p>
            <w:pPr>
              <w:spacing w:after="0"/>
              <w:rPr>
                <w:sz w:val="1"/>
                <w:szCs w:val="1"/>
                <w:color w:val="auto"/>
              </w:rPr>
            </w:pPr>
          </w:p>
        </w:tc>
      </w:tr>
      <w:tr>
        <w:trPr>
          <w:trHeight w:val="206"/>
        </w:trPr>
        <w:tc>
          <w:tcPr>
            <w:tcW w:w="3540" w:type="dxa"/>
            <w:vAlign w:val="bottom"/>
          </w:tcPr>
          <w:p>
            <w:pPr>
              <w:spacing w:after="0"/>
              <w:rPr>
                <w:sz w:val="17"/>
                <w:szCs w:val="17"/>
                <w:color w:val="auto"/>
              </w:rPr>
            </w:pPr>
          </w:p>
        </w:tc>
        <w:tc>
          <w:tcPr>
            <w:tcW w:w="4200" w:type="dxa"/>
            <w:vAlign w:val="bottom"/>
            <w:gridSpan w:val="3"/>
          </w:tcPr>
          <w:p>
            <w:pPr>
              <w:ind w:left="1640"/>
              <w:spacing w:after="0"/>
              <w:rPr>
                <w:sz w:val="20"/>
                <w:szCs w:val="20"/>
                <w:color w:val="auto"/>
              </w:rPr>
            </w:pPr>
            <w:r>
              <w:rPr>
                <w:rFonts w:ascii="Arial" w:cs="Arial" w:eastAsia="Arial" w:hAnsi="Arial"/>
                <w:sz w:val="16"/>
                <w:szCs w:val="16"/>
                <w:color w:val="auto"/>
              </w:rPr>
              <w:t>New York, New York 10112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3251200</wp:posOffset>
            </wp:positionH>
            <wp:positionV relativeFrom="paragraph">
              <wp:posOffset>-1033145</wp:posOffset>
            </wp:positionV>
            <wp:extent cx="137160" cy="1708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70815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-381635</wp:posOffset>
            </wp:positionV>
            <wp:extent cx="114046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0460" cy="454660"/>
                    </a:xfrm>
                    <a:prstGeom prst="rect">
                      <a:avLst/>
                    </a:prstGeom>
                    <a:noFill/>
                  </pic:spPr>
                </pic:pic>
              </a:graphicData>
            </a:graphic>
          </wp:anchor>
        </w:drawing>
      </w:r>
    </w:p>
    <w:p>
      <w:pPr>
        <w:spacing w:after="0" w:line="80" w:lineRule="exact"/>
        <w:rPr>
          <w:sz w:val="24"/>
          <w:szCs w:val="24"/>
          <w:color w:val="auto"/>
        </w:rPr>
      </w:pPr>
    </w:p>
    <w:p>
      <w:pPr>
        <w:ind w:left="6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8"/>
          <w:szCs w:val="18"/>
          <w:color w:val="auto"/>
        </w:rPr>
        <w:t>9800 Northwest 41st Street, Suite 400</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Miami, FL 33178</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Attn: Corporate Secretary</w:t>
      </w:r>
    </w:p>
    <w:p>
      <w:pPr>
        <w:sectPr>
          <w:pgSz w:w="11900" w:h="16838" w:orient="portrait"/>
          <w:cols w:equalWidth="0" w:num="1">
            <w:col w:w="11360"/>
          </w:cols>
          <w:pgMar w:left="260" w:top="445" w:right="2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3416300</wp:posOffset>
            </wp:positionH>
            <wp:positionV relativeFrom="page">
              <wp:posOffset>88900</wp:posOffset>
            </wp:positionV>
            <wp:extent cx="35159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5995" cy="13716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7"/>
          <w:szCs w:val="17"/>
          <w:color w:val="auto"/>
        </w:rPr>
        <w:t>You are receiving this communication because you hold shares in the above</w:t>
      </w:r>
    </w:p>
    <w:p>
      <w:pPr>
        <w:spacing w:after="0" w:line="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named company.</w:t>
      </w:r>
    </w:p>
    <w:p>
      <w:pPr>
        <w:spacing w:after="0" w:line="211" w:lineRule="exact"/>
        <w:rPr>
          <w:sz w:val="20"/>
          <w:szCs w:val="20"/>
          <w:color w:val="auto"/>
        </w:rPr>
      </w:pPr>
    </w:p>
    <w:p>
      <w:pPr>
        <w:ind w:left="5540" w:right="100"/>
        <w:spacing w:after="0" w:line="302"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We encourage you to access and review all of the important information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contained in the proxy materials before voting.</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FFFFFF"/>
        </w:rPr>
        <w:t>See the reverse side of this notice to obtain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-111760</wp:posOffset>
            </wp:positionV>
            <wp:extent cx="384175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1750" cy="274320"/>
                    </a:xfrm>
                    <a:prstGeom prst="rect">
                      <a:avLst/>
                    </a:prstGeom>
                    <a:noFill/>
                  </pic:spPr>
                </pic:pic>
              </a:graphicData>
            </a:graphic>
          </wp:anchor>
        </w:drawing>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FFFFFF"/>
        </w:rPr>
        <w:t>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Before You Vote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4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0" w:type="dxa"/>
            <w:vAlign w:val="bottom"/>
            <w:gridSpan w:val="3"/>
          </w:tcPr>
          <w:p>
            <w:pPr>
              <w:jc w:val="center"/>
              <w:ind w:right="4600"/>
              <w:spacing w:after="0"/>
              <w:rPr>
                <w:sz w:val="20"/>
                <w:szCs w:val="20"/>
                <w:color w:val="auto"/>
              </w:rPr>
            </w:pPr>
            <w:r>
              <w:rPr>
                <w:rFonts w:ascii="Arial" w:cs="Arial" w:eastAsia="Arial" w:hAnsi="Arial"/>
                <w:sz w:val="14"/>
                <w:szCs w:val="14"/>
                <w:color w:val="auto"/>
                <w:w w:val="94"/>
              </w:rPr>
              <w:t>How to Access the Proxy Materials</w:t>
            </w:r>
          </w:p>
        </w:tc>
        <w:tc>
          <w:tcPr>
            <w:tcW w:w="0" w:type="dxa"/>
            <w:vAlign w:val="bottom"/>
          </w:tcPr>
          <w:p>
            <w:pPr>
              <w:spacing w:after="0"/>
              <w:rPr>
                <w:sz w:val="1"/>
                <w:szCs w:val="1"/>
                <w:color w:val="auto"/>
              </w:rPr>
            </w:pPr>
          </w:p>
        </w:tc>
      </w:tr>
      <w:tr>
        <w:trPr>
          <w:trHeight w:val="201"/>
        </w:trPr>
        <w:tc>
          <w:tcPr>
            <w:tcW w:w="462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gridSpan w:val="2"/>
          </w:tcPr>
          <w:p>
            <w:pPr>
              <w:ind w:left="640"/>
              <w:spacing w:after="0"/>
              <w:rPr>
                <w:sz w:val="20"/>
                <w:szCs w:val="20"/>
                <w:color w:val="auto"/>
              </w:rPr>
            </w:pPr>
            <w:r>
              <w:rPr>
                <w:rFonts w:ascii="Arial" w:cs="Arial" w:eastAsia="Arial" w:hAnsi="Arial"/>
                <w:sz w:val="14"/>
                <w:szCs w:val="14"/>
                <w:b w:val="1"/>
                <w:bCs w:val="1"/>
                <w:color w:val="auto"/>
              </w:rPr>
              <w:t>Proxy Materials Available to VIEW or RECEIVE:</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620" w:type="dxa"/>
            <w:vAlign w:val="bottom"/>
            <w:gridSpan w:val="2"/>
          </w:tcPr>
          <w:p>
            <w:pPr>
              <w:ind w:left="640"/>
              <w:spacing w:after="0"/>
              <w:rPr>
                <w:sz w:val="20"/>
                <w:szCs w:val="20"/>
                <w:color w:val="auto"/>
              </w:rPr>
            </w:pPr>
            <w:r>
              <w:rPr>
                <w:rFonts w:ascii="Arial" w:cs="Arial" w:eastAsia="Arial" w:hAnsi="Arial"/>
                <w:sz w:val="14"/>
                <w:szCs w:val="14"/>
                <w:color w:val="auto"/>
              </w:rPr>
              <w:t>1. Notice &amp; Proxy Statement   2. Annual Report</w:t>
            </w: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gridSpan w:val="2"/>
          </w:tcPr>
          <w:p>
            <w:pPr>
              <w:ind w:left="640"/>
              <w:spacing w:after="0"/>
              <w:rPr>
                <w:sz w:val="20"/>
                <w:szCs w:val="20"/>
                <w:color w:val="auto"/>
              </w:rPr>
            </w:pPr>
            <w:r>
              <w:rPr>
                <w:rFonts w:ascii="Arial" w:cs="Arial" w:eastAsia="Arial" w:hAnsi="Arial"/>
                <w:sz w:val="14"/>
                <w:szCs w:val="14"/>
                <w:b w:val="1"/>
                <w:bCs w:val="1"/>
                <w:color w:val="auto"/>
              </w:rPr>
              <w:t>How to View Online:</w:t>
            </w: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20" w:type="dxa"/>
            <w:vAlign w:val="bottom"/>
            <w:gridSpan w:val="2"/>
          </w:tcPr>
          <w:p>
            <w:pPr>
              <w:ind w:left="640"/>
              <w:spacing w:after="0"/>
              <w:rPr>
                <w:sz w:val="20"/>
                <w:szCs w:val="20"/>
                <w:color w:val="auto"/>
              </w:rPr>
            </w:pPr>
            <w:r>
              <w:rPr>
                <w:rFonts w:ascii="Arial" w:cs="Arial" w:eastAsia="Arial" w:hAnsi="Arial"/>
                <w:sz w:val="14"/>
                <w:szCs w:val="14"/>
                <w:color w:val="auto"/>
                <w:w w:val="95"/>
              </w:rPr>
              <w:t>Have the information that is printed in the box marked by the arrow</w:t>
            </w:r>
          </w:p>
        </w:tc>
        <w:tc>
          <w:tcPr>
            <w:tcW w:w="300" w:type="dxa"/>
            <w:vAlign w:val="bottom"/>
          </w:tcPr>
          <w:p>
            <w:pPr>
              <w:spacing w:after="0"/>
              <w:rPr>
                <w:sz w:val="16"/>
                <w:szCs w:val="16"/>
                <w:color w:val="auto"/>
              </w:rPr>
            </w:pPr>
          </w:p>
        </w:tc>
        <w:tc>
          <w:tcPr>
            <w:tcW w:w="6500" w:type="dxa"/>
            <w:vAlign w:val="bottom"/>
            <w:gridSpan w:val="2"/>
          </w:tcPr>
          <w:p>
            <w:pPr>
              <w:ind w:left="1280"/>
              <w:spacing w:after="0"/>
              <w:rPr>
                <w:sz w:val="20"/>
                <w:szCs w:val="20"/>
                <w:color w:val="auto"/>
              </w:rPr>
            </w:pPr>
            <w:r>
              <w:rPr>
                <w:rFonts w:ascii="Arial" w:cs="Arial" w:eastAsia="Arial" w:hAnsi="Arial"/>
                <w:sz w:val="14"/>
                <w:szCs w:val="14"/>
                <w:color w:val="auto"/>
              </w:rPr>
              <w:t xml:space="preserve">(located on the following page) and visit: </w:t>
            </w:r>
            <w:r>
              <w:rPr>
                <w:rFonts w:ascii="Arial" w:cs="Arial" w:eastAsia="Arial" w:hAnsi="Arial"/>
                <w:sz w:val="14"/>
                <w:szCs w:val="14"/>
                <w:i w:val="1"/>
                <w:iCs w:val="1"/>
                <w:color w:val="auto"/>
              </w:rPr>
              <w:t>www.proxyvote.com.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246620" cy="2289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89810"/>
                    </a:xfrm>
                    <a:prstGeom prst="rect">
                      <a:avLst/>
                    </a:prstGeom>
                    <a:noFill/>
                  </pic:spPr>
                </pic:pic>
              </a:graphicData>
            </a:graphic>
          </wp:anchor>
        </w:drawing>
      </w:r>
    </w:p>
    <w:p>
      <w:pPr>
        <w:ind w:left="640"/>
        <w:spacing w:after="0" w:line="221" w:lineRule="auto"/>
        <w:rPr>
          <w:sz w:val="20"/>
          <w:szCs w:val="20"/>
          <w:color w:val="auto"/>
        </w:rPr>
      </w:pPr>
      <w:r>
        <w:rPr>
          <w:rFonts w:ascii="Arial" w:cs="Arial" w:eastAsia="Arial" w:hAnsi="Arial"/>
          <w:sz w:val="14"/>
          <w:szCs w:val="14"/>
          <w:b w:val="1"/>
          <w:bCs w:val="1"/>
          <w:color w:val="auto"/>
        </w:rPr>
        <w:t>How to Request and Receive a PAPER or E-MAIL Copy:</w:t>
      </w:r>
    </w:p>
    <w:p>
      <w:pPr>
        <w:ind w:left="640" w:right="460"/>
        <w:spacing w:after="0" w:line="237" w:lineRule="auto"/>
        <w:rPr>
          <w:sz w:val="20"/>
          <w:szCs w:val="20"/>
          <w:color w:val="auto"/>
        </w:rPr>
      </w:pPr>
      <w:r>
        <w:rPr>
          <w:rFonts w:ascii="Arial" w:cs="Arial" w:eastAsia="Arial" w:hAnsi="Arial"/>
          <w:sz w:val="14"/>
          <w:szCs w:val="14"/>
          <w:color w:val="auto"/>
        </w:rPr>
        <w:t>You must request a paper or e-mail copy of these documents, you must request one. There is NO charge for requesting a copy. Please choose one of the following methods to make your request:</w:t>
      </w:r>
    </w:p>
    <w:p>
      <w:pPr>
        <w:spacing w:after="0" w:line="3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4"/>
                <w:szCs w:val="14"/>
                <w:color w:val="auto"/>
                <w:w w:val="79"/>
              </w:rPr>
              <w:t>1)</w:t>
            </w:r>
          </w:p>
        </w:tc>
        <w:tc>
          <w:tcPr>
            <w:tcW w:w="1280" w:type="dxa"/>
            <w:vAlign w:val="bottom"/>
          </w:tcPr>
          <w:p>
            <w:pPr>
              <w:spacing w:after="0"/>
              <w:rPr>
                <w:sz w:val="20"/>
                <w:szCs w:val="20"/>
                <w:color w:val="auto"/>
              </w:rPr>
            </w:pPr>
            <w:r>
              <w:rPr>
                <w:rFonts w:ascii="Arial" w:cs="Arial" w:eastAsia="Arial" w:hAnsi="Arial"/>
                <w:sz w:val="14"/>
                <w:szCs w:val="14"/>
                <w:i w:val="1"/>
                <w:iCs w:val="1"/>
                <w:color w:val="auto"/>
              </w:rPr>
              <w:t>BY INTERNET</w:t>
            </w:r>
            <w:r>
              <w:rPr>
                <w:rFonts w:ascii="Arial" w:cs="Arial" w:eastAsia="Arial" w:hAnsi="Arial"/>
                <w:sz w:val="14"/>
                <w:szCs w:val="14"/>
                <w:color w:val="auto"/>
              </w:rPr>
              <w:t>:</w:t>
            </w:r>
          </w:p>
        </w:tc>
        <w:tc>
          <w:tcPr>
            <w:tcW w:w="1920" w:type="dxa"/>
            <w:vAlign w:val="bottom"/>
          </w:tcPr>
          <w:p>
            <w:pPr>
              <w:ind w:left="200"/>
              <w:spacing w:after="0"/>
              <w:rPr>
                <w:sz w:val="20"/>
                <w:szCs w:val="20"/>
                <w:color w:val="auto"/>
              </w:rPr>
            </w:pPr>
            <w:r>
              <w:rPr>
                <w:rFonts w:ascii="Arial" w:cs="Arial" w:eastAsia="Arial" w:hAnsi="Arial"/>
                <w:sz w:val="14"/>
                <w:szCs w:val="14"/>
                <w:color w:val="auto"/>
              </w:rPr>
              <w:t>www.proxyvote.com</w:t>
            </w: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9"/>
              </w:rPr>
              <w:t>2)</w:t>
            </w:r>
          </w:p>
        </w:tc>
        <w:tc>
          <w:tcPr>
            <w:tcW w:w="1280" w:type="dxa"/>
            <w:vAlign w:val="bottom"/>
          </w:tcPr>
          <w:p>
            <w:pPr>
              <w:spacing w:after="0" w:line="149" w:lineRule="exact"/>
              <w:rPr>
                <w:sz w:val="20"/>
                <w:szCs w:val="20"/>
                <w:color w:val="auto"/>
              </w:rPr>
            </w:pPr>
            <w:r>
              <w:rPr>
                <w:rFonts w:ascii="Arial" w:cs="Arial" w:eastAsia="Arial" w:hAnsi="Arial"/>
                <w:sz w:val="14"/>
                <w:szCs w:val="14"/>
                <w:i w:val="1"/>
                <w:iCs w:val="1"/>
                <w:color w:val="auto"/>
              </w:rPr>
              <w:t>BY TELEPHONE</w:t>
            </w:r>
            <w:r>
              <w:rPr>
                <w:rFonts w:ascii="Arial" w:cs="Arial" w:eastAsia="Arial" w:hAnsi="Arial"/>
                <w:sz w:val="14"/>
                <w:szCs w:val="14"/>
                <w:color w:val="auto"/>
              </w:rPr>
              <w:t>:</w:t>
            </w:r>
          </w:p>
        </w:tc>
        <w:tc>
          <w:tcPr>
            <w:tcW w:w="1920" w:type="dxa"/>
            <w:vAlign w:val="bottom"/>
          </w:tcPr>
          <w:p>
            <w:pPr>
              <w:ind w:left="200"/>
              <w:spacing w:after="0" w:line="149" w:lineRule="exact"/>
              <w:rPr>
                <w:sz w:val="20"/>
                <w:szCs w:val="20"/>
                <w:color w:val="auto"/>
              </w:rPr>
            </w:pPr>
            <w:r>
              <w:rPr>
                <w:rFonts w:ascii="Arial" w:cs="Arial" w:eastAsia="Arial" w:hAnsi="Arial"/>
                <w:sz w:val="14"/>
                <w:szCs w:val="14"/>
                <w:color w:val="auto"/>
              </w:rPr>
              <w:t>1-800-579-1639</w:t>
            </w:r>
          </w:p>
        </w:tc>
      </w:tr>
      <w:tr>
        <w:trPr>
          <w:trHeight w:val="182"/>
        </w:trPr>
        <w:tc>
          <w:tcPr>
            <w:tcW w:w="140" w:type="dxa"/>
            <w:vAlign w:val="bottom"/>
          </w:tcPr>
          <w:p>
            <w:pPr>
              <w:jc w:val="right"/>
              <w:spacing w:after="0"/>
              <w:rPr>
                <w:sz w:val="20"/>
                <w:szCs w:val="20"/>
                <w:color w:val="auto"/>
              </w:rPr>
            </w:pPr>
            <w:r>
              <w:rPr>
                <w:rFonts w:ascii="Arial" w:cs="Arial" w:eastAsia="Arial" w:hAnsi="Arial"/>
                <w:sz w:val="14"/>
                <w:szCs w:val="14"/>
                <w:color w:val="auto"/>
                <w:w w:val="79"/>
              </w:rPr>
              <w:t>3)</w:t>
            </w:r>
          </w:p>
        </w:tc>
        <w:tc>
          <w:tcPr>
            <w:tcW w:w="1280" w:type="dxa"/>
            <w:vAlign w:val="bottom"/>
          </w:tcPr>
          <w:p>
            <w:pPr>
              <w:spacing w:after="0"/>
              <w:rPr>
                <w:sz w:val="20"/>
                <w:szCs w:val="20"/>
                <w:color w:val="auto"/>
              </w:rPr>
            </w:pPr>
            <w:r>
              <w:rPr>
                <w:rFonts w:ascii="Arial" w:cs="Arial" w:eastAsia="Arial" w:hAnsi="Arial"/>
                <w:sz w:val="14"/>
                <w:szCs w:val="14"/>
                <w:i w:val="1"/>
                <w:iCs w:val="1"/>
                <w:color w:val="auto"/>
              </w:rPr>
              <w:t>BY E-MAIL*</w:t>
            </w:r>
            <w:r>
              <w:rPr>
                <w:rFonts w:ascii="Arial" w:cs="Arial" w:eastAsia="Arial" w:hAnsi="Arial"/>
                <w:sz w:val="14"/>
                <w:szCs w:val="14"/>
                <w:color w:val="auto"/>
              </w:rPr>
              <w:t>:</w:t>
            </w:r>
          </w:p>
        </w:tc>
        <w:tc>
          <w:tcPr>
            <w:tcW w:w="1920" w:type="dxa"/>
            <w:vAlign w:val="bottom"/>
          </w:tcPr>
          <w:p>
            <w:pPr>
              <w:ind w:left="200"/>
              <w:spacing w:after="0"/>
              <w:rPr>
                <w:sz w:val="20"/>
                <w:szCs w:val="20"/>
                <w:color w:val="auto"/>
              </w:rPr>
            </w:pPr>
            <w:r>
              <w:rPr>
                <w:rFonts w:ascii="Arial" w:cs="Arial" w:eastAsia="Arial" w:hAnsi="Arial"/>
                <w:sz w:val="14"/>
                <w:szCs w:val="14"/>
                <w:color w:val="auto"/>
                <w:w w:val="91"/>
              </w:rPr>
              <w:t>sendmaterial@proxyvote.com</w:t>
            </w:r>
          </w:p>
        </w:tc>
      </w:tr>
    </w:tbl>
    <w:p>
      <w:pPr>
        <w:spacing w:after="0" w:line="182" w:lineRule="exact"/>
        <w:rPr>
          <w:sz w:val="20"/>
          <w:szCs w:val="20"/>
          <w:color w:val="auto"/>
        </w:rPr>
      </w:pPr>
    </w:p>
    <w:p>
      <w:pPr>
        <w:ind w:left="640"/>
        <w:spacing w:after="0"/>
        <w:tabs>
          <w:tab w:leader="none" w:pos="9780" w:val="left"/>
        </w:tabs>
        <w:rPr>
          <w:sz w:val="20"/>
          <w:szCs w:val="20"/>
          <w:color w:val="auto"/>
        </w:rPr>
      </w:pPr>
      <w:r>
        <w:rPr>
          <w:rFonts w:ascii="Arial" w:cs="Arial" w:eastAsia="Arial" w:hAnsi="Arial"/>
          <w:sz w:val="14"/>
          <w:szCs w:val="14"/>
          <w:color w:val="auto"/>
        </w:rPr>
        <w:t>* If requesting materials by e-mail, please send a blank e-mail with the information that is printed in the box marked by the arrow</w:t>
      </w:r>
      <w:r>
        <w:rPr>
          <w:sz w:val="20"/>
          <w:szCs w:val="20"/>
          <w:color w:val="auto"/>
        </w:rPr>
        <w:tab/>
      </w:r>
      <w:r>
        <w:rPr>
          <w:rFonts w:ascii="Arial" w:cs="Arial" w:eastAsia="Arial" w:hAnsi="Arial"/>
          <w:sz w:val="12"/>
          <w:szCs w:val="12"/>
          <w:color w:val="auto"/>
        </w:rPr>
        <w:t>(located on the</w:t>
      </w:r>
    </w:p>
    <w:p>
      <w:pPr>
        <w:ind w:left="640"/>
        <w:spacing w:after="0"/>
        <w:rPr>
          <w:sz w:val="20"/>
          <w:szCs w:val="20"/>
          <w:color w:val="auto"/>
        </w:rPr>
      </w:pPr>
      <w:r>
        <w:rPr>
          <w:rFonts w:ascii="Arial" w:cs="Arial" w:eastAsia="Arial" w:hAnsi="Arial"/>
          <w:sz w:val="14"/>
          <w:szCs w:val="14"/>
          <w:color w:val="auto"/>
        </w:rPr>
        <w:t>following page) in the subject line.</w:t>
      </w:r>
    </w:p>
    <w:p>
      <w:pPr>
        <w:spacing w:after="0" w:line="57" w:lineRule="exact"/>
        <w:rPr>
          <w:sz w:val="20"/>
          <w:szCs w:val="20"/>
          <w:color w:val="auto"/>
        </w:rPr>
      </w:pPr>
    </w:p>
    <w:p>
      <w:pPr>
        <w:ind w:left="640" w:right="580"/>
        <w:spacing w:after="0" w:line="253" w:lineRule="auto"/>
        <w:rPr>
          <w:sz w:val="20"/>
          <w:szCs w:val="20"/>
          <w:color w:val="auto"/>
        </w:rPr>
      </w:pPr>
      <w:r>
        <w:rPr>
          <w:rFonts w:ascii="Arial" w:cs="Arial" w:eastAsia="Arial" w:hAnsi="Arial"/>
          <w:sz w:val="14"/>
          <w:szCs w:val="14"/>
          <w:color w:val="auto"/>
        </w:rPr>
        <w:t>Requests, instructions and other inquiries sent to this e-mail address will NOT be forwarded to your investment advisor. Please make the request as instructed above on or before May 17, 2013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763270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-86995</wp:posOffset>
            </wp:positionV>
            <wp:extent cx="4467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917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17575"/>
                    </a:xfrm>
                    <a:prstGeom prst="rect">
                      <a:avLst/>
                    </a:prstGeom>
                    <a:noFill/>
                  </pic:spPr>
                </pic:pic>
              </a:graphicData>
            </a:graphic>
          </wp:anchor>
        </w:drawing>
      </w:r>
    </w:p>
    <w:p>
      <w:pPr>
        <w:spacing w:after="0" w:line="397" w:lineRule="exact"/>
        <w:rPr>
          <w:sz w:val="20"/>
          <w:szCs w:val="20"/>
          <w:color w:val="auto"/>
        </w:rPr>
      </w:pPr>
    </w:p>
    <w:p>
      <w:pPr>
        <w:ind w:left="620" w:right="760"/>
        <w:spacing w:after="0" w:line="297" w:lineRule="auto"/>
        <w:rPr>
          <w:sz w:val="20"/>
          <w:szCs w:val="20"/>
          <w:color w:val="auto"/>
        </w:rPr>
      </w:pPr>
      <w:r>
        <w:rPr>
          <w:rFonts w:ascii="Arial" w:cs="Arial" w:eastAsia="Arial" w:hAnsi="Arial"/>
          <w:sz w:val="13"/>
          <w:szCs w:val="13"/>
          <w:b w:val="1"/>
          <w:bCs w:val="1"/>
          <w:color w:val="auto"/>
        </w:rPr>
        <w:t xml:space="preserve">Vote In Person: </w:t>
      </w:r>
      <w:r>
        <w:rPr>
          <w:rFonts w:ascii="Arial" w:cs="Arial" w:eastAsia="Arial" w:hAnsi="Arial"/>
          <w:sz w:val="13"/>
          <w:szCs w:val="13"/>
          <w:color w:val="auto"/>
        </w:rPr>
        <w:t>Many shareholder meetings have attendance requirements including, but not limited to, the possession of an attendance ticket issued by the entity holding the</w:t>
      </w:r>
      <w:r>
        <w:rPr>
          <w:rFonts w:ascii="Arial" w:cs="Arial" w:eastAsia="Arial" w:hAnsi="Arial"/>
          <w:sz w:val="13"/>
          <w:szCs w:val="13"/>
          <w:b w:val="1"/>
          <w:bCs w:val="1"/>
          <w:color w:val="auto"/>
        </w:rPr>
        <w:t xml:space="preserve"> </w:t>
      </w:r>
      <w:r>
        <w:rPr>
          <w:rFonts w:ascii="Arial" w:cs="Arial" w:eastAsia="Arial" w:hAnsi="Arial"/>
          <w:sz w:val="13"/>
          <w:szCs w:val="13"/>
          <w:color w:val="auto"/>
        </w:rPr>
        <w:t>meeting. Please check the meeting materials for any special requirements for meeting attendance. At the meeting, you will need to request a ballot to vote these shares.</w:t>
      </w:r>
    </w:p>
    <w:p>
      <w:pPr>
        <w:sectPr>
          <w:pgSz w:w="11900" w:h="16858" w:orient="portrait"/>
          <w:cols w:equalWidth="0" w:num="1">
            <w:col w:w="11420"/>
          </w:cols>
          <w:pgMar w:left="240" w:top="773" w:right="239" w:bottom="0" w:gutter="0" w:footer="0" w:header="0"/>
        </w:sectPr>
      </w:pPr>
    </w:p>
    <w:p>
      <w:pPr>
        <w:spacing w:after="0" w:line="76" w:lineRule="exact"/>
        <w:rPr>
          <w:sz w:val="20"/>
          <w:szCs w:val="20"/>
          <w:color w:val="auto"/>
        </w:rPr>
      </w:pPr>
    </w:p>
    <w:p>
      <w:pPr>
        <w:ind w:left="620" w:right="940"/>
        <w:spacing w:after="0" w:line="259" w:lineRule="auto"/>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To vote now by Internet, go to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Have the information that is printed in the box marked by the arrow</w:t>
      </w:r>
      <w:r>
        <w:rPr>
          <w:rFonts w:ascii="Arial" w:cs="Arial" w:eastAsia="Arial" w:hAnsi="Arial"/>
          <w:sz w:val="14"/>
          <w:szCs w:val="14"/>
          <w:b w:val="1"/>
          <w:bCs w:val="1"/>
          <w:color w:val="auto"/>
        </w:rPr>
        <w:t xml:space="preserve"> </w:t>
      </w:r>
      <w:r>
        <w:rPr>
          <w:rFonts w:ascii="Arial" w:cs="Arial" w:eastAsia="Arial" w:hAnsi="Arial"/>
          <w:sz w:val="14"/>
          <w:szCs w:val="14"/>
          <w:color w:val="auto"/>
        </w:rPr>
        <w:t>and follow the instructions.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available</w:t>
      </w:r>
    </w:p>
    <w:p>
      <w:pPr>
        <w:spacing w:after="0" w:line="224" w:lineRule="exact"/>
        <w:rPr>
          <w:sz w:val="20"/>
          <w:szCs w:val="20"/>
          <w:color w:val="auto"/>
        </w:rPr>
      </w:pPr>
    </w:p>
    <w:p>
      <w:pPr>
        <w:sectPr>
          <w:pgSz w:w="11900" w:h="16858" w:orient="portrait"/>
          <w:cols w:equalWidth="0" w:num="2">
            <w:col w:w="9560" w:space="720"/>
            <w:col w:w="1140"/>
          </w:cols>
          <w:pgMar w:left="240" w:top="773" w:right="239" w:bottom="0" w:gutter="0" w:footer="0" w:header="0"/>
          <w:type w:val="continuous"/>
        </w:sectPr>
      </w:pPr>
    </w:p>
    <w:p>
      <w:pPr>
        <w:ind w:left="620"/>
        <w:spacing w:after="0"/>
        <w:rPr>
          <w:sz w:val="20"/>
          <w:szCs w:val="20"/>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You can vote by mail by requesting a paper copy of the materials, which will include a proxy card.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30" w:type="dxa"/>
        <w:tblCellMar>
          <w:top w:w="0" w:type="dxa"/>
          <w:left w:w="0" w:type="dxa"/>
          <w:bottom w:w="0" w:type="dxa"/>
          <w:right w:w="0" w:type="dxa"/>
        </w:tblCellMar>
      </w:tblPr>
      <w:tr>
        <w:trPr>
          <w:trHeight w:val="162"/>
        </w:trPr>
        <w:tc>
          <w:tcPr>
            <w:tcW w:w="380" w:type="dxa"/>
            <w:vAlign w:val="bottom"/>
            <w:tcBorders>
              <w:top w:val="single" w:sz="8" w:color="auto"/>
              <w:left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3240" w:type="dxa"/>
            <w:vAlign w:val="bottom"/>
            <w:tcBorders>
              <w:top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4"/>
                <w:szCs w:val="14"/>
                <w:b w:val="1"/>
                <w:bCs w:val="1"/>
                <w:color w:val="auto"/>
              </w:rPr>
              <w:t>Voting Items</w:t>
            </w:r>
          </w:p>
        </w:tc>
        <w:tc>
          <w:tcPr>
            <w:tcW w:w="2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4120" w:type="dxa"/>
            <w:vAlign w:val="bottom"/>
            <w:gridSpan w:val="3"/>
          </w:tcPr>
          <w:p>
            <w:pPr>
              <w:ind w:left="80"/>
              <w:spacing w:after="0"/>
              <w:rPr>
                <w:sz w:val="20"/>
                <w:szCs w:val="20"/>
                <w:color w:val="auto"/>
              </w:rPr>
            </w:pPr>
            <w:r>
              <w:rPr>
                <w:rFonts w:ascii="Arial" w:cs="Arial" w:eastAsia="Arial" w:hAnsi="Arial"/>
                <w:sz w:val="14"/>
                <w:szCs w:val="14"/>
                <w:b w:val="1"/>
                <w:bCs w:val="1"/>
                <w:color w:val="auto"/>
                <w:w w:val="92"/>
              </w:rPr>
              <w:t>The Board of Directors recommends you vote FOR the Nominees</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20" w:type="dxa"/>
            <w:vAlign w:val="bottom"/>
            <w:gridSpan w:val="3"/>
          </w:tcPr>
          <w:p>
            <w:pPr>
              <w:ind w:left="80"/>
              <w:spacing w:after="0"/>
              <w:rPr>
                <w:sz w:val="20"/>
                <w:szCs w:val="20"/>
                <w:color w:val="auto"/>
              </w:rPr>
            </w:pPr>
            <w:r>
              <w:rPr>
                <w:rFonts w:ascii="Arial" w:cs="Arial" w:eastAsia="Arial" w:hAnsi="Arial"/>
                <w:sz w:val="14"/>
                <w:szCs w:val="14"/>
                <w:b w:val="1"/>
                <w:bCs w:val="1"/>
                <w:color w:val="auto"/>
              </w:rPr>
              <w:t>listed in Proposal 1 and a Vote FOR Proposals 2, 3 and 4:</w:t>
            </w:r>
          </w:p>
        </w:tc>
        <w:tc>
          <w:tcPr>
            <w:tcW w:w="26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3740" w:type="dxa"/>
            <w:vAlign w:val="bottom"/>
            <w:gridSpan w:val="2"/>
            <w:vMerge w:val="restart"/>
          </w:tcPr>
          <w:p>
            <w:pPr>
              <w:ind w:left="200"/>
              <w:spacing w:after="0"/>
              <w:rPr>
                <w:sz w:val="20"/>
                <w:szCs w:val="20"/>
                <w:color w:val="auto"/>
              </w:rPr>
            </w:pPr>
            <w:r>
              <w:rPr>
                <w:rFonts w:ascii="Arial" w:cs="Arial" w:eastAsia="Arial" w:hAnsi="Arial"/>
                <w:sz w:val="14"/>
                <w:szCs w:val="14"/>
                <w:color w:val="auto"/>
              </w:rPr>
              <w:t>Election of Directors</w:t>
            </w:r>
          </w:p>
        </w:tc>
        <w:tc>
          <w:tcPr>
            <w:tcW w:w="264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4020" w:type="dxa"/>
            <w:vAlign w:val="bottom"/>
            <w:gridSpan w:val="2"/>
            <w:vMerge w:val="restart"/>
          </w:tcPr>
          <w:p>
            <w:pPr>
              <w:ind w:left="140"/>
              <w:spacing w:after="0"/>
              <w:rPr>
                <w:sz w:val="20"/>
                <w:szCs w:val="20"/>
                <w:color w:val="auto"/>
              </w:rPr>
            </w:pPr>
            <w:r>
              <w:rPr>
                <w:rFonts w:ascii="Arial" w:cs="Arial" w:eastAsia="Arial" w:hAnsi="Arial"/>
                <w:sz w:val="14"/>
                <w:szCs w:val="14"/>
                <w:color w:val="auto"/>
              </w:rPr>
              <w:t>Approval of the non-binding, advisory resolution regarding</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0" w:type="dxa"/>
            <w:vAlign w:val="bottom"/>
            <w:vMerge w:val="continue"/>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3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Nominees:</w:t>
            </w:r>
          </w:p>
        </w:tc>
        <w:tc>
          <w:tcPr>
            <w:tcW w:w="2640" w:type="dxa"/>
            <w:vAlign w:val="bottom"/>
          </w:tcPr>
          <w:p>
            <w:pPr>
              <w:spacing w:after="0"/>
              <w:rPr>
                <w:sz w:val="15"/>
                <w:szCs w:val="15"/>
                <w:color w:val="auto"/>
              </w:rPr>
            </w:pPr>
          </w:p>
        </w:tc>
        <w:tc>
          <w:tcPr>
            <w:tcW w:w="4040" w:type="dxa"/>
            <w:vAlign w:val="bottom"/>
            <w:gridSpan w:val="3"/>
          </w:tcPr>
          <w:p>
            <w:pPr>
              <w:ind w:left="14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01</w:t>
            </w:r>
          </w:p>
        </w:tc>
        <w:tc>
          <w:tcPr>
            <w:tcW w:w="3240" w:type="dxa"/>
            <w:vAlign w:val="bottom"/>
          </w:tcPr>
          <w:p>
            <w:pPr>
              <w:ind w:left="200"/>
              <w:spacing w:after="0"/>
              <w:rPr>
                <w:sz w:val="20"/>
                <w:szCs w:val="20"/>
                <w:color w:val="auto"/>
              </w:rPr>
            </w:pPr>
            <w:r>
              <w:rPr>
                <w:rFonts w:ascii="Arial" w:cs="Arial" w:eastAsia="Arial" w:hAnsi="Arial"/>
                <w:sz w:val="14"/>
                <w:szCs w:val="14"/>
                <w:color w:val="auto"/>
              </w:rPr>
              <w:t>Michael J. Kasbar</w:t>
            </w:r>
          </w:p>
        </w:tc>
        <w:tc>
          <w:tcPr>
            <w:tcW w:w="26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4040" w:type="dxa"/>
            <w:vAlign w:val="bottom"/>
            <w:gridSpan w:val="3"/>
          </w:tcPr>
          <w:p>
            <w:pPr>
              <w:ind w:left="140"/>
              <w:spacing w:after="0"/>
              <w:rPr>
                <w:sz w:val="20"/>
                <w:szCs w:val="20"/>
                <w:color w:val="auto"/>
              </w:rPr>
            </w:pPr>
            <w:r>
              <w:rPr>
                <w:rFonts w:ascii="Arial" w:cs="Arial" w:eastAsia="Arial" w:hAnsi="Arial"/>
                <w:sz w:val="14"/>
                <w:szCs w:val="14"/>
                <w:color w:val="auto"/>
              </w:rPr>
              <w:t>Ratification of the appointment of PricewaterhouseCoopers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LLP as the Company’s independent registered certified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02</w:t>
            </w:r>
          </w:p>
        </w:tc>
        <w:tc>
          <w:tcPr>
            <w:tcW w:w="3240" w:type="dxa"/>
            <w:vAlign w:val="bottom"/>
          </w:tcPr>
          <w:p>
            <w:pPr>
              <w:ind w:left="200"/>
              <w:spacing w:after="0" w:line="149" w:lineRule="exact"/>
              <w:rPr>
                <w:sz w:val="20"/>
                <w:szCs w:val="20"/>
                <w:color w:val="auto"/>
              </w:rPr>
            </w:pPr>
            <w:r>
              <w:rPr>
                <w:rFonts w:ascii="Arial" w:cs="Arial" w:eastAsia="Arial" w:hAnsi="Arial"/>
                <w:sz w:val="14"/>
                <w:szCs w:val="14"/>
                <w:color w:val="auto"/>
              </w:rPr>
              <w:t>Paul Stebbins</w:t>
            </w:r>
          </w:p>
        </w:tc>
        <w:tc>
          <w:tcPr>
            <w:tcW w:w="2640" w:type="dxa"/>
            <w:vAlign w:val="bottom"/>
          </w:tcPr>
          <w:p>
            <w:pPr>
              <w:spacing w:after="0"/>
              <w:rPr>
                <w:sz w:val="12"/>
                <w:szCs w:val="12"/>
                <w:color w:val="auto"/>
              </w:rPr>
            </w:pPr>
          </w:p>
        </w:tc>
        <w:tc>
          <w:tcPr>
            <w:tcW w:w="40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accounting firm for the 2013 fiscal year.</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03</w:t>
            </w:r>
          </w:p>
        </w:tc>
        <w:tc>
          <w:tcPr>
            <w:tcW w:w="3240" w:type="dxa"/>
            <w:vAlign w:val="bottom"/>
          </w:tcPr>
          <w:p>
            <w:pPr>
              <w:ind w:left="200"/>
              <w:spacing w:after="0"/>
              <w:rPr>
                <w:sz w:val="20"/>
                <w:szCs w:val="20"/>
                <w:color w:val="auto"/>
              </w:rPr>
            </w:pPr>
            <w:r>
              <w:rPr>
                <w:rFonts w:ascii="Arial" w:cs="Arial" w:eastAsia="Arial" w:hAnsi="Arial"/>
                <w:sz w:val="14"/>
                <w:szCs w:val="14"/>
                <w:color w:val="auto"/>
              </w:rPr>
              <w:t>Ken Bakshi</w:t>
            </w:r>
          </w:p>
        </w:tc>
        <w:tc>
          <w:tcPr>
            <w:tcW w:w="26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04</w:t>
            </w:r>
          </w:p>
        </w:tc>
        <w:tc>
          <w:tcPr>
            <w:tcW w:w="3240" w:type="dxa"/>
            <w:vAlign w:val="bottom"/>
          </w:tcPr>
          <w:p>
            <w:pPr>
              <w:ind w:left="200"/>
              <w:spacing w:after="0"/>
              <w:rPr>
                <w:sz w:val="20"/>
                <w:szCs w:val="20"/>
                <w:color w:val="auto"/>
              </w:rPr>
            </w:pPr>
            <w:r>
              <w:rPr>
                <w:rFonts w:ascii="Arial" w:cs="Arial" w:eastAsia="Arial" w:hAnsi="Arial"/>
                <w:sz w:val="14"/>
                <w:szCs w:val="14"/>
                <w:color w:val="auto"/>
              </w:rPr>
              <w:t>Richard A. Kassar</w:t>
            </w:r>
          </w:p>
        </w:tc>
        <w:tc>
          <w:tcPr>
            <w:tcW w:w="2640" w:type="dxa"/>
            <w:vAlign w:val="bottom"/>
          </w:tcPr>
          <w:p>
            <w:pPr>
              <w:spacing w:after="0"/>
              <w:rPr>
                <w:sz w:val="22"/>
                <w:szCs w:val="22"/>
                <w:color w:val="auto"/>
              </w:rPr>
            </w:pPr>
          </w:p>
        </w:tc>
        <w:tc>
          <w:tcPr>
            <w:tcW w:w="4040" w:type="dxa"/>
            <w:vAlign w:val="bottom"/>
            <w:gridSpan w:val="3"/>
          </w:tcPr>
          <w:p>
            <w:pPr>
              <w:ind w:left="140"/>
              <w:spacing w:after="0"/>
              <w:rPr>
                <w:sz w:val="20"/>
                <w:szCs w:val="20"/>
                <w:color w:val="auto"/>
              </w:rPr>
            </w:pPr>
            <w:r>
              <w:rPr>
                <w:rFonts w:ascii="Arial" w:cs="Arial" w:eastAsia="Arial" w:hAnsi="Arial"/>
                <w:sz w:val="14"/>
                <w:szCs w:val="14"/>
                <w:color w:val="auto"/>
              </w:rPr>
              <w:t>Approval and adoption of the World Fuel Services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6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40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Corporation 2008 Executive Incentive Plan, as restated</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05</w:t>
            </w:r>
          </w:p>
        </w:tc>
        <w:tc>
          <w:tcPr>
            <w:tcW w:w="3240" w:type="dxa"/>
            <w:vAlign w:val="bottom"/>
          </w:tcPr>
          <w:p>
            <w:pPr>
              <w:ind w:left="200"/>
              <w:spacing w:after="0"/>
              <w:rPr>
                <w:sz w:val="20"/>
                <w:szCs w:val="20"/>
                <w:color w:val="auto"/>
              </w:rPr>
            </w:pPr>
            <w:r>
              <w:rPr>
                <w:rFonts w:ascii="Arial" w:cs="Arial" w:eastAsia="Arial" w:hAnsi="Arial"/>
                <w:sz w:val="14"/>
                <w:szCs w:val="14"/>
                <w:color w:val="auto"/>
              </w:rPr>
              <w:t>Myles Klein</w:t>
            </w:r>
          </w:p>
        </w:tc>
        <w:tc>
          <w:tcPr>
            <w:tcW w:w="2640" w:type="dxa"/>
            <w:vAlign w:val="bottom"/>
          </w:tcPr>
          <w:p>
            <w:pPr>
              <w:spacing w:after="0"/>
              <w:rPr>
                <w:sz w:val="15"/>
                <w:szCs w:val="15"/>
                <w:color w:val="auto"/>
              </w:rPr>
            </w:pPr>
          </w:p>
        </w:tc>
        <w:tc>
          <w:tcPr>
            <w:tcW w:w="4040" w:type="dxa"/>
            <w:vAlign w:val="bottom"/>
            <w:gridSpan w:val="3"/>
          </w:tcPr>
          <w:p>
            <w:pPr>
              <w:ind w:left="140"/>
              <w:spacing w:after="0"/>
              <w:rPr>
                <w:sz w:val="20"/>
                <w:szCs w:val="20"/>
                <w:color w:val="auto"/>
              </w:rPr>
            </w:pPr>
            <w:r>
              <w:rPr>
                <w:rFonts w:ascii="Arial" w:cs="Arial" w:eastAsia="Arial" w:hAnsi="Arial"/>
                <w:sz w:val="14"/>
                <w:szCs w:val="14"/>
                <w:color w:val="auto"/>
              </w:rPr>
              <w:t>effective as of January 1, 2013.</w:t>
            </w: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06</w:t>
            </w:r>
          </w:p>
        </w:tc>
        <w:tc>
          <w:tcPr>
            <w:tcW w:w="3240" w:type="dxa"/>
            <w:vAlign w:val="bottom"/>
          </w:tcPr>
          <w:p>
            <w:pPr>
              <w:ind w:left="200"/>
              <w:spacing w:after="0"/>
              <w:rPr>
                <w:sz w:val="20"/>
                <w:szCs w:val="20"/>
                <w:color w:val="auto"/>
              </w:rPr>
            </w:pPr>
            <w:r>
              <w:rPr>
                <w:rFonts w:ascii="Arial" w:cs="Arial" w:eastAsia="Arial" w:hAnsi="Arial"/>
                <w:sz w:val="14"/>
                <w:szCs w:val="14"/>
                <w:color w:val="auto"/>
              </w:rPr>
              <w:t>John Manley</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07</w:t>
            </w:r>
          </w:p>
        </w:tc>
        <w:tc>
          <w:tcPr>
            <w:tcW w:w="3240" w:type="dxa"/>
            <w:vAlign w:val="bottom"/>
          </w:tcPr>
          <w:p>
            <w:pPr>
              <w:ind w:left="200"/>
              <w:spacing w:after="0"/>
              <w:rPr>
                <w:sz w:val="20"/>
                <w:szCs w:val="20"/>
                <w:color w:val="auto"/>
              </w:rPr>
            </w:pPr>
            <w:r>
              <w:rPr>
                <w:rFonts w:ascii="Arial" w:cs="Arial" w:eastAsia="Arial" w:hAnsi="Arial"/>
                <w:sz w:val="14"/>
                <w:szCs w:val="14"/>
                <w:color w:val="auto"/>
              </w:rPr>
              <w:t>J. Thomas Presby</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08</w:t>
            </w:r>
          </w:p>
        </w:tc>
        <w:tc>
          <w:tcPr>
            <w:tcW w:w="3240" w:type="dxa"/>
            <w:vAlign w:val="bottom"/>
          </w:tcPr>
          <w:p>
            <w:pPr>
              <w:ind w:left="200"/>
              <w:spacing w:after="0"/>
              <w:rPr>
                <w:sz w:val="20"/>
                <w:szCs w:val="20"/>
                <w:color w:val="auto"/>
              </w:rPr>
            </w:pPr>
            <w:r>
              <w:rPr>
                <w:rFonts w:ascii="Arial" w:cs="Arial" w:eastAsia="Arial" w:hAnsi="Arial"/>
                <w:sz w:val="14"/>
                <w:szCs w:val="14"/>
                <w:color w:val="auto"/>
              </w:rPr>
              <w:t>Stephen K. Roddenberry</w:t>
            </w:r>
          </w:p>
        </w:tc>
        <w:tc>
          <w:tcPr>
            <w:tcW w:w="2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400" w:right="200"/>
        <w:spacing w:after="0"/>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In their discretion, the proxies are authorized to vote upon any other matter coming before the meeting. THIS PROXY, WHEN PROPERLY EXECUTED, WILL</w:t>
      </w:r>
      <w:r>
        <w:rPr>
          <w:rFonts w:ascii="Arial" w:cs="Arial" w:eastAsia="Arial" w:hAnsi="Arial"/>
          <w:sz w:val="14"/>
          <w:szCs w:val="14"/>
          <w:b w:val="1"/>
          <w:bCs w:val="1"/>
          <w:color w:val="auto"/>
        </w:rPr>
        <w:t xml:space="preserve"> </w:t>
      </w:r>
      <w:r>
        <w:rPr>
          <w:rFonts w:ascii="Arial" w:cs="Arial" w:eastAsia="Arial" w:hAnsi="Arial"/>
          <w:sz w:val="14"/>
          <w:szCs w:val="14"/>
          <w:color w:val="auto"/>
        </w:rPr>
        <w:t>BE VOTED IN THE MANNER DIRECTED HEREIN BY THE UNDERSIGNED SHAREHOLDER. IF NO DIRECTION IS MADE, THE PROXY WILL BE VOTED FOR ALL NOMINEES AND ON ALL OTHER PROPOSALS AS DESCRIBED IN THE PROXY STATEMENT.</w:t>
      </w:r>
    </w:p>
    <w:p>
      <w:pPr>
        <w:sectPr>
          <w:pgSz w:w="11900" w:h="16858" w:orient="portrait"/>
          <w:cols w:equalWidth="0" w:num="1">
            <w:col w:w="11420"/>
          </w:cols>
          <w:pgMar w:left="240" w:top="773" w:right="239" w:bottom="0" w:gutter="0" w:footer="0" w:header="0"/>
          <w:type w:val="continuous"/>
        </w:sectPr>
      </w:pPr>
    </w:p>
    <w:bookmarkStart w:id="2" w:name="page3"/>
    <w:bookmarkEnd w:id="2"/>
    <w:p>
      <w:pPr>
        <w:jc w:val="both"/>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7009765</wp:posOffset>
            </wp:positionH>
            <wp:positionV relativeFrom="page">
              <wp:posOffset>1830070</wp:posOffset>
            </wp:positionV>
            <wp:extent cx="403225"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225" cy="19748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2230755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2019-12-05T23:35:07Z</dcterms:created>
  <dcterms:modified xsi:type="dcterms:W3CDTF">2019-12-05T23:35:07Z</dcterms:modified>
</cp:coreProperties>
</file>