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1-9533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6420" w:type="dxa"/>
            <w:vAlign w:val="bottom"/>
          </w:tcPr>
          <w:p>
            <w:pPr>
              <w:ind w:left="2520"/>
              <w:spacing w:after="0"/>
              <w:rPr>
                <w:sz w:val="20"/>
                <w:szCs w:val="20"/>
                <w:color w:val="auto"/>
              </w:rPr>
            </w:pPr>
            <w:r>
              <w:rPr>
                <w:rFonts w:ascii="Arial" w:cs="Arial" w:eastAsia="Arial" w:hAnsi="Arial"/>
                <w:sz w:val="18"/>
                <w:szCs w:val="18"/>
                <w:color w:val="auto"/>
                <w:w w:val="94"/>
              </w:rPr>
              <w:t>(Exact name of registrant as specified in its charter)</w:t>
            </w:r>
          </w:p>
        </w:tc>
        <w:tc>
          <w:tcPr>
            <w:tcW w:w="1540" w:type="dxa"/>
            <w:vAlign w:val="bottom"/>
          </w:tcPr>
          <w:p>
            <w:pPr>
              <w:spacing w:after="0"/>
              <w:rPr>
                <w:sz w:val="20"/>
                <w:szCs w:val="20"/>
                <w:color w:val="auto"/>
              </w:rPr>
            </w:pPr>
          </w:p>
        </w:tc>
      </w:tr>
      <w:tr>
        <w:trPr>
          <w:trHeight w:val="402"/>
        </w:trPr>
        <w:tc>
          <w:tcPr>
            <w:tcW w:w="64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6"/>
              </w:rPr>
              <w:t>Florida</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6420" w:type="dxa"/>
            <w:vAlign w:val="bottom"/>
          </w:tcPr>
          <w:p>
            <w:pPr>
              <w:jc w:val="center"/>
              <w:ind w:right="339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420" w:type="dxa"/>
            <w:vAlign w:val="bottom"/>
          </w:tcPr>
          <w:p>
            <w:pPr>
              <w:jc w:val="center"/>
              <w:ind w:right="339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20" w:type="dxa"/>
            <w:vAlign w:val="bottom"/>
          </w:tcPr>
          <w:p>
            <w:pPr>
              <w:jc w:val="center"/>
              <w:ind w:right="33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23"/>
                <w:szCs w:val="23"/>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1540" w:type="dxa"/>
            <w:vAlign w:val="bottom"/>
          </w:tcPr>
          <w:p>
            <w:pPr>
              <w:spacing w:after="0"/>
              <w:rPr>
                <w:sz w:val="24"/>
                <w:szCs w:val="24"/>
                <w:color w:val="auto"/>
              </w:rPr>
            </w:pPr>
          </w:p>
        </w:tc>
      </w:tr>
      <w:tr>
        <w:trPr>
          <w:trHeight w:val="220"/>
        </w:trPr>
        <w:tc>
          <w:tcPr>
            <w:tcW w:w="64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7"/>
              </w:rPr>
              <w:t>Miami, Florida</w:t>
            </w: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33178</w:t>
            </w:r>
          </w:p>
        </w:tc>
      </w:tr>
      <w:tr>
        <w:trPr>
          <w:trHeight w:val="230"/>
        </w:trPr>
        <w:tc>
          <w:tcPr>
            <w:tcW w:w="6420" w:type="dxa"/>
            <w:vAlign w:val="bottom"/>
          </w:tcPr>
          <w:p>
            <w:pPr>
              <w:jc w:val="center"/>
              <w:ind w:right="339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sectPr>
      </w:pPr>
    </w:p>
    <w:p>
      <w:pPr>
        <w:spacing w:after="0" w:line="170"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registrant had a total of 72,623,000 shares of common stock, par value $0.01 per share, issued and outstanding as of April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720" w:type="dxa"/>
            <w:vAlign w:val="bottom"/>
          </w:tcPr>
          <w:p>
            <w:pPr>
              <w:spacing w:after="0"/>
              <w:rPr>
                <w:sz w:val="17"/>
                <w:szCs w:val="17"/>
                <w:color w:val="auto"/>
              </w:rPr>
            </w:pPr>
          </w:p>
        </w:tc>
      </w:tr>
      <w:tr>
        <w:trPr>
          <w:trHeight w:val="45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20" w:type="dxa"/>
            <w:vAlign w:val="bottom"/>
          </w:tcPr>
          <w:p>
            <w:pPr>
              <w:jc w:val="right"/>
              <w:ind w:right="4930"/>
              <w:spacing w:after="0"/>
              <w:rPr>
                <w:sz w:val="20"/>
                <w:szCs w:val="20"/>
                <w:color w:val="auto"/>
              </w:rPr>
            </w:pPr>
            <w:r>
              <w:rPr>
                <w:rFonts w:ascii="Arial" w:cs="Arial" w:eastAsia="Arial" w:hAnsi="Arial"/>
                <w:sz w:val="18"/>
                <w:szCs w:val="18"/>
                <w:b w:val="1"/>
                <w:bCs w:val="1"/>
                <w:color w:val="auto"/>
              </w:rPr>
              <w:t>Table of Contents</w:t>
            </w:r>
          </w:p>
        </w:tc>
      </w:tr>
      <w:tr>
        <w:trPr>
          <w:trHeight w:val="392"/>
        </w:trPr>
        <w:tc>
          <w:tcPr>
            <w:tcW w:w="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29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7720" w:type="dxa"/>
            <w:vAlign w:val="bottom"/>
          </w:tcPr>
          <w:p>
            <w:pPr>
              <w:spacing w:after="0"/>
              <w:rPr>
                <w:sz w:val="24"/>
                <w:szCs w:val="24"/>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General</w:t>
              </w:r>
            </w:hyperlink>
          </w:p>
        </w:tc>
        <w:tc>
          <w:tcPr>
            <w:tcW w:w="100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7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38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Financial Statements (Unaudited)</w:t>
              </w:r>
            </w:hyperlink>
          </w:p>
        </w:tc>
        <w:tc>
          <w:tcPr>
            <w:tcW w:w="664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60" w:type="dxa"/>
            <w:vAlign w:val="bottom"/>
            <w:gridSpan w:val="10"/>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March 31, 2013 and December 31, 2012</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and Comprehensive Income for the Three Months ended March 31, 2013 and 2012</w:t>
              </w:r>
            </w:hyperlink>
          </w:p>
        </w:tc>
        <w:tc>
          <w:tcPr>
            <w:tcW w:w="4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5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Shareholders’ Equity for the Three Months ended March 31, 2013 and 2012</w:t>
              </w:r>
            </w:hyperlink>
          </w:p>
        </w:tc>
        <w:tc>
          <w:tcPr>
            <w:tcW w:w="156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Cash Flows for the Three Months ended March 31, 2013 and 2012</w:t>
              </w:r>
            </w:hyperlink>
          </w:p>
        </w:tc>
        <w:tc>
          <w:tcPr>
            <w:tcW w:w="224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Consolidated Financial Statements</w:t>
              </w:r>
            </w:hyperlink>
          </w:p>
        </w:tc>
        <w:tc>
          <w:tcPr>
            <w:tcW w:w="564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2.</w:t>
              </w:r>
            </w:hyperlink>
          </w:p>
        </w:tc>
        <w:tc>
          <w:tcPr>
            <w:tcW w:w="380" w:type="dxa"/>
            <w:vAlign w:val="bottom"/>
          </w:tcPr>
          <w:p>
            <w:pPr>
              <w:spacing w:after="0"/>
              <w:rPr>
                <w:sz w:val="24"/>
                <w:szCs w:val="24"/>
                <w:color w:val="auto"/>
              </w:rPr>
            </w:pPr>
          </w:p>
        </w:tc>
        <w:tc>
          <w:tcPr>
            <w:tcW w:w="64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2"/>
        </w:trPr>
        <w:tc>
          <w:tcPr>
            <w:tcW w:w="900" w:type="dxa"/>
            <w:vAlign w:val="bottom"/>
            <w:tcBorders>
              <w:bottom w:val="single" w:sz="8" w:color="0000EE"/>
            </w:tcBorders>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w:t>
              </w:r>
            </w:hyperlink>
          </w:p>
        </w:tc>
        <w:tc>
          <w:tcPr>
            <w:tcW w:w="43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Quantitative and Qualitative Disclosures About Market Risk</w:t>
              </w:r>
            </w:hyperlink>
          </w:p>
        </w:tc>
        <w:tc>
          <w:tcPr>
            <w:tcW w:w="470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380" w:type="dxa"/>
            <w:vAlign w:val="bottom"/>
          </w:tcPr>
          <w:p>
            <w:pPr>
              <w:spacing w:after="0"/>
              <w:rPr>
                <w:sz w:val="24"/>
                <w:szCs w:val="24"/>
                <w:color w:val="auto"/>
              </w:rPr>
            </w:pPr>
          </w:p>
        </w:tc>
        <w:tc>
          <w:tcPr>
            <w:tcW w:w="906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Part II.</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Other Information</w:t>
        </w:r>
      </w:hyperlink>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380" w:type="dxa"/>
            <w:vAlign w:val="bottom"/>
          </w:tcPr>
          <w:p>
            <w:pPr>
              <w:spacing w:after="0"/>
              <w:rPr>
                <w:sz w:val="17"/>
                <w:szCs w:val="17"/>
                <w:color w:val="auto"/>
              </w:rPr>
            </w:pPr>
          </w:p>
        </w:tc>
        <w:tc>
          <w:tcPr>
            <w:tcW w:w="43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380" w:type="dxa"/>
            <w:vAlign w:val="bottom"/>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Exhibits</w:t>
              </w:r>
            </w:hyperlink>
          </w:p>
        </w:tc>
        <w:tc>
          <w:tcPr>
            <w:tcW w:w="3740" w:type="dxa"/>
            <w:vAlign w:val="bottom"/>
          </w:tcPr>
          <w:p>
            <w:pPr>
              <w:spacing w:after="0"/>
              <w:rPr>
                <w:sz w:val="24"/>
                <w:szCs w:val="24"/>
                <w:color w:val="auto"/>
              </w:rPr>
            </w:pPr>
          </w:p>
        </w:tc>
        <w:tc>
          <w:tcPr>
            <w:tcW w:w="53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following unaudited consolidated financial statements and notes thereto of World Fuel Services Corporation and its subsidiaries have been prepared in accordance with the instructions to Quarterly Reports on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which are of a normal and recurring nature, have been made for the interim periods reported. Results of operations for the three months ended March 31, 2013 are not necessarily indicative of the results for the entire fiscal year. The unaudited consolidated financial statements and notes thereto included in this Quarterly Report on Form 10-Q for the quarterly period ended March 31, 2013 (“10-Q Report”) should be read in conjunction with the audited consolidated financial statements and notes thereto included in our Annual Report on Form 10-K for the fiscal year ended December 31, 2012 (“2012 10-K Report”). World Fuel Services Corporation (“World Fuel” or the “Company”) and its subsidiaries are collectively referred to in this 10-Q Report as “we,” “our” and “us.”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9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2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0"/>
              </w:rPr>
              <w:t>World Fuel Services Corporation and Subsidiaries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82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87"/>
              </w:rPr>
              <w:t>Consolidated Balance Sheets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20" w:type="dxa"/>
            <w:vAlign w:val="bottom"/>
            <w:gridSpan w:val="2"/>
          </w:tcPr>
          <w:p>
            <w:pPr>
              <w:jc w:val="center"/>
              <w:ind w:right="750"/>
              <w:spacing w:after="0"/>
              <w:rPr>
                <w:sz w:val="20"/>
                <w:szCs w:val="20"/>
                <w:color w:val="auto"/>
              </w:rPr>
            </w:pPr>
            <w:r>
              <w:rPr>
                <w:rFonts w:ascii="Arial" w:cs="Arial" w:eastAsia="Arial" w:hAnsi="Arial"/>
                <w:sz w:val="18"/>
                <w:szCs w:val="18"/>
                <w:color w:val="auto"/>
                <w:w w:val="89"/>
              </w:rPr>
              <w:t>(Unaudited - In thousands, except per share data)</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1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92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2,494,373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2,193,866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634,057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Prepaid expenses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112,430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180,488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4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3,580,948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gridSpan w:val="2"/>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119,636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9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468,456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w w:val="91"/>
              </w:rPr>
              <w:t>Identifiable intangible and other non-current assets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240,217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243,343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4,409,257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6"/>
              </w:rPr>
              <w:t>Liabilities:</w:t>
            </w:r>
          </w:p>
        </w:tc>
        <w:tc>
          <w:tcPr>
            <w:tcW w:w="29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4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2,185,325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Accrued expenses and other current liabilities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283,654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4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2,497,341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2,149,298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248,312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Non-current income tax liabilities, net</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59,459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2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2,817,144</w:t>
            </w:r>
          </w:p>
        </w:tc>
        <w:tc>
          <w:tcPr>
            <w:tcW w:w="3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2,566,127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World Fuel shareholders’ equity:</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Preferred stock, $1.00 par value; 100 shares authorized, none issued</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100,000 shares authorized, 72,583 and 72,147 issued and outstanding as of</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2013 and December 31, 2012, respectively</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518,598</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517,589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1,060,932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(14,978)</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(16,018)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World Fuel shareholders’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1,565,277</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1,517,174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Noncontrolling interest equity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26,836</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1,592,113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1,541,624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4,409,257</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4,107,751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 except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 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10,184,029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9,479,055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Cost of revenue</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10,001,650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9,321,820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182,379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69,429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Provision for bad debt</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1,103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44,906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19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66,941</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spacing w:after="0" w:line="196" w:lineRule="exact"/>
              <w:rPr>
                <w:sz w:val="20"/>
                <w:szCs w:val="20"/>
                <w:color w:val="auto"/>
              </w:rPr>
            </w:pPr>
            <w:r>
              <w:rPr>
                <w:rFonts w:ascii="Arial" w:cs="Arial" w:eastAsia="Arial" w:hAnsi="Arial"/>
                <w:sz w:val="18"/>
                <w:szCs w:val="18"/>
                <w:color w:val="auto"/>
              </w:rPr>
              <w:t>Non-operating expenses, net:</w:t>
            </w: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and other financing costs, net</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63,402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12,291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 including noncontrolling interest</w:t>
            </w:r>
          </w:p>
        </w:tc>
        <w:tc>
          <w:tcPr>
            <w:tcW w:w="1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51,111</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World Fuel</w:t>
            </w:r>
          </w:p>
        </w:tc>
        <w:tc>
          <w:tcPr>
            <w:tcW w:w="19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48,725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2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0.68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1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71,288</w:t>
            </w:r>
          </w:p>
        </w:tc>
        <w:tc>
          <w:tcPr>
            <w:tcW w:w="3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70,998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2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0.68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Diluted weighted average common shares</w:t>
            </w:r>
          </w:p>
        </w:tc>
        <w:tc>
          <w:tcPr>
            <w:tcW w:w="1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71,999</w:t>
            </w:r>
          </w:p>
        </w:tc>
        <w:tc>
          <w:tcPr>
            <w:tcW w:w="3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71,774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Comprehensive income:</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including noncontrolling interest</w:t>
            </w:r>
          </w:p>
        </w:tc>
        <w:tc>
          <w:tcPr>
            <w:tcW w:w="2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Cash flow hedges, net of income tax of $21</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1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Comprehensive income including noncontrolling interest</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52,151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Comprehensive income attributable to World Fuel</w:t>
            </w:r>
          </w:p>
        </w:tc>
        <w:tc>
          <w:tcPr>
            <w:tcW w:w="19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49,765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246"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46"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5"/>
              </w:rPr>
              <w:t>Capital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80" w:type="dxa"/>
            <w:vAlign w:val="bottom"/>
            <w:gridSpan w:val="8"/>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12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World Fuel</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gridSpan w:val="8"/>
            <w:vMerge w:val="continue"/>
          </w:tcPr>
          <w:p>
            <w:pPr>
              <w:spacing w:after="0"/>
              <w:rPr>
                <w:sz w:val="14"/>
                <w:szCs w:val="14"/>
                <w:color w:val="auto"/>
              </w:rPr>
            </w:pPr>
          </w:p>
        </w:tc>
        <w:tc>
          <w:tcPr>
            <w:tcW w:w="9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Excess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Shareholders’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240" w:type="dxa"/>
            <w:vAlign w:val="bottom"/>
            <w:gridSpan w:val="2"/>
          </w:tcPr>
          <w:p>
            <w:pPr>
              <w:jc w:val="center"/>
              <w:ind w:right="199"/>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2012</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72,147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517,589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1,014,882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(16,018)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1,541,624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48,725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48,725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51,111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dividends declared</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(2,675)</w:t>
            </w:r>
          </w:p>
        </w:tc>
        <w:tc>
          <w:tcPr>
            <w:tcW w:w="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Arial" w:cs="Arial" w:eastAsia="Arial" w:hAnsi="Arial"/>
                <w:sz w:val="16"/>
                <w:szCs w:val="16"/>
                <w:color w:val="auto"/>
              </w:rPr>
              <w:t>Amortization of share-based payment</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awards</w:t>
            </w:r>
          </w:p>
        </w:tc>
        <w:tc>
          <w:tcPr>
            <w:tcW w:w="6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3,748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Issuance of common stock related to</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share-based payment awards</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including income tax benefit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$1,721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Arial" w:cs="Arial" w:eastAsia="Arial" w:hAnsi="Arial"/>
                <w:sz w:val="16"/>
                <w:szCs w:val="16"/>
                <w:color w:val="auto"/>
              </w:rPr>
              <w:t>Purchases of common stock tendered</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by employees to satisfy the</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required withholding taxes related</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to share-based payment awards</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(4,456)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(4,456)</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comprehensive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1,040</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0"/>
        </w:trPr>
        <w:tc>
          <w:tcPr>
            <w:tcW w:w="2920" w:type="dxa"/>
            <w:vAlign w:val="bottom"/>
            <w:tcBorders>
              <w:right w:val="single" w:sz="8" w:color="auto"/>
            </w:tcBorders>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gridSpan w:val="2"/>
          </w:tcPr>
          <w:p>
            <w:pPr>
              <w:spacing w:after="0"/>
              <w:rPr>
                <w:sz w:val="20"/>
                <w:szCs w:val="20"/>
                <w:color w:val="auto"/>
              </w:rPr>
            </w:pPr>
            <w:r>
              <w:rPr>
                <w:rFonts w:ascii="Arial" w:cs="Arial" w:eastAsia="Arial" w:hAnsi="Arial"/>
                <w:sz w:val="16"/>
                <w:szCs w:val="16"/>
                <w:color w:val="auto"/>
              </w:rPr>
              <w:t>Balance as of March 31, 2013</w:t>
            </w:r>
          </w:p>
        </w:tc>
        <w:tc>
          <w:tcPr>
            <w:tcW w:w="540" w:type="dxa"/>
            <w:vAlign w:val="bottom"/>
          </w:tcPr>
          <w:p>
            <w:pPr>
              <w:jc w:val="right"/>
              <w:spacing w:after="0"/>
              <w:rPr>
                <w:sz w:val="20"/>
                <w:szCs w:val="20"/>
                <w:color w:val="auto"/>
              </w:rPr>
            </w:pPr>
            <w:r>
              <w:rPr>
                <w:rFonts w:ascii="Arial" w:cs="Arial" w:eastAsia="Arial" w:hAnsi="Arial"/>
                <w:sz w:val="16"/>
                <w:szCs w:val="16"/>
                <w:color w:val="auto"/>
              </w:rPr>
              <w:t>72,583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518,598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1,060,932</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(14,978</w:t>
            </w:r>
          </w:p>
        </w:tc>
        <w:tc>
          <w:tcPr>
            <w:tcW w:w="1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1,565,277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26,836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1,592,113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8"/>
              </w:rPr>
              <w:t>Capital in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4"/>
                <w:szCs w:val="2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80" w:type="dxa"/>
            <w:vAlign w:val="bottom"/>
            <w:gridSpan w:val="8"/>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2"/>
                <w:szCs w:val="12"/>
                <w:color w:val="auto"/>
              </w:rPr>
            </w:pPr>
          </w:p>
        </w:tc>
        <w:tc>
          <w:tcPr>
            <w:tcW w:w="12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World Fuel</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gridSpan w:val="8"/>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Excess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Shareholders’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2"/>
                <w:szCs w:val="12"/>
                <w:color w:val="auto"/>
              </w:rPr>
            </w:pPr>
          </w:p>
        </w:tc>
        <w:tc>
          <w:tcPr>
            <w:tcW w:w="1240" w:type="dxa"/>
            <w:vAlign w:val="bottom"/>
            <w:gridSpan w:val="2"/>
          </w:tcPr>
          <w:p>
            <w:pPr>
              <w:jc w:val="center"/>
              <w:ind w:right="199"/>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71,154</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502,551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836,222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(6,524)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1,332,961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1,346,718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46,415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46,415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48,546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dividends declared</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(2,664)</w:t>
            </w:r>
          </w:p>
        </w:tc>
        <w:tc>
          <w:tcPr>
            <w:tcW w:w="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(2,664)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160"/>
              <w:spacing w:after="0"/>
              <w:rPr>
                <w:sz w:val="20"/>
                <w:szCs w:val="20"/>
                <w:color w:val="auto"/>
              </w:rPr>
            </w:pPr>
            <w:r>
              <w:rPr>
                <w:rFonts w:ascii="Arial" w:cs="Arial" w:eastAsia="Arial" w:hAnsi="Arial"/>
                <w:sz w:val="16"/>
                <w:szCs w:val="16"/>
                <w:color w:val="auto"/>
              </w:rPr>
              <w:t>Distribution of noncontrolling interest</w:t>
            </w: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share-based payment</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awards</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2,435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Arial" w:cs="Arial" w:eastAsia="Arial" w:hAnsi="Arial"/>
                <w:sz w:val="16"/>
                <w:szCs w:val="16"/>
                <w:color w:val="auto"/>
              </w:rPr>
              <w:t>Issuance of common stock related to</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6"/>
                <w:szCs w:val="16"/>
                <w:color w:val="auto"/>
              </w:rPr>
              <w:t>share-based payment awards</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2,722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Purchases of common stock tendered</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8"/>
              </w:rPr>
              <w:t>by employees to satisfy the required</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withholding taxes related to share-</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based payment awards</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(4,072)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160"/>
              <w:spacing w:after="0"/>
              <w:rPr>
                <w:sz w:val="20"/>
                <w:szCs w:val="20"/>
                <w:color w:val="auto"/>
              </w:rPr>
            </w:pPr>
            <w:r>
              <w:rPr>
                <w:rFonts w:ascii="Arial" w:cs="Arial" w:eastAsia="Arial" w:hAnsi="Arial"/>
                <w:sz w:val="16"/>
                <w:szCs w:val="16"/>
                <w:color w:val="auto"/>
              </w:rPr>
              <w:t>Other comprehensive income</w:t>
            </w: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6"/>
                <w:szCs w:val="16"/>
                <w:color w:val="auto"/>
              </w:rPr>
              <w:t>2,807</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March 31, 2012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503,636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1,380,611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1,395,576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7"/>
              </w:rPr>
              <w:t>For the Three Months ended March 31,</w:t>
            </w:r>
          </w:p>
        </w:tc>
      </w:tr>
      <w:tr>
        <w:trPr>
          <w:trHeight w:val="142"/>
        </w:trPr>
        <w:tc>
          <w:tcPr>
            <w:tcW w:w="79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r>
      <w:tr>
        <w:trPr>
          <w:trHeight w:val="196"/>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Net income including noncontrolling interest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51,111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48,546</w:t>
            </w:r>
          </w:p>
        </w:tc>
      </w:tr>
      <w:tr>
        <w:trPr>
          <w:trHeight w:val="182"/>
        </w:trPr>
        <w:tc>
          <w:tcPr>
            <w:tcW w:w="796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w w:val="94"/>
              </w:rPr>
              <w:t>Adjustments to reconcile net income including noncontrolling interest to net cash provided by operating</w:t>
            </w: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796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10,848</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9,659</w:t>
            </w:r>
          </w:p>
        </w:tc>
      </w:tr>
      <w:tr>
        <w:trPr>
          <w:trHeight w:val="21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Provision for bad debt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r>
      <w:tr>
        <w:trPr>
          <w:trHeight w:val="216"/>
        </w:trPr>
        <w:tc>
          <w:tcPr>
            <w:tcW w:w="7960" w:type="dxa"/>
            <w:vAlign w:val="bottom"/>
          </w:tcPr>
          <w:p>
            <w:pPr>
              <w:ind w:left="540"/>
              <w:spacing w:after="0"/>
              <w:rPr>
                <w:sz w:val="20"/>
                <w:szCs w:val="20"/>
                <w:color w:val="auto"/>
              </w:rPr>
            </w:pPr>
            <w:r>
              <w:rPr>
                <w:rFonts w:ascii="Arial" w:cs="Arial" w:eastAsia="Arial" w:hAnsi="Arial"/>
                <w:sz w:val="18"/>
                <w:szCs w:val="18"/>
                <w:color w:val="auto"/>
              </w:rPr>
              <w:t>Share-based payment award compensation costs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3,872</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2,904</w:t>
            </w:r>
          </w:p>
        </w:tc>
      </w:tr>
      <w:tr>
        <w:trPr>
          <w:trHeight w:val="21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 provision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10,730</w:t>
            </w:r>
          </w:p>
        </w:tc>
      </w:tr>
      <w:tr>
        <w:trPr>
          <w:trHeight w:val="216"/>
        </w:trPr>
        <w:tc>
          <w:tcPr>
            <w:tcW w:w="7960" w:type="dxa"/>
            <w:vAlign w:val="bottom"/>
          </w:tcPr>
          <w:p>
            <w:pPr>
              <w:ind w:left="540"/>
              <w:spacing w:after="0"/>
              <w:rPr>
                <w:sz w:val="20"/>
                <w:szCs w:val="20"/>
                <w:color w:val="auto"/>
              </w:rPr>
            </w:pPr>
            <w:r>
              <w:rPr>
                <w:rFonts w:ascii="Arial" w:cs="Arial" w:eastAsia="Arial" w:hAnsi="Arial"/>
                <w:sz w:val="18"/>
                <w:szCs w:val="18"/>
                <w:color w:val="auto"/>
              </w:rPr>
              <w:t>Extinguishment of 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(3,490)</w:t>
            </w:r>
          </w:p>
        </w:tc>
      </w:tr>
      <w:tr>
        <w:trPr>
          <w:trHeight w:val="21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Foreign currency (gains) losses,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2,274</w:t>
            </w:r>
          </w:p>
        </w:tc>
      </w:tr>
      <w:tr>
        <w:trPr>
          <w:trHeight w:val="216"/>
        </w:trPr>
        <w:tc>
          <w:tcPr>
            <w:tcW w:w="7960" w:type="dxa"/>
            <w:vAlign w:val="bottom"/>
          </w:tcPr>
          <w:p>
            <w:pPr>
              <w:ind w:left="5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(743)</w:t>
            </w:r>
          </w:p>
        </w:tc>
      </w:tr>
      <w:tr>
        <w:trPr>
          <w:trHeight w:val="21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assets and liabilities, net of acquisitions: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960" w:type="dxa"/>
            <w:vAlign w:val="bottom"/>
          </w:tcPr>
          <w:p>
            <w:pPr>
              <w:ind w:left="90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(303,010)</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(127,281)</w:t>
            </w:r>
          </w:p>
        </w:tc>
      </w:tr>
      <w:tr>
        <w:trPr>
          <w:trHeight w:val="216"/>
        </w:trPr>
        <w:tc>
          <w:tcPr>
            <w:tcW w:w="79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(60,162)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23,010</w:t>
            </w:r>
          </w:p>
        </w:tc>
      </w:tr>
      <w:tr>
        <w:trPr>
          <w:trHeight w:val="216"/>
        </w:trPr>
        <w:tc>
          <w:tcPr>
            <w:tcW w:w="7960" w:type="dxa"/>
            <w:vAlign w:val="bottom"/>
          </w:tcPr>
          <w:p>
            <w:pPr>
              <w:ind w:left="90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45,876</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(63,607)</w:t>
            </w:r>
          </w:p>
        </w:tc>
      </w:tr>
      <w:tr>
        <w:trPr>
          <w:trHeight w:val="216"/>
        </w:trPr>
        <w:tc>
          <w:tcPr>
            <w:tcW w:w="79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14,266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(70,249)</w:t>
            </w:r>
          </w:p>
        </w:tc>
      </w:tr>
      <w:tr>
        <w:trPr>
          <w:trHeight w:val="216"/>
        </w:trPr>
        <w:tc>
          <w:tcPr>
            <w:tcW w:w="7960" w:type="dxa"/>
            <w:vAlign w:val="bottom"/>
          </w:tcPr>
          <w:p>
            <w:pPr>
              <w:ind w:left="900"/>
              <w:spacing w:after="0"/>
              <w:rPr>
                <w:sz w:val="20"/>
                <w:szCs w:val="20"/>
                <w:color w:val="auto"/>
              </w:rPr>
            </w:pPr>
            <w:r>
              <w:rPr>
                <w:rFonts w:ascii="Arial" w:cs="Arial" w:eastAsia="Arial" w:hAnsi="Arial"/>
                <w:sz w:val="18"/>
                <w:szCs w:val="18"/>
                <w:color w:val="auto"/>
              </w:rPr>
              <w:t>Cash collateral with financial counterparties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35,094</w:t>
            </w:r>
          </w:p>
        </w:tc>
      </w:tr>
      <w:tr>
        <w:trPr>
          <w:trHeight w:val="216"/>
        </w:trPr>
        <w:tc>
          <w:tcPr>
            <w:tcW w:w="79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r>
      <w:tr>
        <w:trPr>
          <w:trHeight w:val="216"/>
        </w:trPr>
        <w:tc>
          <w:tcPr>
            <w:tcW w:w="796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370,898</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143,990</w:t>
            </w:r>
          </w:p>
        </w:tc>
      </w:tr>
      <w:tr>
        <w:trPr>
          <w:trHeight w:val="216"/>
        </w:trPr>
        <w:tc>
          <w:tcPr>
            <w:tcW w:w="79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(26,249)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40,329</w:t>
            </w: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900"/>
              <w:spacing w:after="0"/>
              <w:rPr>
                <w:sz w:val="20"/>
                <w:szCs w:val="20"/>
                <w:color w:val="auto"/>
              </w:rPr>
            </w:pPr>
            <w:r>
              <w:rPr>
                <w:rFonts w:ascii="Arial" w:cs="Arial" w:eastAsia="Arial" w:hAnsi="Arial"/>
                <w:sz w:val="18"/>
                <w:szCs w:val="18"/>
                <w:color w:val="auto"/>
              </w:rPr>
              <w:t>Non-current income tax, net and other long-term liabilities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794</w:t>
            </w:r>
          </w:p>
        </w:tc>
        <w:tc>
          <w:tcPr>
            <w:tcW w:w="40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(2,795)</w:t>
            </w:r>
          </w:p>
        </w:tc>
      </w:tr>
      <w:tr>
        <w:trPr>
          <w:trHeight w:val="210"/>
        </w:trPr>
        <w:tc>
          <w:tcPr>
            <w:tcW w:w="80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109,510</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196"/>
        </w:trPr>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Acquisitions and other investments, net of cash acquired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(90)</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(12,949)</w:t>
            </w: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(3,948)</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(115)</w:t>
            </w:r>
          </w:p>
        </w:tc>
      </w:tr>
      <w:tr>
        <w:trPr>
          <w:trHeight w:val="210"/>
        </w:trPr>
        <w:tc>
          <w:tcPr>
            <w:tcW w:w="8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80" w:type="dxa"/>
            <w:vAlign w:val="bottom"/>
            <w:tcBorders>
              <w:top w:val="single" w:sz="8" w:color="CCEEFF"/>
            </w:tcBorders>
            <w:gridSpan w:val="2"/>
            <w:shd w:val="clear" w:color="auto" w:fill="CCEEFF"/>
          </w:tcPr>
          <w:p>
            <w:pPr>
              <w:spacing w:after="0"/>
              <w:rPr>
                <w:sz w:val="18"/>
                <w:szCs w:val="18"/>
                <w:color w:val="auto"/>
              </w:rPr>
            </w:pPr>
          </w:p>
        </w:tc>
      </w:tr>
      <w:tr>
        <w:trPr>
          <w:trHeight w:val="196"/>
        </w:trPr>
        <w:tc>
          <w:tcPr>
            <w:tcW w:w="8040" w:type="dxa"/>
            <w:vAlign w:val="bottom"/>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senior revolving credit facility and senior term loans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1,376,800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815,000</w:t>
            </w:r>
          </w:p>
        </w:tc>
        <w:tc>
          <w:tcPr>
            <w:tcW w:w="160" w:type="dxa"/>
            <w:vAlign w:val="bottom"/>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Repayments under senior revolving credit facility and senior term loans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(1,477,550)</w:t>
            </w:r>
          </w:p>
        </w:tc>
        <w:tc>
          <w:tcPr>
            <w:tcW w:w="4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(815,000)</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other debt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(2,901)</w:t>
            </w: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(1,492)</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Dividends paid on common stock</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(2,667)</w:t>
            </w:r>
          </w:p>
        </w:tc>
        <w:tc>
          <w:tcPr>
            <w:tcW w:w="4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(2,664)</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of noncontrolling interest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(923)</w:t>
            </w:r>
          </w:p>
        </w:tc>
      </w:tr>
      <w:tr>
        <w:trPr>
          <w:trHeight w:val="202"/>
        </w:trPr>
        <w:tc>
          <w:tcPr>
            <w:tcW w:w="8040" w:type="dxa"/>
            <w:vAlign w:val="bottom"/>
          </w:tcPr>
          <w:p>
            <w:pPr>
              <w:ind w:left="180"/>
              <w:spacing w:after="0" w:line="201" w:lineRule="exact"/>
              <w:rPr>
                <w:sz w:val="20"/>
                <w:szCs w:val="20"/>
                <w:color w:val="auto"/>
              </w:rPr>
            </w:pPr>
            <w:r>
              <w:rPr>
                <w:rFonts w:ascii="Arial" w:cs="Arial" w:eastAsia="Arial" w:hAnsi="Arial"/>
                <w:sz w:val="18"/>
                <w:szCs w:val="18"/>
                <w:color w:val="auto"/>
                <w:w w:val="92"/>
              </w:rPr>
              <w:t>Federal and state tax benefits resulting from tax deductions in excess of the compensation cost recognized</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for share-based payment awards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1,721</w:t>
            </w:r>
          </w:p>
        </w:tc>
        <w:tc>
          <w:tcPr>
            <w:tcW w:w="4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80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Purchases of common stock tendered by employees to satisfy the required withholding taxes related to</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 awards</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(4,456)</w:t>
            </w:r>
          </w:p>
        </w:tc>
        <w:tc>
          <w:tcPr>
            <w:tcW w:w="4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(4,072)</w:t>
            </w:r>
          </w:p>
        </w:tc>
      </w:tr>
      <w:tr>
        <w:trPr>
          <w:trHeight w:val="21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(109,053)</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(9,151)</w:t>
            </w:r>
          </w:p>
        </w:tc>
        <w:tc>
          <w:tcPr>
            <w:tcW w:w="180" w:type="dxa"/>
            <w:vAlign w:val="bottom"/>
            <w:tcBorders>
              <w:bottom w:val="single" w:sz="8" w:color="CCEEFF"/>
            </w:tcBorders>
            <w:gridSpan w:val="2"/>
          </w:tcPr>
          <w:p>
            <w:pPr>
              <w:spacing w:after="0"/>
              <w:rPr>
                <w:sz w:val="18"/>
                <w:szCs w:val="18"/>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beginning of period</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172,740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205,415</w:t>
            </w:r>
          </w:p>
        </w:tc>
        <w:tc>
          <w:tcPr>
            <w:tcW w:w="160" w:type="dxa"/>
            <w:vAlign w:val="bottom"/>
            <w:shd w:val="clear" w:color="auto" w:fill="CCEEFF"/>
          </w:tcPr>
          <w:p>
            <w:pPr>
              <w:spacing w:after="0"/>
              <w:rPr>
                <w:sz w:val="18"/>
                <w:szCs w:val="18"/>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8"/>
                <w:szCs w:val="18"/>
                <w:color w:val="auto"/>
              </w:rPr>
              <w:t>Cash and cash equivalents, as of end of period</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159,600</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242,593</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ind w:right="500" w:firstLine="252"/>
        <w:spacing w:after="0" w:line="277" w:lineRule="auto"/>
        <w:rPr>
          <w:sz w:val="20"/>
          <w:szCs w:val="20"/>
          <w:color w:val="auto"/>
        </w:rPr>
      </w:pPr>
      <w:r>
        <w:rPr>
          <w:rFonts w:ascii="Arial" w:cs="Arial" w:eastAsia="Arial" w:hAnsi="Arial"/>
          <w:sz w:val="18"/>
          <w:szCs w:val="18"/>
          <w:color w:val="auto"/>
        </w:rPr>
        <w:t>We declared cash dividends of $0.0375 per common share of $2.7 million for the three months ended March 31, 2013 and 2012, which were paid in April 2013 and 2012, respectively.</w:t>
      </w:r>
    </w:p>
    <w:p>
      <w:pPr>
        <w:spacing w:after="0" w:line="170" w:lineRule="exact"/>
        <w:rPr>
          <w:sz w:val="20"/>
          <w:szCs w:val="20"/>
          <w:color w:val="auto"/>
        </w:rPr>
      </w:pPr>
    </w:p>
    <w:p>
      <w:pPr>
        <w:ind w:right="460" w:firstLine="252"/>
        <w:spacing w:after="0" w:line="277" w:lineRule="auto"/>
        <w:rPr>
          <w:sz w:val="20"/>
          <w:szCs w:val="20"/>
          <w:color w:val="auto"/>
        </w:rPr>
      </w:pPr>
      <w:r>
        <w:rPr>
          <w:rFonts w:ascii="Arial" w:cs="Arial" w:eastAsia="Arial" w:hAnsi="Arial"/>
          <w:sz w:val="18"/>
          <w:szCs w:val="18"/>
          <w:color w:val="auto"/>
        </w:rPr>
        <w:t>In March 2012, we granted equity awards to certain employees of which $2.7 million was previously recorded in accrued expenses and other current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Except as updated below, the significant accounting policies we use for quarterly financial reporting are the same as those disclosed in Note 1 of the “Notes to the Consolidated Financial Statements” included in our 2012 10-K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accompanying consolidated financial statements and related notes include the accounts of our wholly-owned and majority-owned subsidiaries and joint ventures where we exercise operational control or have a primary benefit of its profits. All significant intercompany accounts, transactions and profits are eliminated upon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in prior periods have been reclassified to conform to the current period’s presentation.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have a Receivables Purchase Agreement (“RPA”) to sell up to $125.0 million of certain of our accounts receivable. On our sold receivables, we are charged a discount margin equivalent to a floating market rate plus 2% and certain other fees, as applicable and we retain a beneficial interest in certain of the sold accounts receivable which is included in accounts receivable, net in the accompanying consolidated balance sheets.</w:t>
      </w:r>
    </w:p>
    <w:p>
      <w:pPr>
        <w:spacing w:after="0" w:line="16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March 31, 2013, we had sold accounts receivable of $70.8 million and retained a beneficial interest of $4.8 million. During the three months ended March 31, 2013, the fees and interest paid under the receivables purchase agreement were not 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During the three months ended March 31, 2013, based on our ongoing fair value assessment of certain of our 2012 acquisitions, we recorded a $2.0 million reduction in goodwill within our land segment primarily due to a $3.3 million increase in identifiable intangible assets, partially offset by a $0.9 million decrease in other acquired assets and a $0.4 million increase in assumed liabilities. Additionally, we reclassified $6.5 million in goodwill from our land segment to our aviation segment.</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Recent Accounting Pronouncements</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line="6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Foreign Currency Matters Parent’s Accounting for the Cumulative Translation Adjustment upon Derecognition of Certain Foreign Subsidiaries.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2013, the Financial Accounting Standards Board (“FASB”) issued an accounting standards update (“ASU”) aimed at resolving the diversity in practice of accounting for the release of the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In addition, the amendments in this ASU resolve the diversity in practice for the treatment of business combinations achieved in stages (sometimes also referred to as step acquisitions) involving a foreign entity. This update is effective for fiscal years, and interim periods within those years, beginning after December 15, 2013. We are currently evaluating whether the adoption of this new guidance will have a significant impact on our consolidated financial statements and disclosures.</w:t>
      </w:r>
    </w:p>
    <w:p>
      <w:pPr>
        <w:spacing w:after="0" w:line="19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 xml:space="preserve">Disclosure Obligations Resulting from Joint and Several Liability Arrangements. </w:t>
      </w:r>
      <w:r>
        <w:rPr>
          <w:rFonts w:ascii="Arial" w:cs="Arial" w:eastAsia="Arial" w:hAnsi="Arial"/>
          <w:sz w:val="17"/>
          <w:szCs w:val="17"/>
          <w:color w:val="auto"/>
        </w:rPr>
        <w:t>In February 2013, the FASB issued an ASU clarifying the guidance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recognition, measurement and disclosure of obligations resulting from joint and several liability arrangements for which the total amount of the obligation within the scope of this ASU is fixed at the reporting date, except for obligations addressed within existing guidance in U.S. GAAP. This update is effective for fiscal years, and interim periods within those years, beginning after December 15, 2013. We are currently evaluating whether the adoption of this new guidance will have a significant impact on our consolidated financial statements and disclosures.</w:t>
      </w:r>
    </w:p>
    <w:p>
      <w:pPr>
        <w:spacing w:after="0" w:line="17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Disclosure Relating to Amounts Reclassified Out of Accumulated Other Comprehensive Income. </w:t>
      </w:r>
      <w:r>
        <w:rPr>
          <w:rFonts w:ascii="Arial" w:cs="Arial" w:eastAsia="Arial" w:hAnsi="Arial"/>
          <w:sz w:val="18"/>
          <w:szCs w:val="18"/>
          <w:color w:val="auto"/>
        </w:rPr>
        <w:t>In February 2013, the FASB issued an ASU amending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that companies will be required to present relating to reclassifications out of accumulated other comprehensive income. The amendments require presentation, either on the face of the financial statements or in the notes, of amounts reclassified out of accumulated other comprehensive income by component and by net income line item. This update is effective for fiscal years, and interim periods within those years, beginning after December 15, 2012. The adoption of this ASU resulted in additional derivative disclosures included in Note 2 - Derivatives and did not have a significant impact on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 xml:space="preserve">Disclosure About Offsetting Assets and Liabilities. </w:t>
      </w:r>
      <w:r>
        <w:rPr>
          <w:rFonts w:ascii="Arial" w:cs="Arial" w:eastAsia="Arial" w:hAnsi="Arial"/>
          <w:sz w:val="17"/>
          <w:szCs w:val="17"/>
          <w:color w:val="auto"/>
        </w:rPr>
        <w:t>In December 2011, the FASB issued an ASU which requires companies to disclose information about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that have been offset and related arrangements to enable users of its financial statements to understand the effect of those arrangements on its financial position. Companies will be required to provide both net (offset amounts) and gross information in the notes to the financial statements for relevant assets and liabilities that are offset. In January 2013, the FASB issued an ASU clarifying that the requirement to disclose information about financial instruments that have been offset and related arrangements applies only to derivatives, repurchase agreements and reverse purchase agreements, and securities borrowing and lending transactions that are either offset in accordance with specific criteria contained in the FASB Accounting Standards Codification or subject to a master netting arrangement or similar agreement. This update became effective at the beginning of our 2013 fiscal year. The adoption of this ASU did not have a significant impact on our consolidated financial statements and disclosures.</w:t>
      </w:r>
    </w:p>
    <w:p>
      <w:pPr>
        <w:spacing w:after="0" w:line="17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also entered into to hedge the risk of currency rate fluctuations.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March 31, 2013, our derivative instruments, at their respective fair value positions were as follows (in thousands, except weighted average fixed price and weighted average mark-to-market amount):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Settlement</w:t>
            </w:r>
          </w:p>
        </w:tc>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Mark-to-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Hedge Strategy</w:t>
            </w:r>
          </w:p>
        </w:tc>
        <w:tc>
          <w:tcPr>
            <w:tcW w:w="1020" w:type="dxa"/>
            <w:vAlign w:val="bottom"/>
            <w:gridSpan w:val="2"/>
            <w:vMerge w:val="continue"/>
          </w:tcPr>
          <w:p>
            <w:pPr>
              <w:spacing w:after="0"/>
              <w:rPr>
                <w:sz w:val="12"/>
                <w:szCs w:val="12"/>
                <w:color w:val="auto"/>
              </w:rPr>
            </w:pPr>
          </w:p>
        </w:tc>
        <w:tc>
          <w:tcPr>
            <w:tcW w:w="326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Derivative Instrument</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Unit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gridSpan w:val="3"/>
            <w:vMerge w:val="continue"/>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w:t>
            </w:r>
          </w:p>
        </w:tc>
        <w:tc>
          <w:tcPr>
            <w:tcW w:w="32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Fixed Price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contracts (long)</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EUR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Commodity contracts for inventory</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344</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BBL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123.50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hedging (long)</w:t>
            </w:r>
          </w:p>
        </w:tc>
        <w:tc>
          <w:tcPr>
            <w:tcW w:w="1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tcPr>
          <w:p>
            <w:pPr>
              <w:ind w:left="220"/>
              <w:spacing w:after="0" w:line="201" w:lineRule="exact"/>
              <w:rPr>
                <w:sz w:val="20"/>
                <w:szCs w:val="20"/>
                <w:color w:val="auto"/>
              </w:rPr>
            </w:pPr>
            <w:r>
              <w:rPr>
                <w:rFonts w:ascii="Arial" w:cs="Arial" w:eastAsia="Arial" w:hAnsi="Arial"/>
                <w:sz w:val="18"/>
                <w:szCs w:val="18"/>
                <w:color w:val="auto"/>
                <w:w w:val="98"/>
              </w:rPr>
              <w:t>Commodity contracts for inventory</w:t>
            </w:r>
          </w:p>
        </w:tc>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hedging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1,969</w:t>
            </w:r>
          </w:p>
        </w:tc>
        <w:tc>
          <w:tcPr>
            <w:tcW w:w="820" w:type="dxa"/>
            <w:vAlign w:val="bottom"/>
          </w:tcPr>
          <w:p>
            <w:pPr>
              <w:ind w:left="140"/>
              <w:spacing w:after="0"/>
              <w:rPr>
                <w:sz w:val="20"/>
                <w:szCs w:val="20"/>
                <w:color w:val="auto"/>
              </w:rPr>
            </w:pPr>
            <w:r>
              <w:rPr>
                <w:rFonts w:ascii="Arial" w:cs="Arial" w:eastAsia="Arial" w:hAnsi="Arial"/>
                <w:sz w:val="18"/>
                <w:szCs w:val="18"/>
                <w:color w:val="auto"/>
              </w:rPr>
              <w:t>BBL</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124.88</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9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Non-Designated</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38,792</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BBL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73.58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Commodity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28,789</w:t>
            </w:r>
          </w:p>
        </w:tc>
        <w:tc>
          <w:tcPr>
            <w:tcW w:w="820" w:type="dxa"/>
            <w:vAlign w:val="bottom"/>
          </w:tcPr>
          <w:p>
            <w:pPr>
              <w:ind w:left="140"/>
              <w:spacing w:after="0"/>
              <w:rPr>
                <w:sz w:val="20"/>
                <w:szCs w:val="20"/>
                <w:color w:val="auto"/>
              </w:rPr>
            </w:pPr>
            <w:r>
              <w:rPr>
                <w:rFonts w:ascii="Arial" w:cs="Arial" w:eastAsia="Arial" w:hAnsi="Arial"/>
                <w:sz w:val="18"/>
                <w:szCs w:val="18"/>
                <w:color w:val="auto"/>
              </w:rPr>
              <w:t>BBL</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88.44</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2014</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892</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BBL</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2014</w:t>
            </w:r>
          </w:p>
        </w:tc>
        <w:tc>
          <w:tcPr>
            <w:tcW w:w="2920" w:type="dxa"/>
            <w:vAlign w:val="bottom"/>
          </w:tcPr>
          <w:p>
            <w:pPr>
              <w:ind w:left="220"/>
              <w:spacing w:after="0"/>
              <w:rPr>
                <w:sz w:val="20"/>
                <w:szCs w:val="20"/>
                <w:color w:val="auto"/>
              </w:rPr>
            </w:pPr>
            <w:r>
              <w:rPr>
                <w:rFonts w:ascii="Arial" w:cs="Arial" w:eastAsia="Arial" w:hAnsi="Arial"/>
                <w:sz w:val="18"/>
                <w:szCs w:val="18"/>
                <w:color w:val="auto"/>
              </w:rPr>
              <w:t>Commodity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870</w:t>
            </w:r>
          </w:p>
        </w:tc>
        <w:tc>
          <w:tcPr>
            <w:tcW w:w="820" w:type="dxa"/>
            <w:vAlign w:val="bottom"/>
          </w:tcPr>
          <w:p>
            <w:pPr>
              <w:ind w:left="140"/>
              <w:spacing w:after="0"/>
              <w:rPr>
                <w:sz w:val="20"/>
                <w:szCs w:val="20"/>
                <w:color w:val="auto"/>
              </w:rPr>
            </w:pPr>
            <w:r>
              <w:rPr>
                <w:rFonts w:ascii="Arial" w:cs="Arial" w:eastAsia="Arial" w:hAnsi="Arial"/>
                <w:sz w:val="18"/>
                <w:szCs w:val="18"/>
                <w:color w:val="auto"/>
              </w:rPr>
              <w:t>BBL</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77.22</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2015</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BBL</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115.68</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2015</w:t>
            </w:r>
          </w:p>
        </w:tc>
        <w:tc>
          <w:tcPr>
            <w:tcW w:w="2920" w:type="dxa"/>
            <w:vAlign w:val="bottom"/>
          </w:tcPr>
          <w:p>
            <w:pPr>
              <w:ind w:left="220"/>
              <w:spacing w:after="0"/>
              <w:rPr>
                <w:sz w:val="20"/>
                <w:szCs w:val="20"/>
                <w:color w:val="auto"/>
              </w:rPr>
            </w:pPr>
            <w:r>
              <w:rPr>
                <w:rFonts w:ascii="Arial" w:cs="Arial" w:eastAsia="Arial" w:hAnsi="Arial"/>
                <w:sz w:val="18"/>
                <w:szCs w:val="18"/>
                <w:color w:val="auto"/>
              </w:rPr>
              <w:t>Commodity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820" w:type="dxa"/>
            <w:vAlign w:val="bottom"/>
          </w:tcPr>
          <w:p>
            <w:pPr>
              <w:ind w:left="140"/>
              <w:spacing w:after="0"/>
              <w:rPr>
                <w:sz w:val="20"/>
                <w:szCs w:val="20"/>
                <w:color w:val="auto"/>
              </w:rPr>
            </w:pPr>
            <w:r>
              <w:rPr>
                <w:rFonts w:ascii="Arial" w:cs="Arial" w:eastAsia="Arial" w:hAnsi="Arial"/>
                <w:sz w:val="18"/>
                <w:szCs w:val="18"/>
                <w:color w:val="auto"/>
              </w:rPr>
              <w:t>BBL</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113.77</w:t>
            </w:r>
          </w:p>
        </w:tc>
        <w:tc>
          <w:tcPr>
            <w:tcW w:w="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22,007</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AUD</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32,427</w:t>
            </w:r>
          </w:p>
        </w:tc>
        <w:tc>
          <w:tcPr>
            <w:tcW w:w="820" w:type="dxa"/>
            <w:vAlign w:val="bottom"/>
          </w:tcPr>
          <w:p>
            <w:pPr>
              <w:ind w:left="140"/>
              <w:spacing w:after="0"/>
              <w:rPr>
                <w:sz w:val="20"/>
                <w:szCs w:val="20"/>
                <w:color w:val="auto"/>
              </w:rPr>
            </w:pPr>
            <w:r>
              <w:rPr>
                <w:rFonts w:ascii="Arial" w:cs="Arial" w:eastAsia="Arial" w:hAnsi="Arial"/>
                <w:sz w:val="18"/>
                <w:szCs w:val="18"/>
                <w:color w:val="auto"/>
              </w:rPr>
              <w:t>AUD</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412</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BRL</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71,669</w:t>
            </w:r>
          </w:p>
        </w:tc>
        <w:tc>
          <w:tcPr>
            <w:tcW w:w="820" w:type="dxa"/>
            <w:vAlign w:val="bottom"/>
          </w:tcPr>
          <w:p>
            <w:pPr>
              <w:ind w:left="140"/>
              <w:spacing w:after="0"/>
              <w:rPr>
                <w:sz w:val="20"/>
                <w:szCs w:val="20"/>
                <w:color w:val="auto"/>
              </w:rPr>
            </w:pPr>
            <w:r>
              <w:rPr>
                <w:rFonts w:ascii="Arial" w:cs="Arial" w:eastAsia="Arial" w:hAnsi="Arial"/>
                <w:sz w:val="18"/>
                <w:szCs w:val="18"/>
                <w:color w:val="auto"/>
              </w:rPr>
              <w:t>CAD</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79,647</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CAD</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2,598,733</w:t>
            </w:r>
          </w:p>
        </w:tc>
        <w:tc>
          <w:tcPr>
            <w:tcW w:w="820" w:type="dxa"/>
            <w:vAlign w:val="bottom"/>
          </w:tcPr>
          <w:p>
            <w:pPr>
              <w:ind w:left="140"/>
              <w:spacing w:after="0"/>
              <w:rPr>
                <w:sz w:val="20"/>
                <w:szCs w:val="20"/>
                <w:color w:val="auto"/>
              </w:rPr>
            </w:pPr>
            <w:r>
              <w:rPr>
                <w:rFonts w:ascii="Arial" w:cs="Arial" w:eastAsia="Arial" w:hAnsi="Arial"/>
                <w:sz w:val="18"/>
                <w:szCs w:val="18"/>
                <w:color w:val="auto"/>
              </w:rPr>
              <w:t>CLP</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474.79</w:t>
            </w:r>
          </w:p>
        </w:tc>
        <w:tc>
          <w:tcPr>
            <w:tcW w:w="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1,163,807</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CLP</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479.85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48,270,679</w:t>
            </w:r>
          </w:p>
        </w:tc>
        <w:tc>
          <w:tcPr>
            <w:tcW w:w="820" w:type="dxa"/>
            <w:vAlign w:val="bottom"/>
          </w:tcPr>
          <w:p>
            <w:pPr>
              <w:ind w:left="140"/>
              <w:spacing w:after="0"/>
              <w:rPr>
                <w:sz w:val="20"/>
                <w:szCs w:val="20"/>
                <w:color w:val="auto"/>
              </w:rPr>
            </w:pPr>
            <w:r>
              <w:rPr>
                <w:rFonts w:ascii="Arial" w:cs="Arial" w:eastAsia="Arial" w:hAnsi="Arial"/>
                <w:sz w:val="18"/>
                <w:szCs w:val="18"/>
                <w:color w:val="auto"/>
              </w:rPr>
              <w:t>COP</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w w:val="96"/>
              </w:rPr>
              <w:t>1,800.41</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42,162,424</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COP</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1,804.60</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39,638</w:t>
            </w:r>
          </w:p>
        </w:tc>
        <w:tc>
          <w:tcPr>
            <w:tcW w:w="820" w:type="dxa"/>
            <w:vAlign w:val="bottom"/>
          </w:tcPr>
          <w:p>
            <w:pPr>
              <w:ind w:left="140"/>
              <w:spacing w:after="0"/>
              <w:rPr>
                <w:sz w:val="20"/>
                <w:szCs w:val="20"/>
                <w:color w:val="auto"/>
              </w:rPr>
            </w:pPr>
            <w:r>
              <w:rPr>
                <w:rFonts w:ascii="Arial" w:cs="Arial" w:eastAsia="Arial" w:hAnsi="Arial"/>
                <w:sz w:val="18"/>
                <w:szCs w:val="18"/>
                <w:color w:val="auto"/>
              </w:rPr>
              <w:t>DKK</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25,010</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DKK</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17,069</w:t>
            </w:r>
          </w:p>
        </w:tc>
        <w:tc>
          <w:tcPr>
            <w:tcW w:w="820" w:type="dxa"/>
            <w:vAlign w:val="bottom"/>
          </w:tcPr>
          <w:p>
            <w:pPr>
              <w:ind w:left="140"/>
              <w:spacing w:after="0"/>
              <w:rPr>
                <w:sz w:val="20"/>
                <w:szCs w:val="20"/>
                <w:color w:val="auto"/>
              </w:rPr>
            </w:pPr>
            <w:r>
              <w:rPr>
                <w:rFonts w:ascii="Arial" w:cs="Arial" w:eastAsia="Arial" w:hAnsi="Arial"/>
                <w:sz w:val="18"/>
                <w:szCs w:val="18"/>
                <w:color w:val="auto"/>
              </w:rPr>
              <w:t>EUR</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34,160</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136,493</w:t>
            </w:r>
          </w:p>
        </w:tc>
        <w:tc>
          <w:tcPr>
            <w:tcW w:w="820" w:type="dxa"/>
            <w:vAlign w:val="bottom"/>
          </w:tcPr>
          <w:p>
            <w:pPr>
              <w:ind w:left="140"/>
              <w:spacing w:after="0"/>
              <w:rPr>
                <w:sz w:val="20"/>
                <w:szCs w:val="20"/>
                <w:color w:val="auto"/>
              </w:rPr>
            </w:pPr>
            <w:r>
              <w:rPr>
                <w:rFonts w:ascii="Arial" w:cs="Arial" w:eastAsia="Arial" w:hAnsi="Arial"/>
                <w:sz w:val="18"/>
                <w:szCs w:val="18"/>
                <w:color w:val="auto"/>
              </w:rPr>
              <w:t>GBP</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193,282</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GBP</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111,367</w:t>
            </w:r>
          </w:p>
        </w:tc>
        <w:tc>
          <w:tcPr>
            <w:tcW w:w="820" w:type="dxa"/>
            <w:vAlign w:val="bottom"/>
          </w:tcPr>
          <w:p>
            <w:pPr>
              <w:ind w:left="140"/>
              <w:spacing w:after="0"/>
              <w:rPr>
                <w:sz w:val="20"/>
                <w:szCs w:val="20"/>
                <w:color w:val="auto"/>
              </w:rPr>
            </w:pPr>
            <w:r>
              <w:rPr>
                <w:rFonts w:ascii="Arial" w:cs="Arial" w:eastAsia="Arial" w:hAnsi="Arial"/>
                <w:sz w:val="18"/>
                <w:szCs w:val="18"/>
                <w:color w:val="auto"/>
              </w:rPr>
              <w:t>INR</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54.73</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110,038</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JPY</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210,921</w:t>
            </w:r>
          </w:p>
        </w:tc>
        <w:tc>
          <w:tcPr>
            <w:tcW w:w="820" w:type="dxa"/>
            <w:vAlign w:val="bottom"/>
          </w:tcPr>
          <w:p>
            <w:pPr>
              <w:ind w:left="140"/>
              <w:spacing w:after="0"/>
              <w:rPr>
                <w:sz w:val="20"/>
                <w:szCs w:val="20"/>
                <w:color w:val="auto"/>
              </w:rPr>
            </w:pPr>
            <w:r>
              <w:rPr>
                <w:rFonts w:ascii="Arial" w:cs="Arial" w:eastAsia="Arial" w:hAnsi="Arial"/>
                <w:sz w:val="18"/>
                <w:szCs w:val="18"/>
                <w:color w:val="auto"/>
              </w:rPr>
              <w:t>JPY</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86.79</w:t>
            </w:r>
          </w:p>
        </w:tc>
        <w:tc>
          <w:tcPr>
            <w:tcW w:w="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1,586,573</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MXN</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1,471,020</w:t>
            </w:r>
          </w:p>
        </w:tc>
        <w:tc>
          <w:tcPr>
            <w:tcW w:w="820" w:type="dxa"/>
            <w:vAlign w:val="bottom"/>
          </w:tcPr>
          <w:p>
            <w:pPr>
              <w:ind w:left="140"/>
              <w:spacing w:after="0"/>
              <w:rPr>
                <w:sz w:val="20"/>
                <w:szCs w:val="20"/>
                <w:color w:val="auto"/>
              </w:rPr>
            </w:pPr>
            <w:r>
              <w:rPr>
                <w:rFonts w:ascii="Arial" w:cs="Arial" w:eastAsia="Arial" w:hAnsi="Arial"/>
                <w:sz w:val="18"/>
                <w:szCs w:val="18"/>
                <w:color w:val="auto"/>
              </w:rPr>
              <w:t>MXN</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14,700</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NOK</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16,367</w:t>
            </w:r>
          </w:p>
        </w:tc>
        <w:tc>
          <w:tcPr>
            <w:tcW w:w="820" w:type="dxa"/>
            <w:vAlign w:val="bottom"/>
          </w:tcPr>
          <w:p>
            <w:pPr>
              <w:ind w:left="140"/>
              <w:spacing w:after="0"/>
              <w:rPr>
                <w:sz w:val="20"/>
                <w:szCs w:val="20"/>
                <w:color w:val="auto"/>
              </w:rPr>
            </w:pPr>
            <w:r>
              <w:rPr>
                <w:rFonts w:ascii="Arial" w:cs="Arial" w:eastAsia="Arial" w:hAnsi="Arial"/>
                <w:sz w:val="18"/>
                <w:szCs w:val="18"/>
                <w:color w:val="auto"/>
              </w:rPr>
              <w:t>NOK</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3,856</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PLN</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9,160</w:t>
            </w:r>
          </w:p>
        </w:tc>
        <w:tc>
          <w:tcPr>
            <w:tcW w:w="820" w:type="dxa"/>
            <w:vAlign w:val="bottom"/>
          </w:tcPr>
          <w:p>
            <w:pPr>
              <w:ind w:left="140"/>
              <w:spacing w:after="0"/>
              <w:rPr>
                <w:sz w:val="20"/>
                <w:szCs w:val="20"/>
                <w:color w:val="auto"/>
              </w:rPr>
            </w:pPr>
            <w:r>
              <w:rPr>
                <w:rFonts w:ascii="Arial" w:cs="Arial" w:eastAsia="Arial" w:hAnsi="Arial"/>
                <w:sz w:val="18"/>
                <w:szCs w:val="18"/>
                <w:color w:val="auto"/>
              </w:rPr>
              <w:t>PLN</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8,533</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RON</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27,737</w:t>
            </w:r>
          </w:p>
        </w:tc>
        <w:tc>
          <w:tcPr>
            <w:tcW w:w="820" w:type="dxa"/>
            <w:vAlign w:val="bottom"/>
          </w:tcPr>
          <w:p>
            <w:pPr>
              <w:ind w:left="140"/>
              <w:spacing w:after="0"/>
              <w:rPr>
                <w:sz w:val="20"/>
                <w:szCs w:val="20"/>
                <w:color w:val="auto"/>
              </w:rPr>
            </w:pPr>
            <w:r>
              <w:rPr>
                <w:rFonts w:ascii="Arial" w:cs="Arial" w:eastAsia="Arial" w:hAnsi="Arial"/>
                <w:sz w:val="18"/>
                <w:szCs w:val="18"/>
                <w:color w:val="auto"/>
              </w:rPr>
              <w:t>SGD</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26,490</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SGD</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2920" w:type="dxa"/>
            <w:vAlign w:val="bottom"/>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30,264</w:t>
            </w:r>
          </w:p>
        </w:tc>
        <w:tc>
          <w:tcPr>
            <w:tcW w:w="820" w:type="dxa"/>
            <w:vAlign w:val="bottom"/>
          </w:tcPr>
          <w:p>
            <w:pPr>
              <w:ind w:left="140"/>
              <w:spacing w:after="0"/>
              <w:rPr>
                <w:sz w:val="20"/>
                <w:szCs w:val="20"/>
                <w:color w:val="auto"/>
              </w:rPr>
            </w:pPr>
            <w:r>
              <w:rPr>
                <w:rFonts w:ascii="Arial" w:cs="Arial" w:eastAsia="Arial" w:hAnsi="Arial"/>
                <w:sz w:val="18"/>
                <w:szCs w:val="18"/>
                <w:color w:val="auto"/>
              </w:rPr>
              <w:t>ZAR</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9.12</w:t>
            </w:r>
          </w:p>
        </w:tc>
        <w:tc>
          <w:tcPr>
            <w:tcW w:w="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2014</w:t>
            </w: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GBP</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2014</w:t>
            </w:r>
          </w:p>
        </w:tc>
        <w:tc>
          <w:tcPr>
            <w:tcW w:w="2920" w:type="dxa"/>
            <w:vAlign w:val="bottom"/>
          </w:tcPr>
          <w:p>
            <w:pPr>
              <w:ind w:left="220"/>
              <w:spacing w:after="0"/>
              <w:rPr>
                <w:sz w:val="20"/>
                <w:szCs w:val="20"/>
                <w:color w:val="auto"/>
              </w:rPr>
            </w:pPr>
            <w:r>
              <w:rPr>
                <w:rFonts w:ascii="Arial" w:cs="Arial" w:eastAsia="Arial" w:hAnsi="Arial"/>
                <w:sz w:val="18"/>
                <w:szCs w:val="18"/>
                <w:color w:val="auto"/>
                <w:w w:val="99"/>
              </w:rPr>
              <w:t>Foreign currency contracts (short)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4,290</w:t>
            </w:r>
          </w:p>
        </w:tc>
        <w:tc>
          <w:tcPr>
            <w:tcW w:w="820" w:type="dxa"/>
            <w:vAlign w:val="bottom"/>
          </w:tcPr>
          <w:p>
            <w:pPr>
              <w:ind w:left="140"/>
              <w:spacing w:after="0"/>
              <w:rPr>
                <w:sz w:val="20"/>
                <w:szCs w:val="20"/>
                <w:color w:val="auto"/>
              </w:rPr>
            </w:pPr>
            <w:r>
              <w:rPr>
                <w:rFonts w:ascii="Arial" w:cs="Arial" w:eastAsia="Arial" w:hAnsi="Arial"/>
                <w:sz w:val="18"/>
                <w:szCs w:val="18"/>
                <w:color w:val="auto"/>
              </w:rPr>
              <w:t>GBP</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38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9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60" w:type="dxa"/>
            <w:vAlign w:val="bottom"/>
            <w:vMerge w:val="restart"/>
          </w:tcPr>
          <w:p>
            <w:pPr>
              <w:jc w:val="right"/>
              <w:ind w:right="1230"/>
              <w:spacing w:after="0"/>
              <w:rPr>
                <w:sz w:val="20"/>
                <w:szCs w:val="20"/>
                <w:color w:val="auto"/>
              </w:rPr>
            </w:pPr>
            <w:r>
              <w:rPr>
                <w:rFonts w:ascii="Arial" w:cs="Arial" w:eastAsia="Arial" w:hAnsi="Arial"/>
                <w:sz w:val="18"/>
                <w:szCs w:val="18"/>
                <w:color w:val="auto"/>
              </w:rPr>
              <w:t>8</w:t>
            </w: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8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1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Derivative assets:</w:t>
            </w:r>
          </w:p>
        </w:tc>
        <w:tc>
          <w:tcPr>
            <w:tcW w:w="360" w:type="dxa"/>
            <w:vAlign w:val="bottom"/>
            <w:shd w:val="clear" w:color="auto" w:fill="CCEEFF"/>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Derivatives designated as hedging</w:t>
            </w:r>
          </w:p>
        </w:tc>
        <w:tc>
          <w:tcPr>
            <w:tcW w:w="3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instruments</w:t>
            </w:r>
          </w:p>
        </w:tc>
        <w:tc>
          <w:tcPr>
            <w:tcW w:w="3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Commodity contracts</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2,067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contracts</w:t>
            </w:r>
          </w:p>
        </w:tc>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Derivatives not designated as hedging</w:t>
            </w:r>
          </w:p>
        </w:tc>
        <w:tc>
          <w:tcPr>
            <w:tcW w:w="36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36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Commodity contracts</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34,577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Identifiable intangible and other non-current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Commodity contracts</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46,744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Foreign currency contracts</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14,105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contracts</w:t>
            </w:r>
          </w:p>
        </w:tc>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Identifiable intangible and other non-current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Foreign currency contracts</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45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102,130</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u w:val="single" w:color="auto"/>
          <w:color w:val="auto"/>
        </w:rPr>
        <w:t>Derivative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Derivatives designated as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81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1610"/>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instruments</w:t>
            </w:r>
          </w:p>
        </w:tc>
        <w:tc>
          <w:tcPr>
            <w:tcW w:w="4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46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0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2,284</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10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tcPr>
          <w:p>
            <w:pPr>
              <w:spacing w:after="0"/>
              <w:rPr>
                <w:sz w:val="18"/>
                <w:szCs w:val="18"/>
                <w:color w:val="auto"/>
              </w:rPr>
            </w:pPr>
          </w:p>
        </w:tc>
      </w:tr>
      <w:tr>
        <w:trPr>
          <w:trHeight w:val="182"/>
        </w:trPr>
        <w:tc>
          <w:tcPr>
            <w:tcW w:w="3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Derivatives not designated as hedging</w:t>
            </w:r>
          </w:p>
        </w:tc>
        <w:tc>
          <w:tcPr>
            <w:tcW w:w="4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instruments</w:t>
            </w:r>
          </w:p>
        </w:tc>
        <w:tc>
          <w:tcPr>
            <w:tcW w:w="4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46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10,406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41,410</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and other non-current assets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46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62,541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20,927</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Foreign currency contracts</w:t>
            </w:r>
          </w:p>
        </w:tc>
        <w:tc>
          <w:tcPr>
            <w:tcW w:w="46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9,395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and other non-current assets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Foreign currency contracts</w:t>
            </w:r>
          </w:p>
        </w:tc>
        <w:tc>
          <w:tcPr>
            <w:tcW w:w="46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3,261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3,151</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0"/>
        </w:trPr>
        <w:tc>
          <w:tcPr>
            <w:tcW w:w="310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86,914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67,263</w:t>
            </w:r>
          </w:p>
        </w:tc>
        <w:tc>
          <w:tcPr>
            <w:tcW w:w="100" w:type="dxa"/>
            <w:vAlign w:val="bottom"/>
            <w:tcBorders>
              <w:bottom w:val="single" w:sz="8" w:color="CCEEFF"/>
            </w:tcBorders>
          </w:tcPr>
          <w:p>
            <w:pPr>
              <w:spacing w:after="0"/>
              <w:rPr>
                <w:sz w:val="18"/>
                <w:szCs w:val="18"/>
                <w:color w:val="auto"/>
              </w:rPr>
            </w:pPr>
          </w:p>
        </w:tc>
      </w:tr>
      <w:tr>
        <w:trPr>
          <w:trHeight w:val="210"/>
        </w:trPr>
        <w:tc>
          <w:tcPr>
            <w:tcW w:w="310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89,178</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Realized and Unrealized</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Realized and Unrealized</w:t>
            </w:r>
          </w:p>
        </w:tc>
        <w:tc>
          <w:tcPr>
            <w:tcW w:w="0" w:type="dxa"/>
            <w:vAlign w:val="bottom"/>
          </w:tcPr>
          <w:p>
            <w:pPr>
              <w:spacing w:after="0"/>
              <w:rPr>
                <w:sz w:val="1"/>
                <w:szCs w:val="1"/>
                <w:color w:val="auto"/>
              </w:rPr>
            </w:pPr>
          </w:p>
        </w:tc>
      </w:tr>
      <w:tr>
        <w:trPr>
          <w:trHeight w:val="17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 Instruments</w:t>
            </w:r>
          </w:p>
        </w:tc>
        <w:tc>
          <w:tcPr>
            <w:tcW w:w="10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Location</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Gain (Loss)</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Hedged Items</w:t>
            </w:r>
          </w:p>
        </w:tc>
        <w:tc>
          <w:tcPr>
            <w:tcW w:w="220" w:type="dxa"/>
            <w:vAlign w:val="bottom"/>
          </w:tcPr>
          <w:p>
            <w:pPr>
              <w:spacing w:after="0"/>
              <w:rPr>
                <w:sz w:val="14"/>
                <w:szCs w:val="14"/>
                <w:color w:val="auto"/>
              </w:rPr>
            </w:pP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Location</w:t>
            </w: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Gain (Loss)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3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Three months ended March 31,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Firm</w:t>
            </w:r>
          </w:p>
        </w:tc>
        <w:tc>
          <w:tcPr>
            <w:tcW w:w="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Commodity contracts</w:t>
            </w:r>
          </w:p>
        </w:tc>
        <w:tc>
          <w:tcPr>
            <w:tcW w:w="12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300" w:type="dxa"/>
            <w:vAlign w:val="bottom"/>
          </w:tcPr>
          <w:p>
            <w:pPr>
              <w:spacing w:after="0"/>
              <w:rPr>
                <w:sz w:val="20"/>
                <w:szCs w:val="20"/>
                <w:color w:val="auto"/>
              </w:rPr>
            </w:pPr>
            <w:r>
              <w:rPr>
                <w:rFonts w:ascii="Arial" w:cs="Arial" w:eastAsia="Arial" w:hAnsi="Arial"/>
                <w:sz w:val="18"/>
                <w:szCs w:val="18"/>
                <w:color w:val="auto"/>
              </w:rPr>
              <w:t>commitments</w:t>
            </w:r>
          </w:p>
        </w:tc>
        <w:tc>
          <w:tcPr>
            <w:tcW w:w="174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Cost of</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Firm</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commitments</w:t>
            </w:r>
          </w:p>
        </w:tc>
        <w:tc>
          <w:tcPr>
            <w:tcW w:w="1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3"/>
          </w:tcPr>
          <w:p>
            <w:pPr>
              <w:spacing w:after="0" w:line="201" w:lineRule="exact"/>
              <w:rPr>
                <w:sz w:val="20"/>
                <w:szCs w:val="20"/>
                <w:color w:val="auto"/>
              </w:rPr>
            </w:pPr>
            <w:r>
              <w:rPr>
                <w:rFonts w:ascii="Arial" w:cs="Arial" w:eastAsia="Arial" w:hAnsi="Arial"/>
                <w:sz w:val="18"/>
                <w:szCs w:val="18"/>
                <w:color w:val="auto"/>
              </w:rPr>
              <w:t>Cost of</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Commodity contracts</w:t>
            </w:r>
          </w:p>
        </w:tc>
        <w:tc>
          <w:tcPr>
            <w:tcW w:w="12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(26,329)</w:t>
            </w:r>
          </w:p>
        </w:tc>
        <w:tc>
          <w:tcPr>
            <w:tcW w:w="1300" w:type="dxa"/>
            <w:vAlign w:val="bottom"/>
          </w:tcPr>
          <w:p>
            <w:pPr>
              <w:spacing w:after="0"/>
              <w:rPr>
                <w:sz w:val="20"/>
                <w:szCs w:val="20"/>
                <w:color w:val="auto"/>
              </w:rPr>
            </w:pPr>
            <w:r>
              <w:rPr>
                <w:rFonts w:ascii="Arial" w:cs="Arial" w:eastAsia="Arial" w:hAnsi="Arial"/>
                <w:sz w:val="18"/>
                <w:szCs w:val="18"/>
                <w:color w:val="auto"/>
              </w:rPr>
              <w:t>Inventories</w:t>
            </w:r>
          </w:p>
        </w:tc>
        <w:tc>
          <w:tcPr>
            <w:tcW w:w="1740" w:type="dxa"/>
            <w:vAlign w:val="bottom"/>
            <w:gridSpan w:val="3"/>
          </w:tcPr>
          <w:p>
            <w:pPr>
              <w:ind w:left="2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(27,481</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There were no gains or losses for the three months ended March 31, 2013 and 2012 that were excluded from the assessment of the effectiveness of our fair value hedges.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firstLine="324"/>
        <w:spacing w:after="0" w:line="308" w:lineRule="auto"/>
        <w:rPr>
          <w:sz w:val="20"/>
          <w:szCs w:val="20"/>
          <w:color w:val="auto"/>
        </w:rPr>
      </w:pPr>
      <w:r>
        <w:rPr>
          <w:rFonts w:ascii="Arial" w:cs="Arial" w:eastAsia="Arial" w:hAnsi="Arial"/>
          <w:sz w:val="17"/>
          <w:szCs w:val="17"/>
          <w:color w:val="auto"/>
        </w:rPr>
        <w:t>The following table presents the effect and financial statement location of our derivative instruments in cash flow hedging relationships on our accumulated other comprehensive income and consolidated statements of income and comprehensive income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Amount of Loss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3"/>
          </w:tcPr>
          <w:p>
            <w:pPr>
              <w:jc w:val="center"/>
              <w:ind w:left="505"/>
              <w:spacing w:after="0"/>
              <w:rPr>
                <w:sz w:val="20"/>
                <w:szCs w:val="20"/>
                <w:color w:val="auto"/>
              </w:rPr>
            </w:pPr>
            <w:r>
              <w:rPr>
                <w:rFonts w:ascii="Arial" w:cs="Arial" w:eastAsia="Arial" w:hAnsi="Arial"/>
                <w:sz w:val="14"/>
                <w:szCs w:val="14"/>
                <w:b w:val="1"/>
                <w:bCs w:val="1"/>
                <w:color w:val="auto"/>
                <w:w w:val="95"/>
              </w:rPr>
              <w:t>Amount of Gain</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0" w:type="dxa"/>
            <w:vAlign w:val="bottom"/>
            <w:gridSpan w:val="5"/>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Recognized in Accumulated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w:t>
            </w:r>
          </w:p>
        </w:tc>
        <w:tc>
          <w:tcPr>
            <w:tcW w:w="340" w:type="dxa"/>
            <w:vAlign w:val="bottom"/>
          </w:tcPr>
          <w:p>
            <w:pPr>
              <w:spacing w:after="0"/>
              <w:rPr>
                <w:sz w:val="12"/>
                <w:szCs w:val="12"/>
                <w:color w:val="auto"/>
              </w:rPr>
            </w:pPr>
          </w:p>
        </w:tc>
        <w:tc>
          <w:tcPr>
            <w:tcW w:w="29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0" w:type="dxa"/>
            <w:vAlign w:val="bottom"/>
            <w:gridSpan w:val="5"/>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Other Comprehensive Income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Other Comprehensive 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w w:val="94"/>
              </w:rPr>
              <w:t>(Effective Portion)</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Realized Gain</w:t>
            </w: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85"/>
              <w:spacing w:after="0"/>
              <w:rPr>
                <w:sz w:val="20"/>
                <w:szCs w:val="20"/>
                <w:color w:val="auto"/>
              </w:rPr>
            </w:pPr>
            <w:r>
              <w:rPr>
                <w:rFonts w:ascii="Arial" w:cs="Arial" w:eastAsia="Arial" w:hAnsi="Arial"/>
                <w:sz w:val="14"/>
                <w:szCs w:val="14"/>
                <w:b w:val="1"/>
                <w:bCs w:val="1"/>
                <w:color w:val="auto"/>
                <w:w w:val="94"/>
              </w:rPr>
              <w:t>(Effective Portion)</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Derivative Instruments</w:t>
            </w:r>
          </w:p>
        </w:tc>
        <w:tc>
          <w:tcPr>
            <w:tcW w:w="3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340" w:type="dxa"/>
            <w:vAlign w:val="bottom"/>
          </w:tcPr>
          <w:p>
            <w:pPr>
              <w:spacing w:after="0"/>
              <w:rPr>
                <w:sz w:val="12"/>
                <w:szCs w:val="12"/>
                <w:color w:val="auto"/>
              </w:rPr>
            </w:pPr>
          </w:p>
        </w:tc>
        <w:tc>
          <w:tcPr>
            <w:tcW w:w="1120" w:type="dxa"/>
            <w:vAlign w:val="bottom"/>
          </w:tcPr>
          <w:p>
            <w:pPr>
              <w:jc w:val="right"/>
              <w:ind w:right="50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right"/>
              <w:ind w:right="4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Three months ended March 31,</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contracts</w:t>
            </w:r>
          </w:p>
        </w:tc>
        <w:tc>
          <w:tcPr>
            <w:tcW w:w="5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688"/>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(51)</w:t>
            </w:r>
          </w:p>
        </w:tc>
        <w:tc>
          <w:tcPr>
            <w:tcW w:w="1040" w:type="dxa"/>
            <w:vAlign w:val="bottom"/>
            <w:tcBorders>
              <w:top w:val="single" w:sz="8" w:color="CCEEFF"/>
            </w:tcBorders>
            <w:gridSpan w:val="2"/>
          </w:tcPr>
          <w:p>
            <w:pPr>
              <w:jc w:val="right"/>
              <w:ind w:right="820"/>
              <w:spacing w:after="0"/>
              <w:rPr>
                <w:sz w:val="20"/>
                <w:szCs w:val="20"/>
                <w:color w:val="auto"/>
              </w:rPr>
            </w:pPr>
            <w:r>
              <w:rPr>
                <w:rFonts w:ascii="Arial" w:cs="Arial" w:eastAsia="Arial" w:hAnsi="Arial"/>
                <w:sz w:val="18"/>
                <w:szCs w:val="18"/>
                <w:color w:val="auto"/>
              </w:rPr>
              <w:t>$</w:t>
            </w:r>
          </w:p>
        </w:tc>
        <w:tc>
          <w:tcPr>
            <w:tcW w:w="2360" w:type="dxa"/>
            <w:vAlign w:val="bottom"/>
            <w:tcBorders>
              <w:top w:val="single" w:sz="8" w:color="CCEEFF"/>
            </w:tcBorders>
            <w:gridSpan w:val="4"/>
          </w:tcPr>
          <w:p>
            <w:pPr>
              <w:ind w:left="140"/>
              <w:spacing w:after="0"/>
              <w:rPr>
                <w:sz w:val="20"/>
                <w:szCs w:val="20"/>
                <w:color w:val="auto"/>
              </w:rPr>
            </w:pPr>
            <w:r>
              <w:rPr>
                <w:rFonts w:ascii="Arial" w:cs="Arial" w:eastAsia="Arial" w:hAnsi="Arial"/>
                <w:sz w:val="18"/>
                <w:szCs w:val="18"/>
                <w:color w:val="auto"/>
              </w:rPr>
              <w:t>—   Other income, net</w:t>
            </w:r>
          </w:p>
        </w:tc>
        <w:tc>
          <w:tcPr>
            <w:tcW w:w="340" w:type="dxa"/>
            <w:vAlign w:val="bottom"/>
            <w:tcBorders>
              <w:top w:val="single" w:sz="8" w:color="CCEEFF"/>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In the event forecasted cash outflows are less than the hedged amounts, a portion or all of the gains or losses recorded in accumulated other comprehensive income are reclassified to the consolidated statements of income and comprehensive income. As of March 31, 2013, the maximum amount that could be reclassified to the consolidated statements of income and comprehensive income for the next twelve months is not significant.</w:t>
      </w:r>
    </w:p>
    <w:p>
      <w:pPr>
        <w:spacing w:after="0" w:line="16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Realized and Unrealized</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w:t>
            </w:r>
          </w:p>
        </w:tc>
        <w:tc>
          <w:tcPr>
            <w:tcW w:w="206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Location</w:t>
            </w:r>
          </w:p>
        </w:tc>
        <w:tc>
          <w:tcPr>
            <w:tcW w:w="4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Gain (Loss)</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65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right"/>
              <w:ind w:right="65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Three months ended March 31,</w:t>
            </w:r>
          </w:p>
        </w:tc>
        <w:tc>
          <w:tcPr>
            <w:tcW w:w="1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2420" w:type="dxa"/>
            <w:vAlign w:val="bottom"/>
            <w:tcBorders>
              <w:top w:val="single" w:sz="8" w:color="CCEEFF"/>
            </w:tcBorders>
            <w:gridSpan w:val="2"/>
          </w:tcPr>
          <w:p>
            <w:pPr>
              <w:spacing w:after="0"/>
              <w:rPr>
                <w:sz w:val="18"/>
                <w:szCs w:val="18"/>
                <w:color w:val="auto"/>
              </w:rPr>
            </w:pPr>
          </w:p>
        </w:tc>
        <w:tc>
          <w:tcPr>
            <w:tcW w:w="20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CCEEFF"/>
            </w:tcBorders>
          </w:tcPr>
          <w:p>
            <w:pPr>
              <w:jc w:val="right"/>
              <w:ind w:right="2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5,395</w:t>
            </w:r>
          </w:p>
        </w:tc>
        <w:tc>
          <w:tcPr>
            <w:tcW w:w="700" w:type="dxa"/>
            <w:vAlign w:val="bottom"/>
            <w:tcBorders>
              <w:top w:val="single" w:sz="8" w:color="CCEEFF"/>
            </w:tcBorders>
          </w:tcPr>
          <w:p>
            <w:pPr>
              <w:jc w:val="right"/>
              <w:ind w:right="5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2,668</w:t>
            </w:r>
          </w:p>
        </w:tc>
        <w:tc>
          <w:tcPr>
            <w:tcW w:w="7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3,479</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11,249</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The net liability position for such contracts, the collateral posted and the amount of assets required to be posted and/or to settle the positions should a contingent feature be triggered is not significant as of March 31, 2013.</w:t>
      </w:r>
    </w:p>
    <w:p>
      <w:pPr>
        <w:sectPr>
          <w:pgSz w:w="11900" w:h="16838" w:orient="portrait"/>
          <w:cols w:equalWidth="0" w:num="1">
            <w:col w:w="11420"/>
          </w:cols>
          <w:pgMar w:left="240" w:top="140" w:right="239" w:bottom="0" w:gutter="0" w:footer="0" w:header="0"/>
        </w:sectPr>
      </w:pPr>
    </w:p>
    <w:bookmarkStart w:id="8" w:name="page9"/>
    <w:bookmarkEnd w:id="8"/>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Income, Expense and Other Financing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additional information about our interest expense and other financing costs, net, for the periods presented (in thousands):</w:t>
      </w:r>
    </w:p>
    <w:p>
      <w:pPr>
        <w:spacing w:after="0" w:line="240" w:lineRule="exact"/>
        <w:rPr>
          <w:sz w:val="20"/>
          <w:szCs w:val="20"/>
          <w:color w:val="auto"/>
        </w:rPr>
      </w:pPr>
    </w:p>
    <w:p>
      <w:pPr>
        <w:jc w:val="center"/>
        <w:ind w:left="3380"/>
        <w:spacing w:after="0"/>
        <w:rPr>
          <w:sz w:val="20"/>
          <w:szCs w:val="20"/>
          <w:color w:val="auto"/>
        </w:rPr>
      </w:pPr>
      <w:r>
        <w:rPr>
          <w:rFonts w:ascii="Arial" w:cs="Arial" w:eastAsia="Arial" w:hAnsi="Arial"/>
          <w:sz w:val="14"/>
          <w:szCs w:val="14"/>
          <w:b w:val="1"/>
          <w:bCs w:val="1"/>
          <w:color w:val="auto"/>
        </w:rPr>
        <w:t>For the Three Months ended</w:t>
      </w:r>
    </w:p>
    <w:p>
      <w:pPr>
        <w:jc w:val="center"/>
        <w:ind w:left="33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 and other financing costs</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(4,083)</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(4,933)</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9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9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and Accumulated Other Comprehensive Loss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other comprehensive income, consisting of foreign currency translation adjustments related to our subsidiaries that have a functional currency other than the U.S. dollar and cash flow hedges, was as follows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3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Flow Hedges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2013</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foreign currency translation adjustment gains for the three months ended March 31, 2013 were primarily due to the strengthening of the Brazilian Real as compared to the U.S. dollar.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relating to our cash flow hedges for the periods presented is included in Note 2 - Derivatives.</w:t>
      </w:r>
    </w:p>
    <w:p>
      <w:pPr>
        <w:spacing w:after="0" w:line="22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thousands, except for income tax rates):</w:t>
      </w:r>
    </w:p>
    <w:p>
      <w:pPr>
        <w:spacing w:after="0" w:line="162"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jc w:val="center"/>
        <w:ind w:left="17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12,291</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Our provision for income taxes for each of the three-month periods ended March 31, 2013 and 2012 were calculated based on the estimated annual effective income tax rate for the full 2013 and 2012 fiscal years. The provision for income taxes for the three-month period ended March 31, 2012 includes an adjustment for an income tax benefit of $3.3 million for a discrete item related to a change in estimate in an uncertain income tax position. The actual effective income tax rate for the full 2013 fiscal year may be materially different as a result of differences between estimated versus actual results and the geographic tax jurisdictions in which the results are earned.</w:t>
      </w:r>
    </w:p>
    <w:p>
      <w:pPr>
        <w:spacing w:after="0" w:line="188"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In March 2013, we received final approval that we were awarded an additional five year special income tax concession in Singapore beginning January 1, 2013. The special income tax concession is conditional upon our meeting certain employment and investment thresholds which, if not met in accordance with our agreement, may eliminate the benefit beginning with the first year in which the conditions are not satisfied.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thousands, except per share amounts):</w:t>
      </w:r>
    </w:p>
    <w:p>
      <w:pPr>
        <w:spacing w:after="0" w:line="162"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For the Three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7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48,725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46,415</w:t>
            </w:r>
          </w:p>
        </w:tc>
      </w:tr>
      <w:tr>
        <w:trPr>
          <w:trHeight w:val="210"/>
        </w:trPr>
        <w:tc>
          <w:tcPr>
            <w:tcW w:w="7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Denominator:</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71,288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70,998</w:t>
            </w: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r>
      <w:tr>
        <w:trPr>
          <w:trHeight w:val="210"/>
        </w:trPr>
        <w:tc>
          <w:tcPr>
            <w:tcW w:w="7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0" w:gutter="0" w:footer="0" w:header="0"/>
        </w:sectPr>
      </w:pPr>
    </w:p>
    <w:bookmarkStart w:id="9" w:name="page10"/>
    <w:bookmarkEnd w:id="9"/>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securities which are not included in the calculation of diluted earnings per</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common share because their impact is anti-dilutive or their performance conditions have not</w:t>
            </w:r>
          </w:p>
        </w:tc>
        <w:tc>
          <w:tcPr>
            <w:tcW w:w="5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been met</w:t>
            </w:r>
          </w:p>
        </w:tc>
        <w:tc>
          <w:tcPr>
            <w:tcW w:w="5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0.68</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0.68</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8500" w:hanging="332"/>
        <w:spacing w:after="0" w:line="503" w:lineRule="auto"/>
        <w:tabs>
          <w:tab w:leader="none" w:pos="3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Cathay Pacific Litigation</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Since April 2012, one of our subsidiaries, World Fuel Services (Singapore) Pte Ltd. (“WFSS”) has been involved in litigation with Cathay Pacific Airways Limited (“Cathay”) arising out of the emergency landing of a Cathay aircraft in Hong Kong in 2010, which Cathay alleges was caused by contaminated fuel supplied by WFSS. Cathay claims damages relating to the incident of approximately $34.0 million. Because the outcome of litigation is inherently uncertain, we cannot estimate the possible loss or range of loss for this matter. We intend to vigorously defend against this claim, and we believe our liability in this matter (if any) should be adequately covered by insurance. As of March 31, 2013, we have not recorded any accruals associated with this claim.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a party to various claims, complaints and proceedings arising in the ordinary course of our business including, but not limited to, environmental claims, commercial and governmental contract claims, such as property damage, demurrage, billing and fuel quality claims, as well as bankruptcy preference claims. We have established loss provisions for these ordinary course claims as well as other matters in which losses are probable and can be reasonably estimated. As of March 31, 2013,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business or financial condition. However, any adverse resolution of one or more such claims, complaints or proceedings during a particular period could have a material adverse effect on our results of operations or cash flow for that period.</w:t>
      </w:r>
    </w:p>
    <w:p>
      <w:pPr>
        <w:spacing w:after="0" w:line="17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carrying amounts of cash and cash equivalents, accounts receivable, net, accounts payable and accrued expenses and other current liabilities approximate fair value based on the short-term maturities of these instruments. We believe the carrying values of our debt and notes receivable approximate fair value since these instruments bear interest either at variable rates or fixed rates which are not significantly different than market rates. Based on the fair value hierarchy, our debt of $276.7 million and $380.3 million as of March 31, 2013 and December 31, 2012, respectively, and our notes receivable of $10.7 million and $12.7 million as of March 31, 2013 and December 31, 2012, respectively, are categorized in Level 3.</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estimated fair value on a recurring basis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Sub-Total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Netting and</w:t>
            </w: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Collateral</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1"/>
              </w:rPr>
              <w:t>As of March 31, 2013</w:t>
            </w:r>
          </w:p>
        </w:tc>
        <w:tc>
          <w:tcPr>
            <w:tcW w:w="17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21,689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(67,929)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Foreign currency contracts</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16,797</w:t>
            </w:r>
          </w:p>
        </w:tc>
        <w:tc>
          <w:tcPr>
            <w:tcW w:w="2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(11,949)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81,260</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102,949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(80,697)</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25,593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50,905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76,498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(63,814)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currency contracts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2012</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18,087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Foreign currency contracts</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60,934</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(58,929)</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20,970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44,732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65,702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(49,562)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gridSpan w:val="3"/>
            <w:shd w:val="clear" w:color="auto" w:fill="CCEEFF"/>
          </w:tcPr>
          <w:p>
            <w:pPr>
              <w:ind w:left="160"/>
              <w:spacing w:after="0" w:line="205" w:lineRule="exact"/>
              <w:rPr>
                <w:sz w:val="20"/>
                <w:szCs w:val="20"/>
                <w:color w:val="auto"/>
              </w:rPr>
            </w:pPr>
            <w:r>
              <w:rPr>
                <w:rFonts w:ascii="Arial" w:cs="Arial" w:eastAsia="Arial" w:hAnsi="Arial"/>
                <w:sz w:val="18"/>
                <w:szCs w:val="18"/>
                <w:color w:val="auto"/>
              </w:rPr>
              <w:t>Foreign currency contracts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3,845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60"/>
              <w:spacing w:after="0" w:line="205"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3,845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(2,289)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bl>
    <w:p>
      <w:pPr>
        <w:sectPr>
          <w:pgSz w:w="11900" w:h="16900" w:orient="portrait"/>
          <w:cols w:equalWidth="0" w:num="1">
            <w:col w:w="11420"/>
          </w:cols>
          <w:pgMar w:left="240" w:top="350" w:right="239" w:bottom="0" w:gutter="0" w:footer="0" w:header="0"/>
        </w:sectPr>
      </w:pPr>
    </w:p>
    <w:bookmarkStart w:id="10" w:name="page11"/>
    <w:bookmarkEnd w:id="10"/>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54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2"/>
                <w:szCs w:val="12"/>
                <w:color w:val="auto"/>
              </w:rPr>
            </w:pPr>
          </w:p>
        </w:tc>
        <w:tc>
          <w:tcPr>
            <w:tcW w:w="126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Commodity Contracts</w:t>
            </w:r>
          </w:p>
        </w:tc>
        <w:tc>
          <w:tcPr>
            <w:tcW w:w="2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4480" w:type="dxa"/>
            <w:vAlign w:val="bottom"/>
            <w:tcBorders>
              <w:top w:val="single" w:sz="8" w:color="CCEEFF"/>
            </w:tcBorders>
            <w:gridSpan w:val="2"/>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Identifiable intangible and other non-current assets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11,662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net liabilities</w:t>
            </w:r>
          </w:p>
        </w:tc>
        <w:tc>
          <w:tcPr>
            <w:tcW w:w="2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12,684</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60" w:type="dxa"/>
            <w:vAlign w:val="bottom"/>
            <w:gridSpan w:val="3"/>
          </w:tcPr>
          <w:p>
            <w:pPr>
              <w:spacing w:after="0" w:line="176" w:lineRule="exact"/>
              <w:rPr>
                <w:sz w:val="20"/>
                <w:szCs w:val="20"/>
                <w:color w:val="auto"/>
              </w:rPr>
            </w:pPr>
            <w:r>
              <w:rPr>
                <w:rFonts w:ascii="Arial" w:cs="Arial" w:eastAsia="Arial" w:hAnsi="Arial"/>
                <w:sz w:val="18"/>
                <w:szCs w:val="18"/>
                <w:color w:val="auto"/>
              </w:rPr>
              <w:t>Foreign Currency Contracts</w:t>
            </w: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4,768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Identifiable intangible and other non-current assets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net assets</w:t>
            </w:r>
          </w:p>
        </w:tc>
        <w:tc>
          <w:tcPr>
            <w:tcW w:w="2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Other long-term liabilities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net liabilities</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March 31, 2013, we had $26.6 million of cash collateral deposits held by financial counterparties of which $4.3 million have been offset against the total amount of commodity fair value liabilities in the above table and the remaining $22.3 million is included in other current assets in the accompanying consolidated balance sheets. Additionally, as of March 31, 2013, we have offset $8.4 million of cash collateral received from customers against the total amount of commodity fair value assets in the above table. As of December 31, 2012, we had $22.9 million of cash collateral deposits held by financial counterparties included in other current assets in the accompanying consolidated balance sheets. Additionally, as of December 31, 2012, we have offset $6.6 million of cash collateral received from customers against the total amount of commodity fair value assets in the above table.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that utilized Level 3 inputs for the period presented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Change in</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8"/>
              </w:rPr>
              <w:t>Losses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Total Losses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Relating to</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8"/>
              </w:rPr>
              <w:t>End</w:t>
            </w: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Liabilities that</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Location of 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are Held at end</w:t>
            </w: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of Period</w:t>
            </w: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of Period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Included in Earnings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Three months ended March 31, 2012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Earn-out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transfers between Level 1, 2 or 3 during the period presented. In addition, there were no significant Level 3 settlements, purchases, sales or issuances for the period presented.</w:t>
      </w:r>
    </w:p>
    <w:p>
      <w:pPr>
        <w:spacing w:after="0" w:line="16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Based on the nature of operations and quantitative thresholds pursuant to accounting guidance for segment reporting, we have three reportable operating business segments: aviation, marine and land. Corporate expenses are allocated to the segments based on usage, where possible, or on other factors according to the nature of the activity. Our results of operations include (i) the results of the acquisition of certain assets of CarterEnergy Corporation in our land segment commencing on September 1, 2012, its acquisition date, and (ii) the results of the acquisition of certain assets of Multi Service Corporation, primarily in our land segment, commencing on December 31, 2012, its acquisition date. The accounting policies of the reportable operating segments are the same as those described in the Summary of Significant Accounting Policies (see Note 1).</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thousands):</w:t>
      </w:r>
    </w:p>
    <w:p>
      <w:pPr>
        <w:sectPr>
          <w:pgSz w:w="11900" w:h="16876" w:orient="portrait"/>
          <w:cols w:equalWidth="0" w:num="1">
            <w:col w:w="11420"/>
          </w:cols>
          <w:pgMar w:left="240" w:top="125" w:right="239" w:bottom="0" w:gutter="0" w:footer="0" w:header="0"/>
        </w:sectPr>
      </w:pPr>
    </w:p>
    <w:p>
      <w:pPr>
        <w:spacing w:after="0" w:line="217" w:lineRule="exact"/>
        <w:rPr>
          <w:sz w:val="20"/>
          <w:szCs w:val="20"/>
          <w:color w:val="auto"/>
        </w:rPr>
      </w:pPr>
    </w:p>
    <w:p>
      <w:pPr>
        <w:jc w:val="center"/>
        <w:ind w:left="2740"/>
        <w:spacing w:after="0"/>
        <w:rPr>
          <w:sz w:val="20"/>
          <w:szCs w:val="20"/>
          <w:color w:val="auto"/>
        </w:rPr>
      </w:pPr>
      <w:r>
        <w:rPr>
          <w:rFonts w:ascii="Arial" w:cs="Arial" w:eastAsia="Arial" w:hAnsi="Arial"/>
          <w:sz w:val="13"/>
          <w:szCs w:val="13"/>
          <w:b w:val="1"/>
          <w:bCs w:val="1"/>
          <w:color w:val="auto"/>
        </w:rPr>
        <w:t>For the Three Months ended</w:t>
      </w:r>
    </w:p>
    <w:p>
      <w:pPr>
        <w:spacing w:after="0" w:line="15" w:lineRule="exact"/>
        <w:rPr>
          <w:sz w:val="20"/>
          <w:szCs w:val="20"/>
          <w:color w:val="auto"/>
        </w:rPr>
      </w:pPr>
    </w:p>
    <w:p>
      <w:pPr>
        <w:jc w:val="center"/>
        <w:ind w:left="2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-3175</wp:posOffset>
            </wp:positionV>
            <wp:extent cx="1912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76" w:orient="portrait"/>
          <w:cols w:equalWidth="0" w:num="1">
            <w:col w:w="11420"/>
          </w:cols>
          <w:pgMar w:left="240" w:top="125"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2760" w:type="dxa"/>
            <w:vAlign w:val="bottom"/>
          </w:tcPr>
          <w:p>
            <w:pPr>
              <w:spacing w:after="0"/>
              <w:rPr>
                <w:sz w:val="14"/>
                <w:szCs w:val="14"/>
                <w:color w:val="auto"/>
              </w:rPr>
            </w:pPr>
          </w:p>
        </w:tc>
      </w:tr>
      <w:tr>
        <w:trPr>
          <w:trHeight w:val="196"/>
        </w:trPr>
        <w:tc>
          <w:tcPr>
            <w:tcW w:w="34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3,930,588</w:t>
            </w:r>
          </w:p>
        </w:tc>
        <w:tc>
          <w:tcPr>
            <w:tcW w:w="14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3,411,547</w:t>
            </w: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3,717,139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3,904,191</w:t>
            </w:r>
          </w:p>
        </w:tc>
        <w:tc>
          <w:tcPr>
            <w:tcW w:w="120" w:type="dxa"/>
            <w:vAlign w:val="bottom"/>
            <w:shd w:val="clear" w:color="auto" w:fill="CCEEFF"/>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Land segment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2,536,302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2,163,317</w:t>
            </w:r>
          </w:p>
        </w:tc>
        <w:tc>
          <w:tcPr>
            <w:tcW w:w="120" w:type="dxa"/>
            <w:vAlign w:val="bottom"/>
            <w:tcBorders>
              <w:bottom w:val="single" w:sz="8" w:color="CCEEFF"/>
            </w:tcBorders>
          </w:tcPr>
          <w:p>
            <w:pPr>
              <w:spacing w:after="0"/>
              <w:rPr>
                <w:sz w:val="18"/>
                <w:szCs w:val="18"/>
                <w:color w:val="auto"/>
              </w:rPr>
            </w:pPr>
          </w:p>
        </w:tc>
        <w:tc>
          <w:tcPr>
            <w:tcW w:w="2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10,184,029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9,479,055</w:t>
            </w:r>
          </w:p>
        </w:tc>
        <w:tc>
          <w:tcPr>
            <w:tcW w:w="120" w:type="dxa"/>
            <w:vAlign w:val="bottom"/>
            <w:tcBorders>
              <w:bottom w:val="single" w:sz="8" w:color="CCEEFF"/>
            </w:tcBorders>
            <w:shd w:val="clear" w:color="auto" w:fill="CCEEFF"/>
          </w:tcPr>
          <w:p>
            <w:pPr>
              <w:spacing w:after="0"/>
              <w:rPr>
                <w:sz w:val="18"/>
                <w:szCs w:val="18"/>
                <w:color w:val="auto"/>
              </w:rPr>
            </w:pPr>
          </w:p>
        </w:tc>
        <w:tc>
          <w:tcPr>
            <w:tcW w:w="2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76,984</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64,914</w:t>
            </w: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41,682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55,077</w:t>
            </w: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63,713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37,244</w:t>
            </w:r>
          </w:p>
        </w:tc>
        <w:tc>
          <w:tcPr>
            <w:tcW w:w="2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34,880</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26,833</w:t>
            </w: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27,445</w:t>
            </w: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27,380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16,200</w:t>
            </w:r>
          </w:p>
        </w:tc>
        <w:tc>
          <w:tcPr>
            <w:tcW w:w="2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70,478</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Corporate overhead - unallocated</w:t>
            </w:r>
          </w:p>
        </w:tc>
        <w:tc>
          <w:tcPr>
            <w:tcW w:w="3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10,578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11,222</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jc w:val="right"/>
              <w:ind w:right="83"/>
              <w:spacing w:after="0"/>
              <w:rPr>
                <w:sz w:val="20"/>
                <w:szCs w:val="20"/>
                <w:color w:val="auto"/>
              </w:rPr>
            </w:pPr>
            <w:r>
              <w:rPr>
                <w:rFonts w:ascii="Arial" w:cs="Arial" w:eastAsia="Arial" w:hAnsi="Arial"/>
                <w:sz w:val="18"/>
                <w:szCs w:val="18"/>
                <w:color w:val="auto"/>
                <w:w w:val="99"/>
              </w:rPr>
              <w:t>14</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18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160"/>
              <w:spacing w:after="0" w:line="201" w:lineRule="exact"/>
              <w:rPr>
                <w:sz w:val="20"/>
                <w:szCs w:val="20"/>
                <w:color w:val="auto"/>
              </w:rPr>
            </w:pPr>
            <w:r>
              <w:rPr>
                <w:rFonts w:ascii="Arial" w:cs="Arial" w:eastAsia="Arial" w:hAnsi="Arial"/>
                <w:sz w:val="18"/>
                <w:szCs w:val="18"/>
                <w:color w:val="auto"/>
              </w:rPr>
              <w:t>Aviation segment, net of allowance for bad debt of $8,901 and $8,997 as of March 31, 2013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December 31, 2012, respectively</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694,816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674,973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Marine segment, net of allowance for bad debt of $8,425 and $7,742 as of March 31, 2013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2012, respectively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1,240,230</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1,069,833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160"/>
              <w:spacing w:after="0" w:line="201" w:lineRule="exact"/>
              <w:rPr>
                <w:sz w:val="20"/>
                <w:szCs w:val="20"/>
                <w:color w:val="auto"/>
              </w:rPr>
            </w:pPr>
            <w:r>
              <w:rPr>
                <w:rFonts w:ascii="Arial" w:cs="Arial" w:eastAsia="Arial" w:hAnsi="Arial"/>
                <w:sz w:val="18"/>
                <w:szCs w:val="18"/>
                <w:color w:val="auto"/>
                <w:w w:val="92"/>
              </w:rPr>
              <w:t>Land segment, net of allowance for bad debt of $6,804 and $6,980 as of March 31, 2013 and December 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2012, 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559,327</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449,060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2,494,373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2,193,866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Aviation segment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1,490,633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1,463,423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segment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1,519,351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Land segment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1,229,576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1,145,756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169,697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4,409,257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4,107,751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jc w:val="right"/>
              <w:ind w:right="221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2012 10-K Report and the consolidated financial statements and related notes in “Item 1</w:t>
      </w:r>
    </w:p>
    <w:p>
      <w:pPr>
        <w:spacing w:after="0" w:line="46" w:lineRule="exact"/>
        <w:rPr>
          <w:sz w:val="20"/>
          <w:szCs w:val="20"/>
          <w:color w:val="auto"/>
        </w:rPr>
      </w:pPr>
    </w:p>
    <w:p>
      <w:pPr>
        <w:ind w:right="140" w:firstLine="8"/>
        <w:spacing w:after="0" w:line="302" w:lineRule="auto"/>
        <w:tabs>
          <w:tab w:leader="none" w:pos="1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 of our 2012 10-K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Examples of forward-looking statements in this 10-Q Report include, but are not limited to, our expectations regarding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demand for our products, the</w:t>
      </w:r>
    </w:p>
    <w:p>
      <w:pPr>
        <w:sectPr>
          <w:pgSz w:w="11900" w:h="16838" w:orient="portrait"/>
          <w:cols w:equalWidth="0" w:num="1">
            <w:col w:w="11460"/>
          </w:cols>
          <w:pgMar w:left="240" w:top="118" w:right="199" w:bottom="0" w:gutter="0" w:footer="0" w:header="0"/>
        </w:sectPr>
      </w:pPr>
    </w:p>
    <w:bookmarkStart w:id="12" w:name="page13"/>
    <w:bookmarkEnd w:id="12"/>
    <w:p>
      <w:pPr>
        <w:spacing w:after="0" w:line="6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recession and its impact on the airline and shipping industries;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the fuel we sell to meet specifications;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the storage, transportation and delivery of petroleum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 such as Iraq and Afghanistan;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litigation; 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2012 10-K Report and those described from time to time in our other filings with the SEC.</w:t>
      </w:r>
    </w:p>
    <w:p>
      <w:pPr>
        <w:spacing w:after="0" w:line="17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w:t>
      </w:r>
    </w:p>
    <w:p>
      <w:pPr>
        <w:sectPr>
          <w:pgSz w:w="11900" w:h="16908" w:orient="portrait"/>
          <w:cols w:equalWidth="0" w:num="1">
            <w:col w:w="11420"/>
          </w:cols>
          <w:pgMar w:left="240" w:top="125" w:right="239" w:bottom="0" w:gutter="0" w:footer="0" w:header="0"/>
        </w:sectPr>
      </w:pPr>
    </w:p>
    <w:bookmarkStart w:id="13" w:name="page14"/>
    <w:bookmarkEnd w:id="13"/>
    <w:p>
      <w:pPr>
        <w:ind w:right="80"/>
        <w:spacing w:after="0" w:line="279" w:lineRule="auto"/>
        <w:rPr>
          <w:sz w:val="20"/>
          <w:szCs w:val="20"/>
          <w:color w:val="auto"/>
        </w:rPr>
      </w:pPr>
      <w:r>
        <w:rPr>
          <w:rFonts w:ascii="Arial" w:cs="Arial" w:eastAsia="Arial" w:hAnsi="Arial"/>
          <w:sz w:val="17"/>
          <w:szCs w:val="17"/>
          <w:color w:val="auto"/>
        </w:rPr>
        <w:t>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of 1934, as amended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leading global fuel logistics company, principally engaged in the marketing, sale and distribution of aviation, marine, and land fuel products and related services on a worldwide basis. We compete by providing our customers with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Additionally, we offer transaction management services which consist of card payment solutions and merchant processing services to customers in the aviation, marine and land transportation industries. In our aviation segment, we offer fuel and related services to major commercial airlines, second and third-tier airlines, cargo carriers, regional and low cost carriers, airports, fixed based operators, corporate fleets, fractional operators, private aircraft, military fleets and to the U.S. and foreign governments. In our marine segment, we offer fuel and related services to a broad base of marine customers, including international container and tanker fleets, commercial cruise lines, yachts and time-charter operators, as well as to the U.S. and foreign governments. In our land segment, we offer fuel and related services to petroleum distributors operating in the land transportation market, retail petroleum operators, and industrial, commercial and government customers and we engage in crude oil marketing activities.</w:t>
      </w:r>
    </w:p>
    <w:p>
      <w:pPr>
        <w:spacing w:after="0" w:line="18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our aviation and land segments, we primarily purchase and resell fuel, and we do not act as brokers. Profit from our aviation and land segments is primarily determined by the volume and the gross profit achieved on fuel resales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revenue and cost of revenue are significantly impacted by world oil prices, as evidenced in part by our revenue and cost of revenue fluctuations in recent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experience decreases in future sales volumes and margins as a result of the ongoing deterioration in the world economy, the decline of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our 2012 10-K Report.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9 to the accompanying consolidated financial statements included in this 10-Q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Our results of operations include (i) the results of the acquisition of certain assets of CarterEnergy Corporation in our land segment commencing on September 1, 2012, its acquisition date, and (ii) the results of the acquisition of certain assets of Multi Service Corporation, primarily in our land segment, commencing on December 31, 2012, its acquisition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Three Months Ended March 31, 2013 Compared to Three Months Ended March 31, 2012</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quarter of 2013 was $10.2 billion, an increase of $0.7 billion, or 7.4%, as compared to the first quarter of 2012.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3,930,588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3,411,547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519,041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Marine segment</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3,717,139</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3,904,191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(187,052)</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15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7"/>
              </w:rPr>
              <w:t>2,536,302</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2,163,317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4" w:name="page15"/>
    <w:bookmarkEnd w:id="14"/>
    <w:p>
      <w:pPr>
        <w:ind w:left="4700"/>
        <w:spacing w:after="0"/>
        <w:tabs>
          <w:tab w:leader="none" w:pos="5220" w:val="left"/>
          <w:tab w:leader="none" w:pos="6320" w:val="left"/>
          <w:tab w:leader="none" w:pos="6960" w:val="left"/>
          <w:tab w:leader="none" w:pos="7960" w:val="left"/>
          <w:tab w:leader="none" w:pos="8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10,184,029</w:t>
        <w:tab/>
        <w:t>$</w:t>
      </w:r>
      <w:r>
        <w:rPr>
          <w:sz w:val="20"/>
          <w:szCs w:val="20"/>
          <w:color w:val="auto"/>
        </w:rPr>
        <w:tab/>
      </w:r>
      <w:r>
        <w:rPr>
          <w:rFonts w:ascii="Arial" w:cs="Arial" w:eastAsia="Arial" w:hAnsi="Arial"/>
          <w:sz w:val="18"/>
          <w:szCs w:val="18"/>
          <w:color w:val="auto"/>
        </w:rPr>
        <w:t>9,479,055</w:t>
        <w:tab/>
        <w:t>$</w:t>
      </w:r>
      <w:r>
        <w:rPr>
          <w:sz w:val="20"/>
          <w:szCs w:val="20"/>
          <w:color w:val="auto"/>
        </w:rPr>
        <w:tab/>
      </w:r>
      <w:r>
        <w:rPr>
          <w:rFonts w:ascii="Arial" w:cs="Arial" w:eastAsia="Arial" w:hAnsi="Arial"/>
          <w:sz w:val="16"/>
          <w:szCs w:val="16"/>
          <w:color w:val="auto"/>
        </w:rPr>
        <w:t>704,974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14605</wp:posOffset>
            </wp:positionV>
            <wp:extent cx="29502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0210" cy="26035"/>
                    </a:xfrm>
                    <a:prstGeom prst="rect">
                      <a:avLst/>
                    </a:prstGeom>
                    <a:noFill/>
                  </pic:spPr>
                </pic:pic>
              </a:graphicData>
            </a:graphic>
          </wp:anchor>
        </w:drawing>
      </w:r>
    </w:p>
    <w:p>
      <w:pPr>
        <w:spacing w:after="0" w:line="24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aviation segment revenue for the first quarter of 2013 was $3.9 billion, an increase of $0.5 billion, or 15.2% as compared to the first quarter of 2012. Of the increase in aviation segment revenue, $0.4 billion was due to increased volume principally attributable to new and existing customers and $0.1 billion was due to an increase in the average price per gallon sold as a result of higher average jet fuel prices in the first quarter of 2013 as compared to the first quarter of 2012.</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marine segment revenue for the first quarter of 2013 was $3.7 billion, a decrease of $0.2 billion, or 4.8%, as compared to the first quarter of 2012. Of the decrease in marine segment revenue, $0.4 billion was due to a decrease in the average price per metric ton sold as a result of lower average marine fuel prices in the first quarter of 2013 as compared to the first quarter of 2012, which was partially offset by $0.2 billion in increased volume attributable to new and existing customers.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land segment revenue for the first quarter of 2013 was $2.5 billion, an increase of $0.4 billion, or 17.2%, as compared to the first quarter of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land segment revenue was principally due to the inclusion of revenue from acquired businesses.</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quarter of 2013 was $182.4 million, an increase of $25.1 million, or 16.0% as compared to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2012. Our gross profit during these periods was attributable to the following segments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76,984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64,914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Marine segment</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41,682</w:t>
            </w:r>
          </w:p>
        </w:tc>
        <w:tc>
          <w:tcPr>
            <w:tcW w:w="3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55,077</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63,713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37,244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182,379</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157,235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Our aviation segment gross profit for the first quarter of 2013 was $77.0 million, an increase of $12.1 million, or 18.6%, as compared to the first quarter of 2012. Of the increase in aviation segment gross profit, $7.1 million was due to increased volume attributable to new and existing customers, $3.7 million was due to gross profit from acquired businesses and $1.3 million was principally due to fluctuations in customer mix.</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marine segment gross profit for the first quarter of 2013 was $41.7 million, a decrease of $13.4 million, or 24.3%, as compared to the first quarter of 2012. Of the decrease in marine segment gross profit, $16.9 million was due to decreased gross profit per metric ton sold principally due to a further shift in business mix to lower risk, lower margin business and a lack of price volatility during the quarter. This was partially offset by $3.5 million in increased volume attributable to new and existing customers.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land segment gross profit for the first quarter of 2013 was $63.7 million, an increase of $26.5 million, or 71.1%, as compared to the first quarter of 2012. Of the increase in land segment gross profit, $20.4 million was due to gross profit from acquired businesses and $6.1 million was due to higher gross profit per gallon sold principally due to fluctuations in customer mix.</w:t>
      </w:r>
    </w:p>
    <w:p>
      <w:pPr>
        <w:spacing w:after="0" w:line="181"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quarter of 2013 were $115.4 million, an increase of $17.5 million, or 17.8%,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2012. The following table sets forth our expense categories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8"/>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69,429</w:t>
            </w:r>
          </w:p>
        </w:tc>
        <w:tc>
          <w:tcPr>
            <w:tcW w:w="5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54,527</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Provision for bad debt</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97,979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$14.9 million increase in compensation and employee benefits was principally due to the inclusion of expenses from acquired businesses. The $1.0 million increase in provision for bad debt was principally due to an overall increase in the accounts receivable balance. The $1.6 million increase in general and administrative expenses was due to $5.9 million related to the inclusion of expenses from acquired businesses, which was partially offset by $4.3 million in decreased expenses due to efforts to drive greater operational efficiencies.</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Income from Operations</w:t>
      </w:r>
      <w:r>
        <w:rPr>
          <w:rFonts w:ascii="Arial" w:cs="Arial" w:eastAsia="Arial" w:hAnsi="Arial"/>
          <w:sz w:val="17"/>
          <w:szCs w:val="17"/>
          <w:color w:val="auto"/>
        </w:rPr>
        <w:t>. Our income from operations for the first quarter of 2013 was $66.9 million, an increase of $7.7 million, or 13.0%,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first quarter of 2012. Income from operations during these periods was attributable to the following segments (in thousands):</w:t>
      </w: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1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34,880</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26,833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Marine segment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15,259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27,445</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27,380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16,200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83"/>
              </w:rPr>
              <w:t>70,478</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11,222</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3"/>
              </w:rPr>
              <w:t>59,256</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125" w:right="279" w:bottom="171" w:gutter="0" w:footer="0" w:header="0"/>
        </w:sectPr>
      </w:pPr>
    </w:p>
    <w:bookmarkStart w:id="15" w:name="page16"/>
    <w:bookmarkEnd w:id="15"/>
    <w:p>
      <w:pPr>
        <w:spacing w:after="0" w:line="68"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Our aviation segment income from operations for the first quarter of 2013 was $34.9 million, an increase of $8.0 million, or 30.0%, as compared to the first quarter of 2012. This increase resulted from $12.1 million in higher gross profit, which was partially offset by increased operating expenses of $4.1 million. Of the increase in aviation segment operating expenses, $2.6 million was related to the inclusion of acquired businesses.</w:t>
      </w:r>
    </w:p>
    <w:p>
      <w:pPr>
        <w:spacing w:after="0" w:line="166"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marine segment income from operations for the first quarter of 2013 was $15.3 million, a decrease of $12.2 million, or 44.4%, as compared to the first quarter of 2012. This decrease resulted from $13.4 million in lower gross profit, which was partially offset by decreased operating expenses of $1.2 million.</w:t>
      </w:r>
    </w:p>
    <w:p>
      <w:pPr>
        <w:spacing w:after="0" w:line="181"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Our land segment income from operations for the first quarter of 2013 was $27.4 million, an increase of $11.2 million, or 69.0%, as compared to the first quarter of 2012. This increase resulted from $26.5 million in higher gross profit, which was partially offset by increased operating expenses of $15.3 million. Of the increase in land segment operating expenses, $14.1 million was related to the inclusion of acquired businesses.</w:t>
      </w:r>
    </w:p>
    <w:p>
      <w:pPr>
        <w:spacing w:after="0" w:line="16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quarter of 2013 were $10.6 million, a decrease of $0.6 million, or 5.7%, as compared to the first quarter of 2012.</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i w:val="1"/>
          <w:iCs w:val="1"/>
          <w:color w:val="auto"/>
        </w:rPr>
        <w:t xml:space="preserve">Non-Operating Expenses, net. </w:t>
      </w:r>
      <w:r>
        <w:rPr>
          <w:rFonts w:ascii="Arial" w:cs="Arial" w:eastAsia="Arial" w:hAnsi="Arial"/>
          <w:sz w:val="16"/>
          <w:szCs w:val="16"/>
          <w:color w:val="auto"/>
        </w:rPr>
        <w:t>For the first quarter of 2013, we had non-operating expenses, net of $3.5 million, a decrease of $0.6 million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first quarter of 2012. This decrease was principally due to a $1.1 million decrease in interest expense and other financing costs, net as a result of lower average borrowing rates under the Credit Facility in the first quarter of 2013 as compared to the first quarter of 2012 and $0.5 million in earnings from our equity investments in the first quarter of 2013. This was partially offset by a $1.0 million change resulting from foreign currency exchange losses of $0.5 million for the first quarter of 2013 as compared to foreign currency exchange gains of $0.5 million for the first quarter of 2012.</w:t>
      </w:r>
    </w:p>
    <w:p>
      <w:pPr>
        <w:spacing w:after="0" w:line="15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first quarter of 2013, our effective income tax rate was 19.4% and our income tax provision was $12.3 million, as compared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income tax rate of 12.0% and an income tax provision of $6.6 million for the first quarter of 2012. The higher effective income tax rate for the first quarter of 2013 resulted principally from differences in the results of our subsidiaries in tax jurisdictions with different income tax rates as compared to the first quarter of 2012 and an income tax benefit of $3.3 million for a discrete item related to a change in estimate for an uncertain tax position recorded in the first quarter of 2012.</w:t>
      </w:r>
    </w:p>
    <w:p>
      <w:pPr>
        <w:spacing w:after="0" w:line="18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the first quarter of 2013 was $48.7 million, an increase of $2.3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5.0%, as compared to the first quarter of 2012. Diluted earnings per common share for the first quarter of 2013 was $0.68 per common share, an increase of $0.03 per common share, or 4.6%, as compared to the first quarter of 2012.</w:t>
      </w:r>
    </w:p>
    <w:p>
      <w:pPr>
        <w:spacing w:after="0" w:line="18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Non-GAAP Net Income and Non-GAAP Diluted Earnings per Common Share</w:t>
      </w:r>
      <w:r>
        <w:rPr>
          <w:rFonts w:ascii="Arial" w:cs="Arial" w:eastAsia="Arial" w:hAnsi="Arial"/>
          <w:sz w:val="17"/>
          <w:szCs w:val="17"/>
          <w:color w:val="auto"/>
        </w:rPr>
        <w:t>. Our non-GAAP net income for the first quarter of 2013 was $55.0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$2.1 million, or 4.0%, as compared to the first quarter of 2012. Non-GAAP diluted earnings per common share for the first quarter of 2013 was $0.77 per common share, an increase of $0.03 per common share, or 4.1%, as compared to the first quarter of 2012. The following table sets forth the reconciliation between our net income and non-GAAP net income for the first quarter of 2013 and 2012 (in thousands):</w:t>
      </w:r>
    </w:p>
    <w:p>
      <w:pPr>
        <w:spacing w:after="0" w:line="163"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For the Three Months ended</w:t>
      </w:r>
    </w:p>
    <w:p>
      <w:pPr>
        <w:jc w:val="center"/>
        <w:ind w:left="49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48,725</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w w:val="96"/>
              </w:rPr>
              <w:t>Share-based compensation expense, net of income taxes of $1,329 and $904</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for 2013 and 2012, respectively</w:t>
            </w:r>
          </w:p>
        </w:tc>
        <w:tc>
          <w:tcPr>
            <w:tcW w:w="86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2,543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Intangible asset amortization expense, net of income taxes of $2,113 and $245</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2013 and 2012, respectively</w:t>
            </w:r>
          </w:p>
        </w:tc>
        <w:tc>
          <w:tcPr>
            <w:tcW w:w="8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3,732</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color w:val="auto"/>
              </w:rPr>
              <w:t>Non-GAAP net income attributable to World Fuel</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55,000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non-GAAP diluted earnings per common share for the first quarter of 2013 and 2012:</w:t>
      </w:r>
    </w:p>
    <w:p>
      <w:pPr>
        <w:spacing w:after="0" w:line="162"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For the Three Months ended</w:t>
      </w:r>
    </w:p>
    <w:p>
      <w:pPr>
        <w:jc w:val="center"/>
        <w:ind w:left="4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36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Share-based compensation expense, net of income taxes</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7"/>
              </w:rPr>
              <w:t>Intangible asset amortization expense, net of income taxes</w:t>
            </w:r>
          </w:p>
        </w:tc>
        <w:tc>
          <w:tcPr>
            <w:tcW w:w="1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2"/>
          </w:tcPr>
          <w:p>
            <w:pPr>
              <w:ind w:left="660"/>
              <w:spacing w:after="0"/>
              <w:rPr>
                <w:sz w:val="20"/>
                <w:szCs w:val="20"/>
                <w:color w:val="auto"/>
              </w:rPr>
            </w:pPr>
            <w:r>
              <w:rPr>
                <w:rFonts w:ascii="Arial" w:cs="Arial" w:eastAsia="Arial" w:hAnsi="Arial"/>
                <w:sz w:val="18"/>
                <w:szCs w:val="18"/>
                <w:color w:val="auto"/>
              </w:rPr>
              <w:t>Non-GAAP diluted earnings per common share</w:t>
            </w:r>
          </w:p>
        </w:tc>
        <w:tc>
          <w:tcPr>
            <w:tcW w:w="14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40" w:type="dxa"/>
            <w:vAlign w:val="bottom"/>
            <w:vMerge w:val="restart"/>
          </w:tcPr>
          <w:p>
            <w:pPr>
              <w:jc w:val="right"/>
              <w:ind w:right="790"/>
              <w:spacing w:after="0"/>
              <w:rPr>
                <w:sz w:val="20"/>
                <w:szCs w:val="20"/>
                <w:color w:val="auto"/>
              </w:rPr>
            </w:pPr>
            <w:r>
              <w:rPr>
                <w:rFonts w:ascii="Arial" w:cs="Arial" w:eastAsia="Arial" w:hAnsi="Arial"/>
                <w:sz w:val="18"/>
                <w:szCs w:val="18"/>
                <w:color w:val="auto"/>
              </w:rPr>
              <w:t>21</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non-GAAP financial measures exclude costs associated with share-based compensation and amortization of acquired intangible assets,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is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w:t>
      </w:r>
    </w:p>
    <w:p>
      <w:pPr>
        <w:sectPr>
          <w:pgSz w:w="11900" w:h="16906" w:orient="portrait"/>
          <w:cols w:equalWidth="0" w:num="1">
            <w:col w:w="11460"/>
          </w:cols>
          <w:pgMar w:left="240" w:top="125" w:right="199" w:bottom="0" w:gutter="0" w:footer="0" w:header="0"/>
        </w:sectPr>
      </w:pPr>
    </w:p>
    <w:bookmarkStart w:id="16" w:name="page17"/>
    <w:bookmarkEnd w:id="16"/>
    <w:p>
      <w:pPr>
        <w:jc w:val="both"/>
        <w:ind w:right="220"/>
        <w:spacing w:after="0" w:line="264" w:lineRule="auto"/>
        <w:rPr>
          <w:sz w:val="20"/>
          <w:szCs w:val="20"/>
          <w:color w:val="auto"/>
        </w:rPr>
      </w:pPr>
      <w:r>
        <w:rPr>
          <w:rFonts w:ascii="Arial" w:cs="Arial" w:eastAsia="Arial" w:hAnsi="Arial"/>
          <w:sz w:val="18"/>
          <w:szCs w:val="18"/>
          <w:color w:val="auto"/>
        </w:rPr>
        <w:t>accordance with GAAP. In addition, our presentation of non-GAAP net income and non-GAAP earnings per common share may not be comparable to the presentation of such metrics by other companies. Investors are encouraged to review the reconciliation of these non-GAAP measures to their most directly comparable GAAP financial measure.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right="220"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three months ended March 31, 2013 and 2012. For additional details, please see the consolidated statements of cash flows.</w:t>
      </w:r>
    </w:p>
    <w:p>
      <w:pPr>
        <w:spacing w:after="0" w:line="162" w:lineRule="exact"/>
        <w:rPr>
          <w:sz w:val="20"/>
          <w:szCs w:val="20"/>
          <w:color w:val="auto"/>
        </w:rPr>
      </w:pPr>
    </w:p>
    <w:p>
      <w:pPr>
        <w:jc w:val="center"/>
        <w:ind w:left="3400"/>
        <w:spacing w:after="0"/>
        <w:rPr>
          <w:sz w:val="20"/>
          <w:szCs w:val="20"/>
          <w:color w:val="auto"/>
        </w:rPr>
      </w:pPr>
      <w:r>
        <w:rPr>
          <w:rFonts w:ascii="Arial" w:cs="Arial" w:eastAsia="Arial" w:hAnsi="Arial"/>
          <w:sz w:val="14"/>
          <w:szCs w:val="14"/>
          <w:b w:val="1"/>
          <w:bCs w:val="1"/>
          <w:color w:val="auto"/>
        </w:rPr>
        <w:t>For the Three Months ended</w:t>
      </w:r>
    </w:p>
    <w:p>
      <w:pPr>
        <w:jc w:val="center"/>
        <w:ind w:left="3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(12,949)</w:t>
            </w:r>
          </w:p>
        </w:tc>
        <w:tc>
          <w:tcPr>
            <w:tcW w:w="3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(109,053)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For the three months ended March 31, 2013, net cash provided by operating activities was $109.5 million as compared to $48.8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first three months of 2012. The $60.7 million increase in operating cash flows was primarily due to favorable year-over-year changes in working capital items.</w:t>
      </w:r>
    </w:p>
    <w:p>
      <w:pPr>
        <w:spacing w:after="0" w:line="181"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For the three months ended March 31, 2013, net cash used in investing activities was $12.9 million as compared to $4.2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three months of 2012. The $8.7 million increase in cash used in investing activities was principally due to capital expenditures for fuel transportation equipment and the upgrade and expansion of one of our inventory storage facilities during the first three months of 2013.</w:t>
      </w:r>
    </w:p>
    <w:p>
      <w:pPr>
        <w:spacing w:after="0" w:line="166"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three months ended March 31, 2013, net cash used in financing activities was $109.1 million as compared $9.2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three months of 2012. The $99.9 million increase in cash used in financing activities was principally due to net repayments of borrowings under our Credit Facility in the first three months of 2013 as compared to the first three months of 2012.</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As of March 31, 2013 and December 31, 2012, we had cash and cash equivalents of $159.6 million and $172.7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of which $74.3 million and $172.7 million, respectively, was available for usage by our U.S. subsidiaries without incurring additional costs.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 xml:space="preserve">Credit Facility and Term Loans. </w:t>
      </w:r>
      <w:r>
        <w:rPr>
          <w:rFonts w:ascii="Arial" w:cs="Arial" w:eastAsia="Arial" w:hAnsi="Arial"/>
          <w:sz w:val="16"/>
          <w:szCs w:val="16"/>
          <w:color w:val="auto"/>
        </w:rPr>
        <w:t>We have a senior revolving credit facility (“Credit Facility”) which permits borrowings of up to $800.0 million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sublimit of $300.0 million for the issuance of letters of credit and bankers’ acceptances. Under the Credit Facility, we have the right to request increases in available borrowings up to an additional $150.0 million, subject to the satisfaction of certain conditions. The Credit Facility expires in July 2016. We had no outstanding borrowings under our Credit Facility as of March 31, 2013 and had $100.5 million of outstanding borrowings as of December 31, 2012. Our issued letters of credit under the Credit Facility totaled $19.1 million and $47.4 million as of March 31, 2013 and December 31, 2012, respectively. We also had $247.3 million and $247.5 million in senior term loans (“Term Loans”) outstanding as of March 31, 2013 and December 31, 2012, respectively.</w:t>
      </w:r>
    </w:p>
    <w:p>
      <w:pPr>
        <w:spacing w:after="0" w:line="16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covenants with which we are required to comply. Our failure to comply with the financial covenants contained in our Credit Facility and our Term Loans could result in an event of default. An event of default, if not cured or waived, would permit acceleration of any outstanding indebtedness under the Credit Facility and our Term Loans, trigger cross-defaults under other agreements to which we are a party and impair our ability to borrow and issue letters of credit, which would have a material adverse effect on our business, financial condition, results of operations and cash flows. As of March 31, 2013, we were in compliance with all financial covenants contained in our Credit Facility and our Term Loans.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Other Credit Lines</w:t>
      </w:r>
      <w:r>
        <w:rPr>
          <w:rFonts w:ascii="Arial" w:cs="Arial" w:eastAsia="Arial" w:hAnsi="Arial"/>
          <w:sz w:val="17"/>
          <w:szCs w:val="17"/>
          <w:color w:val="auto"/>
        </w:rPr>
        <w:t>. Additionally, we have other uncommitted credit lines aggregating $203.3 million primarily for the issuance of letters of credit, bank</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guarantees and bankers’ acceptances. These credit lines are renewable on an annual basis and are subject to fees at market rates. As of March 31, 2013 and December 31, 2012, our outstanding letters of credit and bank guarantees under these credit lines totaled $168.9 million and $184.2 million, respectively. We also have a Receivables Purchase Agreement (“RPA”) to allow for the sale of up to $125.0 million of our accounts receivable. As of March 31, 2013, we had sold accounts receivable of $70.8 million and recorded a retained beneficial interest of $4.8 million under the RPA.</w:t>
      </w:r>
    </w:p>
    <w:p>
      <w:pPr>
        <w:spacing w:after="0" w:line="17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March 31, 2013, our short-term debt of $28.4 million represents the current maturities (within the next twelve months)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promissory notes related to acquisitions, loans payable to noncontrolling shareholders of a consolidated subsidiary, Term Loan borrowings and capital lease obligations.</w:t>
      </w:r>
    </w:p>
    <w:p>
      <w:pPr>
        <w:spacing w:after="0" w:line="18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believe that available funds from existing cash and cash equivalents and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w:t>
      </w:r>
    </w:p>
    <w:p>
      <w:pPr>
        <w:sectPr>
          <w:pgSz w:w="11900" w:h="16838" w:orient="portrait"/>
          <w:cols w:equalWidth="0" w:num="1">
            <w:col w:w="11400"/>
          </w:cols>
          <w:pgMar w:left="240" w:top="125" w:right="259" w:bottom="0" w:gutter="0" w:footer="0" w:header="0"/>
        </w:sectPr>
      </w:pPr>
    </w:p>
    <w:bookmarkStart w:id="17" w:name="page18"/>
    <w:bookmarkEnd w:id="17"/>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provided from operating activities), the state of worldwide credit markets, and our levels of outstanding debt. Depending on the severity and direct impact of these factors on us, financing may be limited or unavailable on terms favorable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2012 to March 31, 2013. For a discussion of these matters, refer to “Contractual Obligations and Off-Balance Sheet Arrangements” in Item 7 of our 2012 10-K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March 31, 2013, our net derivative obligations were $13.4 million, principally due within one year.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 xml:space="preserve">Purchase Commitment Obligations. </w:t>
      </w:r>
      <w:r>
        <w:rPr>
          <w:rFonts w:ascii="Arial" w:cs="Arial" w:eastAsia="Arial" w:hAnsi="Arial"/>
          <w:sz w:val="17"/>
          <w:szCs w:val="17"/>
          <w:color w:val="auto"/>
        </w:rPr>
        <w:t>As of March 31, 2013, our purchase commitment obligations were $25.0 million, principally due within one year.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March 31, 2013, we had issued letters of credit and bank guarantees totaling $188.0 million under our Credit Facility and other uncommitted credit lines. For additional information on our Credit Facility and other credit lines, see the discussion in “Liquidity and Capital Resources”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Information regarding recent accounting pronouncements is included in Note 1 - Significant Accounting Policies in the “Notes to the Consolidated Financial Statements” in this 10-Q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also entered into to hedge the risk of currency rate fluctuations.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March 31, 2013, our derivative instruments, at their respective fair value positions were as follows (in thousands, except weighted average fixed price and weighted average mark-to-market amount):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Settlement</w:t>
            </w: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Hedge Strategy</w:t>
            </w:r>
          </w:p>
        </w:tc>
        <w:tc>
          <w:tcPr>
            <w:tcW w:w="1080" w:type="dxa"/>
            <w:vAlign w:val="bottom"/>
            <w:gridSpan w:val="2"/>
            <w:vMerge w:val="continue"/>
          </w:tcPr>
          <w:p>
            <w:pPr>
              <w:spacing w:after="0"/>
              <w:rPr>
                <w:sz w:val="12"/>
                <w:szCs w:val="12"/>
                <w:color w:val="auto"/>
              </w:rPr>
            </w:pPr>
          </w:p>
        </w:tc>
        <w:tc>
          <w:tcPr>
            <w:tcW w:w="32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Derivative Instrument</w:t>
            </w: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Notional</w:t>
            </w: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Unit</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gridSpan w:val="3"/>
            <w:vMerge w:val="continue"/>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Period</w:t>
            </w:r>
          </w:p>
        </w:tc>
        <w:tc>
          <w:tcPr>
            <w:tcW w:w="32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Fixed Price</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contracts (long)</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Commodity contracts for inventory hedging</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Hedge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Commodity contracts for inventory hedging</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(short)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1,969</w:t>
            </w:r>
          </w:p>
        </w:tc>
        <w:tc>
          <w:tcPr>
            <w:tcW w:w="800" w:type="dxa"/>
            <w:vAlign w:val="bottom"/>
            <w:gridSpan w:val="2"/>
          </w:tcPr>
          <w:p>
            <w:pPr>
              <w:spacing w:after="0"/>
              <w:rPr>
                <w:sz w:val="20"/>
                <w:szCs w:val="20"/>
                <w:color w:val="auto"/>
              </w:rPr>
            </w:pPr>
            <w:r>
              <w:rPr>
                <w:rFonts w:ascii="Arial" w:cs="Arial" w:eastAsia="Arial" w:hAnsi="Arial"/>
                <w:sz w:val="18"/>
                <w:szCs w:val="18"/>
                <w:color w:val="auto"/>
              </w:rPr>
              <w:t>BBL</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124.88</w:t>
            </w: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Non-Designated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contracts (long)</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38,792</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Commodity contracts (short)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28,789</w:t>
            </w:r>
          </w:p>
        </w:tc>
        <w:tc>
          <w:tcPr>
            <w:tcW w:w="800" w:type="dxa"/>
            <w:vAlign w:val="bottom"/>
            <w:gridSpan w:val="2"/>
          </w:tcPr>
          <w:p>
            <w:pPr>
              <w:spacing w:after="0"/>
              <w:rPr>
                <w:sz w:val="20"/>
                <w:szCs w:val="20"/>
                <w:color w:val="auto"/>
              </w:rPr>
            </w:pPr>
            <w:r>
              <w:rPr>
                <w:rFonts w:ascii="Arial" w:cs="Arial" w:eastAsia="Arial" w:hAnsi="Arial"/>
                <w:sz w:val="18"/>
                <w:szCs w:val="18"/>
                <w:color w:val="auto"/>
              </w:rPr>
              <w:t>BBL</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88.44</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contracts (long)</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BBL</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Commodity contracts (short)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870</w:t>
            </w:r>
          </w:p>
        </w:tc>
        <w:tc>
          <w:tcPr>
            <w:tcW w:w="800" w:type="dxa"/>
            <w:vAlign w:val="bottom"/>
            <w:gridSpan w:val="2"/>
          </w:tcPr>
          <w:p>
            <w:pPr>
              <w:spacing w:after="0"/>
              <w:rPr>
                <w:sz w:val="20"/>
                <w:szCs w:val="20"/>
                <w:color w:val="auto"/>
              </w:rPr>
            </w:pPr>
            <w:r>
              <w:rPr>
                <w:rFonts w:ascii="Arial" w:cs="Arial" w:eastAsia="Arial" w:hAnsi="Arial"/>
                <w:sz w:val="18"/>
                <w:szCs w:val="18"/>
                <w:color w:val="auto"/>
              </w:rPr>
              <w:t>BBL</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77.22</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contracts (long)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Commodity contracts (short)</w:t>
            </w: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BBL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contracts (long)</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22,007</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tcPr>
          <w:p>
            <w:pPr>
              <w:jc w:val="right"/>
              <w:spacing w:after="0"/>
              <w:rPr>
                <w:sz w:val="20"/>
                <w:szCs w:val="20"/>
                <w:color w:val="auto"/>
              </w:rPr>
            </w:pPr>
            <w:r>
              <w:rPr>
                <w:rFonts w:ascii="Arial" w:cs="Arial" w:eastAsia="Arial" w:hAnsi="Arial"/>
                <w:sz w:val="18"/>
                <w:szCs w:val="18"/>
                <w:color w:val="auto"/>
              </w:rPr>
              <w:t>32,427</w:t>
            </w:r>
          </w:p>
        </w:tc>
        <w:tc>
          <w:tcPr>
            <w:tcW w:w="920" w:type="dxa"/>
            <w:vAlign w:val="bottom"/>
          </w:tcPr>
          <w:p>
            <w:pPr>
              <w:ind w:left="60"/>
              <w:spacing w:after="0"/>
              <w:rPr>
                <w:sz w:val="20"/>
                <w:szCs w:val="20"/>
                <w:color w:val="auto"/>
              </w:rPr>
            </w:pPr>
            <w:r>
              <w:rPr>
                <w:rFonts w:ascii="Arial" w:cs="Arial" w:eastAsia="Arial" w:hAnsi="Arial"/>
                <w:sz w:val="18"/>
                <w:szCs w:val="18"/>
                <w:color w:val="auto"/>
              </w:rPr>
              <w:t>AUD</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BRL</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2.02</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tcPr>
          <w:p>
            <w:pPr>
              <w:jc w:val="right"/>
              <w:spacing w:after="0"/>
              <w:rPr>
                <w:sz w:val="20"/>
                <w:szCs w:val="20"/>
                <w:color w:val="auto"/>
              </w:rPr>
            </w:pPr>
            <w:r>
              <w:rPr>
                <w:rFonts w:ascii="Arial" w:cs="Arial" w:eastAsia="Arial" w:hAnsi="Arial"/>
                <w:sz w:val="18"/>
                <w:szCs w:val="18"/>
                <w:color w:val="auto"/>
              </w:rPr>
              <w:t>71,669</w:t>
            </w:r>
          </w:p>
        </w:tc>
        <w:tc>
          <w:tcPr>
            <w:tcW w:w="920" w:type="dxa"/>
            <w:vAlign w:val="bottom"/>
          </w:tcPr>
          <w:p>
            <w:pPr>
              <w:ind w:left="60"/>
              <w:spacing w:after="0"/>
              <w:rPr>
                <w:sz w:val="20"/>
                <w:szCs w:val="20"/>
                <w:color w:val="auto"/>
              </w:rPr>
            </w:pPr>
            <w:r>
              <w:rPr>
                <w:rFonts w:ascii="Arial" w:cs="Arial" w:eastAsia="Arial" w:hAnsi="Arial"/>
                <w:sz w:val="18"/>
                <w:szCs w:val="18"/>
                <w:color w:val="auto"/>
              </w:rPr>
              <w:t>CAD</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79,647</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CAD</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tcPr>
          <w:p>
            <w:pPr>
              <w:jc w:val="right"/>
              <w:spacing w:after="0"/>
              <w:rPr>
                <w:sz w:val="20"/>
                <w:szCs w:val="20"/>
                <w:color w:val="auto"/>
              </w:rPr>
            </w:pPr>
            <w:r>
              <w:rPr>
                <w:rFonts w:ascii="Arial" w:cs="Arial" w:eastAsia="Arial" w:hAnsi="Arial"/>
                <w:sz w:val="18"/>
                <w:szCs w:val="18"/>
                <w:color w:val="auto"/>
              </w:rPr>
              <w:t>2,598,733</w:t>
            </w:r>
          </w:p>
        </w:tc>
        <w:tc>
          <w:tcPr>
            <w:tcW w:w="920" w:type="dxa"/>
            <w:vAlign w:val="bottom"/>
          </w:tcPr>
          <w:p>
            <w:pPr>
              <w:ind w:left="60"/>
              <w:spacing w:after="0"/>
              <w:rPr>
                <w:sz w:val="20"/>
                <w:szCs w:val="20"/>
                <w:color w:val="auto"/>
              </w:rPr>
            </w:pPr>
            <w:r>
              <w:rPr>
                <w:rFonts w:ascii="Arial" w:cs="Arial" w:eastAsia="Arial" w:hAnsi="Arial"/>
                <w:sz w:val="18"/>
                <w:szCs w:val="18"/>
                <w:color w:val="auto"/>
              </w:rPr>
              <w:t>CLP</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474.79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1,163,807</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CLP</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479.85</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tcPr>
          <w:p>
            <w:pPr>
              <w:jc w:val="right"/>
              <w:spacing w:after="0"/>
              <w:rPr>
                <w:sz w:val="20"/>
                <w:szCs w:val="20"/>
                <w:color w:val="auto"/>
              </w:rPr>
            </w:pPr>
            <w:r>
              <w:rPr>
                <w:rFonts w:ascii="Arial" w:cs="Arial" w:eastAsia="Arial" w:hAnsi="Arial"/>
                <w:sz w:val="18"/>
                <w:szCs w:val="18"/>
                <w:color w:val="auto"/>
              </w:rPr>
              <w:t>48,270,679</w:t>
            </w:r>
          </w:p>
        </w:tc>
        <w:tc>
          <w:tcPr>
            <w:tcW w:w="920" w:type="dxa"/>
            <w:vAlign w:val="bottom"/>
          </w:tcPr>
          <w:p>
            <w:pPr>
              <w:ind w:left="60"/>
              <w:spacing w:after="0"/>
              <w:rPr>
                <w:sz w:val="20"/>
                <w:szCs w:val="20"/>
                <w:color w:val="auto"/>
              </w:rPr>
            </w:pPr>
            <w:r>
              <w:rPr>
                <w:rFonts w:ascii="Arial" w:cs="Arial" w:eastAsia="Arial" w:hAnsi="Arial"/>
                <w:sz w:val="18"/>
                <w:szCs w:val="18"/>
                <w:color w:val="auto"/>
              </w:rPr>
              <w:t>COP</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1,800.41</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42,162,424</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COP</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1,804.60</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tcPr>
          <w:p>
            <w:pPr>
              <w:jc w:val="right"/>
              <w:spacing w:after="0"/>
              <w:rPr>
                <w:sz w:val="20"/>
                <w:szCs w:val="20"/>
                <w:color w:val="auto"/>
              </w:rPr>
            </w:pPr>
            <w:r>
              <w:rPr>
                <w:rFonts w:ascii="Arial" w:cs="Arial" w:eastAsia="Arial" w:hAnsi="Arial"/>
                <w:sz w:val="18"/>
                <w:szCs w:val="18"/>
                <w:color w:val="auto"/>
              </w:rPr>
              <w:t>39,638</w:t>
            </w:r>
          </w:p>
        </w:tc>
        <w:tc>
          <w:tcPr>
            <w:tcW w:w="920" w:type="dxa"/>
            <w:vAlign w:val="bottom"/>
          </w:tcPr>
          <w:p>
            <w:pPr>
              <w:ind w:left="60"/>
              <w:spacing w:after="0"/>
              <w:rPr>
                <w:sz w:val="20"/>
                <w:szCs w:val="20"/>
                <w:color w:val="auto"/>
              </w:rPr>
            </w:pPr>
            <w:r>
              <w:rPr>
                <w:rFonts w:ascii="Arial" w:cs="Arial" w:eastAsia="Arial" w:hAnsi="Arial"/>
                <w:sz w:val="18"/>
                <w:szCs w:val="18"/>
                <w:color w:val="auto"/>
              </w:rPr>
              <w:t>DKK</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5.68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25,010</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DKK</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5.72</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tcPr>
          <w:p>
            <w:pPr>
              <w:jc w:val="right"/>
              <w:spacing w:after="0"/>
              <w:rPr>
                <w:sz w:val="20"/>
                <w:szCs w:val="20"/>
                <w:color w:val="auto"/>
              </w:rPr>
            </w:pPr>
            <w:r>
              <w:rPr>
                <w:rFonts w:ascii="Arial" w:cs="Arial" w:eastAsia="Arial" w:hAnsi="Arial"/>
                <w:sz w:val="18"/>
                <w:szCs w:val="18"/>
                <w:color w:val="auto"/>
              </w:rPr>
              <w:t>17,069</w:t>
            </w:r>
          </w:p>
        </w:tc>
        <w:tc>
          <w:tcPr>
            <w:tcW w:w="920" w:type="dxa"/>
            <w:vAlign w:val="bottom"/>
          </w:tcPr>
          <w:p>
            <w:pPr>
              <w:ind w:left="60"/>
              <w:spacing w:after="0"/>
              <w:rPr>
                <w:sz w:val="20"/>
                <w:szCs w:val="20"/>
                <w:color w:val="auto"/>
              </w:rPr>
            </w:pPr>
            <w:r>
              <w:rPr>
                <w:rFonts w:ascii="Arial" w:cs="Arial" w:eastAsia="Arial" w:hAnsi="Arial"/>
                <w:sz w:val="18"/>
                <w:szCs w:val="18"/>
                <w:color w:val="auto"/>
              </w:rPr>
              <w:t>EUR</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0.76</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34,160</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0.76</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tcPr>
          <w:p>
            <w:pPr>
              <w:jc w:val="right"/>
              <w:spacing w:after="0"/>
              <w:rPr>
                <w:sz w:val="20"/>
                <w:szCs w:val="20"/>
                <w:color w:val="auto"/>
              </w:rPr>
            </w:pPr>
            <w:r>
              <w:rPr>
                <w:rFonts w:ascii="Arial" w:cs="Arial" w:eastAsia="Arial" w:hAnsi="Arial"/>
                <w:sz w:val="18"/>
                <w:szCs w:val="18"/>
                <w:color w:val="auto"/>
              </w:rPr>
              <w:t>136,493</w:t>
            </w:r>
          </w:p>
        </w:tc>
        <w:tc>
          <w:tcPr>
            <w:tcW w:w="920" w:type="dxa"/>
            <w:vAlign w:val="bottom"/>
          </w:tcPr>
          <w:p>
            <w:pPr>
              <w:ind w:left="60"/>
              <w:spacing w:after="0"/>
              <w:rPr>
                <w:sz w:val="20"/>
                <w:szCs w:val="20"/>
                <w:color w:val="auto"/>
              </w:rPr>
            </w:pPr>
            <w:r>
              <w:rPr>
                <w:rFonts w:ascii="Arial" w:cs="Arial" w:eastAsia="Arial" w:hAnsi="Arial"/>
                <w:sz w:val="18"/>
                <w:szCs w:val="18"/>
                <w:color w:val="auto"/>
              </w:rPr>
              <w:t>GBP</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0.64</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(4,982)</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193,282</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GBP</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0.64</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tcPr>
          <w:p>
            <w:pPr>
              <w:jc w:val="right"/>
              <w:spacing w:after="0"/>
              <w:rPr>
                <w:sz w:val="20"/>
                <w:szCs w:val="20"/>
                <w:color w:val="auto"/>
              </w:rPr>
            </w:pPr>
            <w:r>
              <w:rPr>
                <w:rFonts w:ascii="Arial" w:cs="Arial" w:eastAsia="Arial" w:hAnsi="Arial"/>
                <w:sz w:val="18"/>
                <w:szCs w:val="18"/>
                <w:color w:val="auto"/>
              </w:rPr>
              <w:t>111,367</w:t>
            </w:r>
          </w:p>
        </w:tc>
        <w:tc>
          <w:tcPr>
            <w:tcW w:w="920" w:type="dxa"/>
            <w:vAlign w:val="bottom"/>
          </w:tcPr>
          <w:p>
            <w:pPr>
              <w:ind w:left="60"/>
              <w:spacing w:after="0"/>
              <w:rPr>
                <w:sz w:val="20"/>
                <w:szCs w:val="20"/>
                <w:color w:val="auto"/>
              </w:rPr>
            </w:pPr>
            <w:r>
              <w:rPr>
                <w:rFonts w:ascii="Arial" w:cs="Arial" w:eastAsia="Arial" w:hAnsi="Arial"/>
                <w:sz w:val="18"/>
                <w:szCs w:val="18"/>
                <w:color w:val="auto"/>
              </w:rPr>
              <w:t>INR</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54.73</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110,038</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JPY</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84.51</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tcPr>
          <w:p>
            <w:pPr>
              <w:jc w:val="right"/>
              <w:spacing w:after="0"/>
              <w:rPr>
                <w:sz w:val="20"/>
                <w:szCs w:val="20"/>
                <w:color w:val="auto"/>
              </w:rPr>
            </w:pPr>
            <w:r>
              <w:rPr>
                <w:rFonts w:ascii="Arial" w:cs="Arial" w:eastAsia="Arial" w:hAnsi="Arial"/>
                <w:sz w:val="18"/>
                <w:szCs w:val="18"/>
                <w:color w:val="auto"/>
              </w:rPr>
              <w:t>210,921</w:t>
            </w:r>
          </w:p>
        </w:tc>
        <w:tc>
          <w:tcPr>
            <w:tcW w:w="920" w:type="dxa"/>
            <w:vAlign w:val="bottom"/>
          </w:tcPr>
          <w:p>
            <w:pPr>
              <w:ind w:left="60"/>
              <w:spacing w:after="0"/>
              <w:rPr>
                <w:sz w:val="20"/>
                <w:szCs w:val="20"/>
                <w:color w:val="auto"/>
              </w:rPr>
            </w:pPr>
            <w:r>
              <w:rPr>
                <w:rFonts w:ascii="Arial" w:cs="Arial" w:eastAsia="Arial" w:hAnsi="Arial"/>
                <w:sz w:val="18"/>
                <w:szCs w:val="18"/>
                <w:color w:val="auto"/>
              </w:rPr>
              <w:t>JPY</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86.79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1,586,573</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MXN</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12.75</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tcPr>
          <w:p>
            <w:pPr>
              <w:jc w:val="right"/>
              <w:spacing w:after="0"/>
              <w:rPr>
                <w:sz w:val="20"/>
                <w:szCs w:val="20"/>
                <w:color w:val="auto"/>
              </w:rPr>
            </w:pPr>
            <w:r>
              <w:rPr>
                <w:rFonts w:ascii="Arial" w:cs="Arial" w:eastAsia="Arial" w:hAnsi="Arial"/>
                <w:sz w:val="18"/>
                <w:szCs w:val="18"/>
                <w:color w:val="auto"/>
              </w:rPr>
              <w:t>1,471,020</w:t>
            </w:r>
          </w:p>
        </w:tc>
        <w:tc>
          <w:tcPr>
            <w:tcW w:w="920" w:type="dxa"/>
            <w:vAlign w:val="bottom"/>
          </w:tcPr>
          <w:p>
            <w:pPr>
              <w:ind w:left="60"/>
              <w:spacing w:after="0"/>
              <w:rPr>
                <w:sz w:val="20"/>
                <w:szCs w:val="20"/>
                <w:color w:val="auto"/>
              </w:rPr>
            </w:pPr>
            <w:r>
              <w:rPr>
                <w:rFonts w:ascii="Arial" w:cs="Arial" w:eastAsia="Arial" w:hAnsi="Arial"/>
                <w:sz w:val="18"/>
                <w:szCs w:val="18"/>
                <w:color w:val="auto"/>
              </w:rPr>
              <w:t>MXN</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12.78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(3,450)</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NOK</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5.67</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tcPr>
          <w:p>
            <w:pPr>
              <w:jc w:val="right"/>
              <w:spacing w:after="0"/>
              <w:rPr>
                <w:sz w:val="20"/>
                <w:szCs w:val="20"/>
                <w:color w:val="auto"/>
              </w:rPr>
            </w:pPr>
            <w:r>
              <w:rPr>
                <w:rFonts w:ascii="Arial" w:cs="Arial" w:eastAsia="Arial" w:hAnsi="Arial"/>
                <w:sz w:val="18"/>
                <w:szCs w:val="18"/>
                <w:color w:val="auto"/>
              </w:rPr>
              <w:t>16,367</w:t>
            </w:r>
          </w:p>
        </w:tc>
        <w:tc>
          <w:tcPr>
            <w:tcW w:w="920" w:type="dxa"/>
            <w:vAlign w:val="bottom"/>
          </w:tcPr>
          <w:p>
            <w:pPr>
              <w:ind w:left="60"/>
              <w:spacing w:after="0"/>
              <w:rPr>
                <w:sz w:val="20"/>
                <w:szCs w:val="20"/>
                <w:color w:val="auto"/>
              </w:rPr>
            </w:pPr>
            <w:r>
              <w:rPr>
                <w:rFonts w:ascii="Arial" w:cs="Arial" w:eastAsia="Arial" w:hAnsi="Arial"/>
                <w:sz w:val="18"/>
                <w:szCs w:val="18"/>
                <w:color w:val="auto"/>
              </w:rPr>
              <w:t>NOK</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5.66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PLN</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3.22</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tcPr>
          <w:p>
            <w:pPr>
              <w:jc w:val="right"/>
              <w:spacing w:after="0"/>
              <w:rPr>
                <w:sz w:val="20"/>
                <w:szCs w:val="20"/>
                <w:color w:val="auto"/>
              </w:rPr>
            </w:pPr>
            <w:r>
              <w:rPr>
                <w:rFonts w:ascii="Arial" w:cs="Arial" w:eastAsia="Arial" w:hAnsi="Arial"/>
                <w:sz w:val="18"/>
                <w:szCs w:val="18"/>
                <w:color w:val="auto"/>
              </w:rPr>
              <w:t>9,160</w:t>
            </w:r>
          </w:p>
        </w:tc>
        <w:tc>
          <w:tcPr>
            <w:tcW w:w="920" w:type="dxa"/>
            <w:vAlign w:val="bottom"/>
          </w:tcPr>
          <w:p>
            <w:pPr>
              <w:ind w:left="60"/>
              <w:spacing w:after="0"/>
              <w:rPr>
                <w:sz w:val="20"/>
                <w:szCs w:val="20"/>
                <w:color w:val="auto"/>
              </w:rPr>
            </w:pPr>
            <w:r>
              <w:rPr>
                <w:rFonts w:ascii="Arial" w:cs="Arial" w:eastAsia="Arial" w:hAnsi="Arial"/>
                <w:sz w:val="18"/>
                <w:szCs w:val="18"/>
                <w:color w:val="auto"/>
              </w:rPr>
              <w:t>PLN</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3.17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RON</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3.42</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tcPr>
          <w:p>
            <w:pPr>
              <w:jc w:val="right"/>
              <w:spacing w:after="0"/>
              <w:rPr>
                <w:sz w:val="20"/>
                <w:szCs w:val="20"/>
                <w:color w:val="auto"/>
              </w:rPr>
            </w:pPr>
            <w:r>
              <w:rPr>
                <w:rFonts w:ascii="Arial" w:cs="Arial" w:eastAsia="Arial" w:hAnsi="Arial"/>
                <w:sz w:val="18"/>
                <w:szCs w:val="18"/>
                <w:color w:val="auto"/>
              </w:rPr>
              <w:t>27,737</w:t>
            </w:r>
          </w:p>
        </w:tc>
        <w:tc>
          <w:tcPr>
            <w:tcW w:w="920" w:type="dxa"/>
            <w:vAlign w:val="bottom"/>
          </w:tcPr>
          <w:p>
            <w:pPr>
              <w:ind w:left="60"/>
              <w:spacing w:after="0"/>
              <w:rPr>
                <w:sz w:val="20"/>
                <w:szCs w:val="20"/>
                <w:color w:val="auto"/>
              </w:rPr>
            </w:pPr>
            <w:r>
              <w:rPr>
                <w:rFonts w:ascii="Arial" w:cs="Arial" w:eastAsia="Arial" w:hAnsi="Arial"/>
                <w:sz w:val="18"/>
                <w:szCs w:val="18"/>
                <w:color w:val="auto"/>
              </w:rPr>
              <w:t>SGD</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1.23</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SGD</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1.24</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tcPr>
          <w:p>
            <w:pPr>
              <w:jc w:val="right"/>
              <w:spacing w:after="0"/>
              <w:rPr>
                <w:sz w:val="20"/>
                <w:szCs w:val="20"/>
                <w:color w:val="auto"/>
              </w:rPr>
            </w:pPr>
            <w:r>
              <w:rPr>
                <w:rFonts w:ascii="Arial" w:cs="Arial" w:eastAsia="Arial" w:hAnsi="Arial"/>
                <w:sz w:val="18"/>
                <w:szCs w:val="18"/>
                <w:color w:val="auto"/>
              </w:rPr>
              <w:t>30,264</w:t>
            </w:r>
          </w:p>
        </w:tc>
        <w:tc>
          <w:tcPr>
            <w:tcW w:w="920" w:type="dxa"/>
            <w:vAlign w:val="bottom"/>
          </w:tcPr>
          <w:p>
            <w:pPr>
              <w:ind w:left="60"/>
              <w:spacing w:after="0"/>
              <w:rPr>
                <w:sz w:val="20"/>
                <w:szCs w:val="20"/>
                <w:color w:val="auto"/>
              </w:rPr>
            </w:pPr>
            <w:r>
              <w:rPr>
                <w:rFonts w:ascii="Arial" w:cs="Arial" w:eastAsia="Arial" w:hAnsi="Arial"/>
                <w:sz w:val="18"/>
                <w:szCs w:val="18"/>
                <w:color w:val="auto"/>
              </w:rPr>
              <w:t>ZAR</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9.12</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2014</w:t>
            </w:r>
          </w:p>
        </w:tc>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contracts (long)</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GBP</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0.62</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274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3200" w:type="dxa"/>
            <w:vAlign w:val="bottom"/>
          </w:tcPr>
          <w:p>
            <w:pPr>
              <w:ind w:left="220"/>
              <w:spacing w:after="0"/>
              <w:rPr>
                <w:sz w:val="20"/>
                <w:szCs w:val="20"/>
                <w:color w:val="auto"/>
              </w:rPr>
            </w:pPr>
            <w:r>
              <w:rPr>
                <w:rFonts w:ascii="Arial" w:cs="Arial" w:eastAsia="Arial" w:hAnsi="Arial"/>
                <w:sz w:val="18"/>
                <w:szCs w:val="18"/>
                <w:color w:val="auto"/>
              </w:rPr>
              <w:t>Foreign currency contracts (short)</w:t>
            </w:r>
          </w:p>
        </w:tc>
        <w:tc>
          <w:tcPr>
            <w:tcW w:w="1400" w:type="dxa"/>
            <w:vAlign w:val="bottom"/>
          </w:tcPr>
          <w:p>
            <w:pPr>
              <w:jc w:val="right"/>
              <w:spacing w:after="0"/>
              <w:rPr>
                <w:sz w:val="20"/>
                <w:szCs w:val="20"/>
                <w:color w:val="auto"/>
              </w:rPr>
            </w:pPr>
            <w:r>
              <w:rPr>
                <w:rFonts w:ascii="Arial" w:cs="Arial" w:eastAsia="Arial" w:hAnsi="Arial"/>
                <w:sz w:val="18"/>
                <w:szCs w:val="18"/>
                <w:color w:val="auto"/>
              </w:rPr>
              <w:t>4,290</w:t>
            </w:r>
          </w:p>
        </w:tc>
        <w:tc>
          <w:tcPr>
            <w:tcW w:w="920" w:type="dxa"/>
            <w:vAlign w:val="bottom"/>
          </w:tcPr>
          <w:p>
            <w:pPr>
              <w:ind w:left="60"/>
              <w:spacing w:after="0"/>
              <w:rPr>
                <w:sz w:val="20"/>
                <w:szCs w:val="20"/>
                <w:color w:val="auto"/>
              </w:rPr>
            </w:pPr>
            <w:r>
              <w:rPr>
                <w:rFonts w:ascii="Arial" w:cs="Arial" w:eastAsia="Arial" w:hAnsi="Arial"/>
                <w:sz w:val="18"/>
                <w:szCs w:val="18"/>
                <w:color w:val="auto"/>
              </w:rPr>
              <w:t>GBP</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0.64</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0"/>
        </w:trPr>
        <w:tc>
          <w:tcPr>
            <w:tcW w:w="2740" w:type="dxa"/>
            <w:vAlign w:val="bottom"/>
            <w:tcBorders>
              <w:top w:val="single" w:sz="8" w:color="CCEEFF"/>
              <w:bottom w:val="single" w:sz="8" w:color="CCEEFF"/>
            </w:tcBorders>
            <w:shd w:val="clear" w:color="auto" w:fill="CCEEFF"/>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2012. Please refer to our 2012 10-K Report for a complete discussion of our exposure to these risks.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Chief Executive Officer and Chief Financial Officer, the effectiveness of the design and operation of our disclosure controls and procedures pursuant to Exchange Act Rule 13a-15(e). Based upon this evaluation, the Chief Executive Officer and Chief Financial Officer concluded that our disclosure controls and procedures were effective as of March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March 31, 2013.</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March 31, 2013 (in thousands, except average per share):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Total Number</w:t>
            </w:r>
          </w:p>
        </w:tc>
        <w:tc>
          <w:tcPr>
            <w:tcW w:w="2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Total Cost of</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Remaining Authorized</w:t>
            </w:r>
          </w:p>
        </w:tc>
      </w:tr>
      <w:tr>
        <w:trPr>
          <w:trHeight w:val="135"/>
        </w:trPr>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of Shares Purchased</w:t>
            </w:r>
          </w:p>
        </w:tc>
        <w:tc>
          <w:tcPr>
            <w:tcW w:w="2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Shares Purchased</w:t>
            </w: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 Stock</w:t>
            </w:r>
          </w:p>
        </w:tc>
      </w:tr>
      <w:tr>
        <w:trPr>
          <w:trHeight w:val="135"/>
        </w:trPr>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Total Number</w:t>
            </w:r>
          </w:p>
        </w:tc>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as Part of Publicly</w:t>
            </w:r>
          </w:p>
        </w:tc>
        <w:tc>
          <w:tcPr>
            <w:tcW w:w="2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as Part of Publicly</w:t>
            </w: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Repurchases under</w:t>
            </w:r>
          </w:p>
        </w:tc>
      </w:tr>
      <w:tr>
        <w:trPr>
          <w:trHeight w:val="135"/>
        </w:trPr>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of Shares</w:t>
            </w:r>
          </w:p>
        </w:tc>
        <w:tc>
          <w:tcPr>
            <w:tcW w:w="1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Average Price</w:t>
            </w:r>
          </w:p>
        </w:tc>
        <w:tc>
          <w:tcPr>
            <w:tcW w:w="2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Announced Plans</w:t>
            </w:r>
          </w:p>
        </w:tc>
        <w:tc>
          <w:tcPr>
            <w:tcW w:w="2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Announced Plans</w:t>
            </w:r>
          </w:p>
        </w:tc>
        <w:tc>
          <w:tcPr>
            <w:tcW w:w="1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Publicly Announced</w:t>
            </w:r>
          </w:p>
        </w:tc>
      </w:tr>
      <w:tr>
        <w:trPr>
          <w:trHeight w:val="153"/>
        </w:trPr>
        <w:tc>
          <w:tcPr>
            <w:tcW w:w="1420" w:type="dxa"/>
            <w:vAlign w:val="bottom"/>
            <w:gridSpan w:val="2"/>
          </w:tcPr>
          <w:p>
            <w:pPr>
              <w:spacing w:after="0"/>
              <w:rPr>
                <w:sz w:val="20"/>
                <w:szCs w:val="20"/>
                <w:color w:val="auto"/>
              </w:rPr>
            </w:pPr>
            <w:r>
              <w:rPr>
                <w:rFonts w:ascii="Arial" w:cs="Arial" w:eastAsia="Arial" w:hAnsi="Arial"/>
                <w:sz w:val="13"/>
                <w:szCs w:val="13"/>
                <w:b w:val="1"/>
                <w:bCs w:val="1"/>
                <w:color w:val="auto"/>
              </w:rPr>
              <w:t>Period</w:t>
            </w: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Purchased (1)</w:t>
            </w:r>
          </w:p>
        </w:tc>
        <w:tc>
          <w:tcPr>
            <w:tcW w:w="1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Per Share Paid</w:t>
            </w:r>
          </w:p>
        </w:tc>
        <w:tc>
          <w:tcPr>
            <w:tcW w:w="2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or Programs (2)</w:t>
            </w:r>
          </w:p>
        </w:tc>
        <w:tc>
          <w:tcPr>
            <w:tcW w:w="2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or Programs (2)</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Plans or Programs (2)</w:t>
            </w:r>
          </w:p>
        </w:tc>
      </w:tr>
      <w:tr>
        <w:trPr>
          <w:trHeight w:val="165"/>
        </w:trPr>
        <w:tc>
          <w:tcPr>
            <w:tcW w:w="1140" w:type="dxa"/>
            <w:vAlign w:val="bottom"/>
            <w:tcBorders>
              <w:top w:val="single" w:sz="8" w:color="auto"/>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60" w:type="dxa"/>
            <w:vAlign w:val="bottom"/>
            <w:tcBorders>
              <w:top w:val="single" w:sz="8" w:color="auto"/>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40" w:type="dxa"/>
            <w:vAlign w:val="bottom"/>
            <w:tcBorders>
              <w:top w:val="single" w:sz="8" w:color="auto"/>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0" w:type="dxa"/>
            <w:vAlign w:val="bottom"/>
            <w:tcBorders>
              <w:top w:val="single" w:sz="8" w:color="auto"/>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80" w:type="dxa"/>
            <w:vAlign w:val="bottom"/>
            <w:tcBorders>
              <w:top w:val="single" w:sz="8" w:color="auto"/>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0" w:type="dxa"/>
            <w:vAlign w:val="bottom"/>
            <w:tcBorders>
              <w:top w:val="single" w:sz="8" w:color="auto"/>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bl>
    <w:p>
      <w:pPr>
        <w:sectPr>
          <w:pgSz w:w="11900" w:h="16900"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shd w:val="clear" w:color="auto" w:fill="CCEEFF"/>
          </w:tcPr>
          <w:p>
            <w:pPr>
              <w:jc w:val="center"/>
              <w:ind w:right="217"/>
              <w:spacing w:after="0"/>
              <w:rPr>
                <w:sz w:val="20"/>
                <w:szCs w:val="20"/>
                <w:color w:val="auto"/>
              </w:rPr>
            </w:pPr>
            <w:r>
              <w:rPr>
                <w:rFonts w:ascii="Arial" w:cs="Arial" w:eastAsia="Arial" w:hAnsi="Arial"/>
                <w:sz w:val="13"/>
                <w:szCs w:val="13"/>
                <w:color w:val="auto"/>
                <w:w w:val="88"/>
              </w:rPr>
              <w:t>1/1/13-1/31/13</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93"/>
              <w:spacing w:after="0"/>
              <w:rPr>
                <w:sz w:val="20"/>
                <w:szCs w:val="20"/>
                <w:color w:val="auto"/>
              </w:rPr>
            </w:pPr>
            <w:r>
              <w:rPr>
                <w:rFonts w:ascii="Arial" w:cs="Arial" w:eastAsia="Arial" w:hAnsi="Arial"/>
                <w:sz w:val="9"/>
                <w:szCs w:val="9"/>
                <w:color w:val="auto"/>
                <w:w w:val="78"/>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140" w:type="dxa"/>
            <w:vAlign w:val="bottom"/>
            <w:gridSpan w:val="2"/>
            <w:shd w:val="clear" w:color="auto" w:fill="CCEEFF"/>
          </w:tcPr>
          <w:p>
            <w:pPr>
              <w:ind w:left="18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813"/>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spacing w:after="0"/>
              <w:rPr>
                <w:sz w:val="13"/>
                <w:szCs w:val="13"/>
                <w:color w:val="auto"/>
              </w:rPr>
            </w:pPr>
          </w:p>
        </w:tc>
      </w:tr>
      <w:tr>
        <w:trPr>
          <w:trHeight w:val="135"/>
        </w:trPr>
        <w:tc>
          <w:tcPr>
            <w:tcW w:w="142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8"/>
              </w:rPr>
              <w:t>2/1/13-2/28/13</w:t>
            </w:r>
          </w:p>
        </w:tc>
        <w:tc>
          <w:tcPr>
            <w:tcW w:w="1540" w:type="dxa"/>
            <w:vAlign w:val="bottom"/>
            <w:gridSpan w:val="2"/>
          </w:tcPr>
          <w:p>
            <w:pPr>
              <w:ind w:left="114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1"/>
                <w:szCs w:val="11"/>
                <w:color w:val="auto"/>
              </w:rPr>
            </w:pPr>
          </w:p>
        </w:tc>
        <w:tc>
          <w:tcPr>
            <w:tcW w:w="12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140" w:type="dxa"/>
            <w:vAlign w:val="bottom"/>
            <w:gridSpan w:val="2"/>
          </w:tcPr>
          <w:p>
            <w:pPr>
              <w:ind w:left="18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gridSpan w:val="2"/>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50,000</w:t>
            </w:r>
          </w:p>
        </w:tc>
        <w:tc>
          <w:tcPr>
            <w:tcW w:w="120" w:type="dxa"/>
            <w:vAlign w:val="bottom"/>
          </w:tcPr>
          <w:p>
            <w:pPr>
              <w:spacing w:after="0"/>
              <w:rPr>
                <w:sz w:val="11"/>
                <w:szCs w:val="11"/>
                <w:color w:val="auto"/>
              </w:rPr>
            </w:pPr>
          </w:p>
        </w:tc>
      </w:tr>
      <w:tr>
        <w:trPr>
          <w:trHeight w:val="135"/>
        </w:trPr>
        <w:tc>
          <w:tcPr>
            <w:tcW w:w="1420" w:type="dxa"/>
            <w:vAlign w:val="bottom"/>
            <w:shd w:val="clear" w:color="auto" w:fill="CCEEFF"/>
          </w:tcPr>
          <w:p>
            <w:pPr>
              <w:jc w:val="center"/>
              <w:ind w:right="217"/>
              <w:spacing w:after="0" w:line="135" w:lineRule="exact"/>
              <w:rPr>
                <w:sz w:val="20"/>
                <w:szCs w:val="20"/>
                <w:color w:val="auto"/>
              </w:rPr>
            </w:pPr>
            <w:r>
              <w:rPr>
                <w:rFonts w:ascii="Arial" w:cs="Arial" w:eastAsia="Arial" w:hAnsi="Arial"/>
                <w:sz w:val="13"/>
                <w:szCs w:val="13"/>
                <w:color w:val="auto"/>
                <w:w w:val="88"/>
              </w:rPr>
              <w:t>3/1/13-3/31/13</w:t>
            </w:r>
          </w:p>
        </w:tc>
        <w:tc>
          <w:tcPr>
            <w:tcW w:w="1260" w:type="dxa"/>
            <w:vAlign w:val="bottom"/>
            <w:shd w:val="clear" w:color="auto" w:fill="CCEEFF"/>
          </w:tcPr>
          <w:p>
            <w:pPr>
              <w:ind w:left="1140"/>
              <w:spacing w:after="0" w:line="135" w:lineRule="exact"/>
              <w:rPr>
                <w:sz w:val="20"/>
                <w:szCs w:val="20"/>
                <w:color w:val="auto"/>
              </w:rPr>
            </w:pPr>
            <w:r>
              <w:rPr>
                <w:rFonts w:ascii="Arial" w:cs="Arial" w:eastAsia="Arial" w:hAnsi="Arial"/>
                <w:sz w:val="12"/>
                <w:szCs w:val="12"/>
                <w:color w:val="auto"/>
                <w:w w:val="74"/>
              </w:rPr>
              <w:t>13</w:t>
            </w: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39.58</w:t>
            </w:r>
          </w:p>
        </w:tc>
        <w:tc>
          <w:tcPr>
            <w:tcW w:w="26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18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spacing w:after="0"/>
              <w:rPr>
                <w:sz w:val="11"/>
                <w:szCs w:val="11"/>
                <w:color w:val="auto"/>
              </w:rPr>
            </w:pPr>
          </w:p>
        </w:tc>
      </w:tr>
      <w:tr>
        <w:trPr>
          <w:trHeight w:val="129"/>
        </w:trPr>
        <w:tc>
          <w:tcPr>
            <w:tcW w:w="1420" w:type="dxa"/>
            <w:vAlign w:val="bottom"/>
          </w:tcPr>
          <w:p>
            <w:pPr>
              <w:jc w:val="center"/>
              <w:ind w:right="217"/>
              <w:spacing w:after="0" w:line="129" w:lineRule="exact"/>
              <w:rPr>
                <w:sz w:val="20"/>
                <w:szCs w:val="20"/>
                <w:color w:val="auto"/>
              </w:rPr>
            </w:pPr>
            <w:r>
              <w:rPr>
                <w:rFonts w:ascii="Arial" w:cs="Arial" w:eastAsia="Arial" w:hAnsi="Arial"/>
                <w:sz w:val="13"/>
                <w:szCs w:val="13"/>
                <w:color w:val="auto"/>
                <w:w w:val="89"/>
              </w:rPr>
              <w:t>Total</w:t>
            </w:r>
          </w:p>
        </w:tc>
        <w:tc>
          <w:tcPr>
            <w:tcW w:w="1260" w:type="dxa"/>
            <w:vAlign w:val="bottom"/>
            <w:tcBorders>
              <w:top w:val="single" w:sz="8" w:color="auto"/>
              <w:bottom w:val="single" w:sz="8" w:color="auto"/>
            </w:tcBorders>
          </w:tcPr>
          <w:p>
            <w:pPr>
              <w:ind w:left="1140"/>
              <w:spacing w:after="0" w:line="129" w:lineRule="exact"/>
              <w:rPr>
                <w:sz w:val="20"/>
                <w:szCs w:val="20"/>
                <w:color w:val="auto"/>
              </w:rPr>
            </w:pPr>
            <w:r>
              <w:rPr>
                <w:rFonts w:ascii="Arial" w:cs="Arial" w:eastAsia="Arial" w:hAnsi="Arial"/>
                <w:sz w:val="12"/>
                <w:szCs w:val="12"/>
                <w:color w:val="auto"/>
                <w:w w:val="74"/>
              </w:rPr>
              <w:t>13</w:t>
            </w:r>
          </w:p>
        </w:tc>
        <w:tc>
          <w:tcPr>
            <w:tcW w:w="280" w:type="dxa"/>
            <w:vAlign w:val="bottom"/>
          </w:tcPr>
          <w:p>
            <w:pPr>
              <w:spacing w:after="0"/>
              <w:rPr>
                <w:sz w:val="11"/>
                <w:szCs w:val="11"/>
                <w:color w:val="auto"/>
              </w:rPr>
            </w:pPr>
          </w:p>
        </w:tc>
        <w:tc>
          <w:tcPr>
            <w:tcW w:w="700" w:type="dxa"/>
            <w:vAlign w:val="bottom"/>
            <w:tcBorders>
              <w:bottom w:val="single" w:sz="8" w:color="auto"/>
            </w:tcBorders>
          </w:tcPr>
          <w:p>
            <w:pPr>
              <w:jc w:val="right"/>
              <w:ind w:right="59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39.58</w:t>
            </w:r>
          </w:p>
        </w:tc>
        <w:tc>
          <w:tcPr>
            <w:tcW w:w="260" w:type="dxa"/>
            <w:vAlign w:val="bottom"/>
          </w:tcPr>
          <w:p>
            <w:pPr>
              <w:spacing w:after="0"/>
              <w:rPr>
                <w:sz w:val="11"/>
                <w:szCs w:val="11"/>
                <w:color w:val="auto"/>
              </w:rPr>
            </w:pPr>
          </w:p>
        </w:tc>
        <w:tc>
          <w:tcPr>
            <w:tcW w:w="2000" w:type="dxa"/>
            <w:vAlign w:val="bottom"/>
            <w:tcBorders>
              <w:top w:val="single" w:sz="8" w:color="auto"/>
              <w:bottom w:val="single" w:sz="8" w:color="auto"/>
            </w:tcBorders>
          </w:tcPr>
          <w:p>
            <w:pPr>
              <w:ind w:left="1880"/>
              <w:spacing w:after="0" w:line="129" w:lineRule="exact"/>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tcPr>
          <w:p>
            <w:pPr>
              <w:ind w:left="840"/>
              <w:spacing w:after="0" w:line="129" w:lineRule="exact"/>
              <w:rPr>
                <w:sz w:val="20"/>
                <w:szCs w:val="20"/>
                <w:color w:val="auto"/>
              </w:rPr>
            </w:pPr>
            <w:r>
              <w:rPr>
                <w:rFonts w:ascii="Arial" w:cs="Arial" w:eastAsia="Arial" w:hAnsi="Arial"/>
                <w:sz w:val="13"/>
                <w:szCs w:val="13"/>
                <w:color w:val="auto"/>
                <w:w w:val="76"/>
              </w:rPr>
              <w:t>—</w:t>
            </w:r>
          </w:p>
        </w:tc>
        <w:tc>
          <w:tcPr>
            <w:tcW w:w="280" w:type="dxa"/>
            <w:vAlign w:val="bottom"/>
          </w:tcPr>
          <w:p>
            <w:pPr>
              <w:spacing w:after="0"/>
              <w:rPr>
                <w:sz w:val="11"/>
                <w:szCs w:val="11"/>
                <w:color w:val="auto"/>
              </w:rPr>
            </w:pPr>
          </w:p>
        </w:tc>
        <w:tc>
          <w:tcPr>
            <w:tcW w:w="660" w:type="dxa"/>
            <w:vAlign w:val="bottom"/>
            <w:tcBorders>
              <w:bottom w:val="single" w:sz="8" w:color="auto"/>
            </w:tcBorders>
          </w:tcPr>
          <w:p>
            <w:pPr>
              <w:jc w:val="right"/>
              <w:ind w:right="55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50,000</w:t>
            </w:r>
          </w:p>
        </w:tc>
        <w:tc>
          <w:tcPr>
            <w:tcW w:w="120" w:type="dxa"/>
            <w:vAlign w:val="bottom"/>
          </w:tcPr>
          <w:p>
            <w:pPr>
              <w:spacing w:after="0"/>
              <w:rPr>
                <w:sz w:val="11"/>
                <w:szCs w:val="11"/>
                <w:color w:val="auto"/>
              </w:rPr>
            </w:pPr>
          </w:p>
        </w:tc>
      </w:tr>
      <w:tr>
        <w:trPr>
          <w:trHeight w:val="20"/>
        </w:trPr>
        <w:tc>
          <w:tcPr>
            <w:tcW w:w="1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60" w:hanging="366"/>
        <w:spacing w:after="0"/>
        <w:tabs>
          <w:tab w:leader="none" w:pos="8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shares relate to the purchase of common stock tendered by employees to satisfy the required withholding taxes related to share-based payment awards.</w:t>
      </w:r>
    </w:p>
    <w:p>
      <w:pPr>
        <w:spacing w:after="0" w:line="201" w:lineRule="exact"/>
        <w:rPr>
          <w:rFonts w:ascii="Arial" w:cs="Arial" w:eastAsia="Arial" w:hAnsi="Arial"/>
          <w:sz w:val="13"/>
          <w:szCs w:val="13"/>
          <w:color w:val="auto"/>
        </w:rPr>
      </w:pPr>
    </w:p>
    <w:p>
      <w:pPr>
        <w:jc w:val="both"/>
        <w:ind w:left="500" w:hanging="6"/>
        <w:spacing w:after="0" w:line="254" w:lineRule="auto"/>
        <w:tabs>
          <w:tab w:leader="none" w:pos="867"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October 2008, our Board of Directors authorized a $50.0 million common stock repurchase program. The program does not require a minimum number of shares of common stock to be purchased and has no expiration date but may be suspended or discontinued at any time. As of March 31, 2013, no shares of our common stock had been repurchased under this program. The timing and amount of shares of common stock to be repurchased under the program will depend on market conditions, share price, securities law and other legal requirements and other factors.</w:t>
      </w:r>
    </w:p>
    <w:p>
      <w:pPr>
        <w:spacing w:after="0" w:line="1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217" w:lineRule="exact"/>
        <w:rPr>
          <w:sz w:val="20"/>
          <w:szCs w:val="20"/>
          <w:color w:val="auto"/>
        </w:rPr>
      </w:pPr>
    </w:p>
    <w:p>
      <w:pPr>
        <w:ind w:left="820"/>
        <w:spacing w:after="0"/>
        <w:tabs>
          <w:tab w:leader="none" w:pos="63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6350</wp:posOffset>
            </wp:positionV>
            <wp:extent cx="6637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20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 — 14(a).</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or Rule 15d — 14(a).</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under Section 906 of the Sarbanes-Oxley Act of 2002.</w:t>
      </w:r>
    </w:p>
    <w:p>
      <w:pPr>
        <w:spacing w:after="0" w:line="225" w:lineRule="exact"/>
        <w:rPr>
          <w:sz w:val="20"/>
          <w:szCs w:val="20"/>
          <w:color w:val="auto"/>
        </w:rPr>
      </w:pPr>
    </w:p>
    <w:p>
      <w:pPr>
        <w:ind w:left="2120" w:right="600" w:hanging="782"/>
        <w:spacing w:after="0" w:line="291" w:lineRule="auto"/>
        <w:tabs>
          <w:tab w:leader="none" w:pos="2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materials from World Fuel Services Corporation’s Quarterly Report on Form 10-Q for the quarter ended March 31, 2013, formatted in XBRL (Extensible Business Reporting Language); (i) Consolidated Balance Sheets,</w:t>
      </w:r>
    </w:p>
    <w:p>
      <w:pPr>
        <w:ind w:left="2380" w:hanging="259"/>
        <w:spacing w:after="0"/>
        <w:tabs>
          <w:tab w:leader="none" w:pos="2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Consolidated Statements of Income and Comprehensive Income, (iii) Consolidated Statements of Shareholders’ Equity,</w:t>
      </w:r>
    </w:p>
    <w:p>
      <w:pPr>
        <w:spacing w:after="0" w:line="32" w:lineRule="exact"/>
        <w:rPr>
          <w:rFonts w:ascii="Arial" w:cs="Arial" w:eastAsia="Arial" w:hAnsi="Arial"/>
          <w:sz w:val="16"/>
          <w:szCs w:val="16"/>
          <w:color w:val="auto"/>
        </w:rPr>
      </w:pPr>
    </w:p>
    <w:p>
      <w:pPr>
        <w:ind w:left="2420" w:hanging="299"/>
        <w:spacing w:after="0"/>
        <w:tabs>
          <w:tab w:leader="none" w:pos="2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Consolidated Statements of Cash Flows, and (v) Notes to the Consolidated Financial Statements.</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30, 2013</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quarterly period ended March 31, 2013;</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rFonts w:ascii="Arial" w:cs="Arial" w:eastAsia="Arial" w:hAnsi="Arial"/>
          <w:sz w:val="18"/>
          <w:szCs w:val="18"/>
          <w:color w:val="auto"/>
        </w:rPr>
      </w:pPr>
    </w:p>
    <w:p>
      <w:pPr>
        <w:ind w:left="1300" w:right="100" w:hanging="320"/>
        <w:spacing w:after="0" w:line="264"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320"/>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Kasbar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quarterly period ended March 31, 2013;</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rFonts w:ascii="Arial" w:cs="Arial" w:eastAsia="Arial" w:hAnsi="Arial"/>
          <w:sz w:val="18"/>
          <w:szCs w:val="18"/>
          <w:color w:val="auto"/>
        </w:rPr>
      </w:pPr>
    </w:p>
    <w:p>
      <w:pPr>
        <w:ind w:left="1300" w:right="100" w:hanging="320"/>
        <w:spacing w:after="0" w:line="264"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3"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320"/>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Michael J. Kasbar, the President and Chief Executive Officer of World Fuel Services Corporation (the “Company”), and Ira M. Birns, the Executive Vice-President and Chief Financial Officer of the Company, certify for the purposes of Section 1350 of Chapter 63 of Title 18 of the United States Code that, to the best of our knowledge,</w:t>
      </w:r>
    </w:p>
    <w:p>
      <w:pPr>
        <w:spacing w:after="0" w:line="181" w:lineRule="exact"/>
        <w:rPr>
          <w:sz w:val="20"/>
          <w:szCs w:val="20"/>
          <w:color w:val="auto"/>
        </w:rPr>
      </w:pPr>
    </w:p>
    <w:p>
      <w:pPr>
        <w:ind w:left="1000" w:right="460" w:hanging="499"/>
        <w:spacing w:after="0" w:line="277" w:lineRule="auto"/>
        <w:tabs>
          <w:tab w:leader="none" w:pos="10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2013 (the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right="20" w:firstLine="501"/>
        <w:spacing w:after="0" w:line="501" w:lineRule="auto"/>
        <w:tabs>
          <w:tab w:leader="none" w:pos="10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30, 2013</w:t>
      </w:r>
    </w:p>
    <w:p>
      <w:pPr>
        <w:ind w:left="572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Vice-President and Chief Financial Officer</w:t>
      </w:r>
    </w:p>
    <w:p>
      <w:pPr>
        <w:spacing w:after="0" w:line="21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1"/>
    </w:lvl>
    <w:lvl w:ilvl="1">
      <w:lvlJc w:val="left"/>
      <w:lvlText w:val="(%2)"/>
      <w:numFmt w:val="lowerRoman"/>
      <w:start w:val="2"/>
    </w:lvl>
  </w:abstractNum>
  <w:abstractNum w:abstractNumId="16">
    <w:nsid w:val="3F2DBA31"/>
    <w:multiLevelType w:val="hybridMultilevel"/>
    <w:lvl w:ilvl="0">
      <w:lvlJc w:val="left"/>
      <w:lvlText w:val="%1"/>
      <w:numFmt w:val="decimal"/>
      <w:start w:val="1"/>
    </w:lvl>
    <w:lvl w:ilvl="1">
      <w:lvlJc w:val="left"/>
      <w:lvlText w:val="(%2)"/>
      <w:numFmt w:val="lowerRoman"/>
      <w:start w:val="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2019-12-05T22:46:00Z</dcterms:created>
  <dcterms:modified xsi:type="dcterms:W3CDTF">2019-12-05T22:46:00Z</dcterms:modified>
</cp:coreProperties>
</file>