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June 8, 2015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13" w:lineRule="exact"/>
        <w:rPr>
          <w:sz w:val="20"/>
          <w:szCs w:val="20"/>
          <w:color w:val="auto"/>
        </w:rPr>
      </w:pPr>
    </w:p>
    <w:p>
      <w:pPr>
        <w:jc w:val="both"/>
        <w:ind w:firstLine="405"/>
        <w:spacing w:after="0" w:line="233" w:lineRule="auto"/>
        <w:rPr>
          <w:sz w:val="20"/>
          <w:szCs w:val="20"/>
          <w:color w:val="auto"/>
        </w:rPr>
      </w:pPr>
      <w:r>
        <w:rPr>
          <w:rFonts w:ascii="Arial" w:cs="Arial" w:eastAsia="Arial" w:hAnsi="Arial"/>
          <w:sz w:val="22"/>
          <w:szCs w:val="22"/>
          <w:color w:val="auto"/>
        </w:rPr>
        <w:t>On June 8, 2015, World Fuel Services Corporation (the “Company”) announced that it has entered into a settlement agreement (the “Settlement Agreement”) with the Trustee (the “Trustee”) for the U.S. bankruptcy estate of Montreal, Maine &amp; Atlantic Railway, Ltd., Montreal, Maine and Atlantic Canada Co. (“MMAC”), and the monitor (the “Monitor”) in MMAC’s Canadian bankruptcy (collectively, the “MMA Parties”) to resolve claims arising out of the July 2013 train derailment in Lac-Mégantic, Quebec (the “Derailment”). Under the terms of the Settlement Agreement, the Company will contribute US$110 million (the “Settlement Payment”) to a compensation fund established to compensate parties who suffered losses as a result of the Derailment. The Company expects that the full amount of the Settlement Payment will be covered by insurance. As part of the settlement, the Company and its affiliates will also assign to the Trustee and MMAC certain claims they have against third parties arising out of the Derailment.</w:t>
      </w:r>
    </w:p>
    <w:p>
      <w:pPr>
        <w:spacing w:after="0" w:line="19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9"/>
          <w:szCs w:val="19"/>
          <w:color w:val="auto"/>
        </w:rPr>
        <w:t>In consideration of the Settlement Payment and the assignment of claims to the Trustee and MMAC, the Company and its affiliates, as well as the Company’s former joint ventures, DPTS Marketing, LLC and Dakota Petroleum Transport Solutions, LLC and each of their affiliates (collectively, the “WFS Parties”), will receive the benefit of the global releases and injunctions set forth in the respective bankruptcy plans filed by the Trustee in the U.S. and by MMAC in Canada (collectively, the “Plans”). The effect of these global releases and injunctions will be to bar all claims which may exist now or in the future against the WFS Parties arising out of the Derailment, other than criminal claims which by law may not be released.</w:t>
      </w:r>
    </w:p>
    <w:p>
      <w:pPr>
        <w:spacing w:after="0" w:line="15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21"/>
          <w:szCs w:val="21"/>
          <w:color w:val="auto"/>
        </w:rPr>
        <w:t>Prior to becoming effective, the Settlement Agreement and Plans must be approved by creditors in both the U.S. and Canadian bankruptcies, as well as the U.S. and Canadian Bankruptcy courts. The Province of Quebec and other key creditors in the bankruptcies have consented to the settlement. The Plans are also subject to challenge by third parties. As a result, approval of the Plans, the effectiveness of the Settlement Agreement and the related timing is uncertain.</w:t>
      </w:r>
    </w:p>
    <w:p>
      <w:pPr>
        <w:spacing w:after="0" w:line="174" w:lineRule="exact"/>
        <w:rPr>
          <w:sz w:val="20"/>
          <w:szCs w:val="20"/>
          <w:color w:val="auto"/>
        </w:rPr>
      </w:pPr>
    </w:p>
    <w:p>
      <w:pPr>
        <w:ind w:right="1220" w:firstLine="405"/>
        <w:spacing w:after="0" w:line="435" w:lineRule="auto"/>
        <w:rPr>
          <w:sz w:val="20"/>
          <w:szCs w:val="20"/>
          <w:color w:val="auto"/>
        </w:rPr>
      </w:pPr>
      <w:r>
        <w:rPr>
          <w:rFonts w:ascii="Arial" w:cs="Arial" w:eastAsia="Arial" w:hAnsi="Arial"/>
          <w:sz w:val="22"/>
          <w:szCs w:val="22"/>
          <w:color w:val="auto"/>
        </w:rPr>
        <w:t xml:space="preserve">A copy of the Company’s press release is attached hereto as Exhibit 99.1 and is incorporated by reference herein. </w:t>
      </w:r>
      <w:r>
        <w:rPr>
          <w:rFonts w:ascii="Arial" w:cs="Arial" w:eastAsia="Arial" w:hAnsi="Arial"/>
          <w:sz w:val="22"/>
          <w:szCs w:val="22"/>
          <w:i w:val="1"/>
          <w:iCs w:val="1"/>
          <w:u w:val="single" w:color="auto"/>
          <w:color w:val="auto"/>
        </w:rPr>
        <w:t>Information Relating to Forward-Looking Statements</w:t>
      </w:r>
    </w:p>
    <w:p>
      <w:pPr>
        <w:spacing w:after="0" w:line="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9"/>
          <w:szCs w:val="19"/>
          <w:color w:val="auto"/>
        </w:rPr>
        <w:t>This Form 8-K includes forward-looking statements within the meaning of the Private Securities Litigation Reform Act of 1995, including, without limitation, statements regarding the settlement agreement and the nature of the settlement, and the Company’s expected insurance recovery.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whether the Plans, including the Company’s Settlement Agreement, are approved by the creditors and receive final approval from the courts involved in the U.S. and Canadian bankruptcies, the Company’s ability to recover from its insurance carriers, any unforeseen litigation and other costs related to the incident that may arise in the future, as well as the other risks detailed from time to time in the Company’s SEC filings. New risks emerge from time to time and it is not possible for management to predict all such risk factors or to assess the impact of such risks on the Company's business. Accordingly, the Company undertakes no obligation to publicly update or revise any forward-looking statements, whether as a result of new information, changes in expectations, future events, or otherwise.</w:t>
      </w:r>
    </w:p>
    <w:p>
      <w:pPr>
        <w:spacing w:after="0" w:line="15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400" w:hanging="636"/>
        <w:spacing w:after="0"/>
        <w:tabs>
          <w:tab w:leader="none" w:pos="140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Press Release, dated June 8, 2015.</w:t>
            </w:r>
          </w:p>
        </w:tc>
      </w:tr>
      <w:tr>
        <w:trPr>
          <w:trHeight w:val="229"/>
        </w:trPr>
        <w:tc>
          <w:tcPr>
            <w:tcW w:w="138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9460" w:type="dxa"/>
            <w:vAlign w:val="bottom"/>
            <w:tcBorders>
              <w:bottom w:val="single" w:sz="8" w:color="9A9A9A"/>
            </w:tcBorders>
          </w:tcPr>
          <w:p>
            <w:pPr>
              <w:spacing w:after="0"/>
              <w:rPr>
                <w:sz w:val="19"/>
                <w:szCs w:val="19"/>
                <w:color w:val="auto"/>
              </w:rPr>
            </w:pPr>
          </w:p>
        </w:tc>
      </w:tr>
      <w:tr>
        <w:trPr>
          <w:trHeight w:val="21"/>
        </w:trPr>
        <w:tc>
          <w:tcPr>
            <w:tcW w:w="13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94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405"/>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480" w:val="left"/>
        </w:tabs>
        <w:rPr>
          <w:sz w:val="20"/>
          <w:szCs w:val="20"/>
          <w:color w:val="auto"/>
        </w:rPr>
      </w:pPr>
      <w:r>
        <w:rPr>
          <w:rFonts w:ascii="Arial" w:cs="Arial" w:eastAsia="Arial" w:hAnsi="Arial"/>
          <w:sz w:val="18"/>
          <w:szCs w:val="18"/>
          <w:color w:val="auto"/>
        </w:rPr>
        <w:t>Date:</w:t>
        <w:tab/>
        <w:t>June 8, 2015</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Press Release, dated June 8, 2015.</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Announces Lac-Mégantic Settlement</w:t>
      </w:r>
    </w:p>
    <w:p>
      <w:pPr>
        <w:spacing w:after="0" w:line="212"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MIAMI--(BUSINESS WIRE)--June 8, 2015--World Fuel Services Corporation (NYSE: INT) today announced that it has entered into a settlement agreement with the Trustee for the U.S. bankruptcy estate of Montreal, Maine &amp; Atlantic Railway Ltd. (the “Trustee”), Montreal, Maine and Atlantic Canada Co. (“MMAC”), and the monitor in MMAC’s Canadian bankruptcy to resolve claims arising out of the July 2013 train derailment in Lac-Mégantic, Quebec.</w:t>
      </w:r>
    </w:p>
    <w:p>
      <w:pPr>
        <w:spacing w:after="0" w:line="174"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Under the terms of the settlement agreement, which is subject to approval by the creditors and courts involved in the U.S. and Canadian bankruptcies, the company will contribute US$110 million to a compensation fund established to compensate parties who suffered losses as a result of the derailment. The company expects that the full settlement amount will be covered by insurance. As part of the settlement, the company will also assign to the Trustee and MMAC certain claims it has against third parties arising out of the derailment.</w:t>
      </w:r>
    </w:p>
    <w:p>
      <w:pPr>
        <w:spacing w:after="0" w:line="188"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In consideration of the settlement amount and the assignment of claims, the company and its affiliates, as well as the company’s former joint ventures, DPTS Marketing, LLC and Dakota Petroleum Transport Solutions, LLC and each of their affiliates (the “WFS Parties”), will receive the benefit of the global releases and injunctions barring claims against the WFS Parties set forth in the respective bankruptcy plans filed by the Trustee in the U.S. and by MMAC in Canada. The Province of Quebec and other key creditors in the bankruptcies have consented to the settlement.</w:t>
      </w:r>
    </w:p>
    <w:p>
      <w:pPr>
        <w:spacing w:after="0" w:line="179"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“We believe that participating in the settlement and contributing to the compensation fund is in the best interests of our shareholders and will also aid in providing closure to those affected by this tragic accident,” said Michael J. Kasbar, chairman and chief executive officer. “The entire community of Lac-Mégantic remains in our thoughts and prayers as they continue to recover from this tragedy.”</w:t>
      </w:r>
    </w:p>
    <w:p>
      <w:pPr>
        <w:spacing w:after="0" w:line="185"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i w:val="1"/>
          <w:iCs w:val="1"/>
          <w:color w:val="auto"/>
        </w:rPr>
        <w:t xml:space="preserve">Additional information regarding the settlement can be found in the company’s current report on Form 8-K filed with the Securities and Exchange Commission at: </w:t>
      </w:r>
      <w:r>
        <w:rPr>
          <w:rFonts w:ascii="Arial" w:cs="Arial" w:eastAsia="Arial" w:hAnsi="Arial"/>
          <w:sz w:val="22"/>
          <w:szCs w:val="22"/>
          <w:i w:val="1"/>
          <w:iCs w:val="1"/>
          <w:u w:val="single" w:color="auto"/>
          <w:color w:val="auto"/>
        </w:rPr>
        <w:t>www.sec.gov</w:t>
      </w:r>
      <w:r>
        <w:rPr>
          <w:rFonts w:ascii="Arial" w:cs="Arial" w:eastAsia="Arial" w:hAnsi="Arial"/>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7"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without limitation, statements regarding the settlement agreement and nature of the settlement, and our expected insurance recovery.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whether the bankruptcy plans, including our settlement agreement, are approved by the creditors and receive final approval from the courts involved in the U.S. and Canadian bankruptcies, our ability to recover from our insurance carriers, any unforeseen litigation and other costs related to the incident that may arise in the future, as well as the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2019-12-06T00:16:22Z</dcterms:created>
  <dcterms:modified xsi:type="dcterms:W3CDTF">2019-12-06T00:16:22Z</dcterms:modified>
</cp:coreProperties>
</file>