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299720</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2,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WORLD FUEL SERVICES CORPORATION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684" w:right="359" w:bottom="1440" w:gutter="0" w:footer="0" w:header="0"/>
        </w:sectPr>
      </w:pPr>
    </w:p>
    <w:p>
      <w:pPr>
        <w:spacing w:after="0" w:line="21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Florida</w:t>
      </w:r>
    </w:p>
    <w:p>
      <w:pPr>
        <w:spacing w:after="0" w:line="40"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1-9533</w:t>
      </w:r>
    </w:p>
    <w:p>
      <w:pPr>
        <w:spacing w:after="0" w:line="40"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59-2459427</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20" w:space="720"/>
            <w:col w:w="2440"/>
          </w:cols>
          <w:pgMar w:left="240" w:top="684" w:right="35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Street, Suite 400</w:t>
      </w:r>
    </w:p>
    <w:p>
      <w:pPr>
        <w:spacing w:after="0" w:line="64"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2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33178</w:t>
      </w:r>
    </w:p>
    <w:p>
      <w:pPr>
        <w:spacing w:after="0" w:line="40"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40" w:space="720"/>
            <w:col w:w="3140"/>
          </w:cols>
          <w:pgMar w:left="240" w:top="684" w:right="359" w:bottom="1440" w:gutter="0" w:footer="0" w:header="0"/>
          <w:type w:val="continuous"/>
        </w:sect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2" w:lineRule="exact"/>
        <w:rPr>
          <w:sz w:val="20"/>
          <w:szCs w:val="20"/>
          <w:color w:val="auto"/>
        </w:rPr>
      </w:pPr>
    </w:p>
    <w:p>
      <w:pPr>
        <w:jc w:val="both"/>
        <w:ind w:firstLine="527"/>
        <w:spacing w:after="0"/>
        <w:rPr>
          <w:sz w:val="20"/>
          <w:szCs w:val="20"/>
          <w:color w:val="auto"/>
        </w:rPr>
      </w:pPr>
      <w:r>
        <w:rPr>
          <w:rFonts w:ascii="Arial" w:cs="Arial" w:eastAsia="Arial" w:hAnsi="Arial"/>
          <w:sz w:val="22"/>
          <w:szCs w:val="22"/>
          <w:color w:val="auto"/>
        </w:rPr>
        <w:t>On February 2, 2015, World Fuel Services Corporation (the “Company”) issued a press release announcing that a conference call has been scheduled on Thursday, February 12, 2015 at 5:00PM Eastern Time to discuss the Company’s fourth quarter and year-end 2014 results.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40" w:type="dxa"/>
            <w:vAlign w:val="bottom"/>
          </w:tcPr>
          <w:p>
            <w:pPr>
              <w:ind w:left="500"/>
              <w:spacing w:after="0"/>
              <w:rPr>
                <w:sz w:val="20"/>
                <w:szCs w:val="20"/>
                <w:color w:val="auto"/>
              </w:rPr>
            </w:pPr>
            <w:r>
              <w:rPr>
                <w:rFonts w:ascii="Arial" w:cs="Arial" w:eastAsia="Arial" w:hAnsi="Arial"/>
                <w:sz w:val="22"/>
                <w:szCs w:val="22"/>
                <w:color w:val="auto"/>
              </w:rPr>
              <w:t>(d)</w:t>
            </w:r>
          </w:p>
        </w:tc>
        <w:tc>
          <w:tcPr>
            <w:tcW w:w="1700" w:type="dxa"/>
            <w:vAlign w:val="bottom"/>
            <w:gridSpan w:val="3"/>
          </w:tcPr>
          <w:p>
            <w:pPr>
              <w:ind w:left="180"/>
              <w:spacing w:after="0"/>
              <w:rPr>
                <w:sz w:val="20"/>
                <w:szCs w:val="20"/>
                <w:color w:val="auto"/>
              </w:rPr>
            </w:pPr>
            <w:r>
              <w:rPr>
                <w:rFonts w:ascii="Arial" w:cs="Arial" w:eastAsia="Arial" w:hAnsi="Arial"/>
                <w:sz w:val="22"/>
                <w:szCs w:val="22"/>
                <w:color w:val="auto"/>
              </w:rPr>
              <w:t>Exhibits</w:t>
            </w:r>
          </w:p>
        </w:tc>
        <w:tc>
          <w:tcPr>
            <w:tcW w:w="1120" w:type="dxa"/>
            <w:vAlign w:val="bottom"/>
          </w:tcPr>
          <w:p>
            <w:pPr>
              <w:spacing w:after="0"/>
              <w:rPr>
                <w:sz w:val="23"/>
                <w:szCs w:val="23"/>
                <w:color w:val="auto"/>
              </w:rPr>
            </w:pPr>
          </w:p>
        </w:tc>
        <w:tc>
          <w:tcPr>
            <w:tcW w:w="7660" w:type="dxa"/>
            <w:vAlign w:val="bottom"/>
          </w:tcPr>
          <w:p>
            <w:pPr>
              <w:spacing w:after="0"/>
              <w:rPr>
                <w:sz w:val="23"/>
                <w:szCs w:val="23"/>
                <w:color w:val="auto"/>
              </w:rPr>
            </w:pPr>
          </w:p>
        </w:tc>
      </w:tr>
      <w:tr>
        <w:trPr>
          <w:trHeight w:val="436"/>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9"/>
              </w:rPr>
              <w:t>Description</w:t>
            </w:r>
          </w:p>
        </w:tc>
        <w:tc>
          <w:tcPr>
            <w:tcW w:w="7660" w:type="dxa"/>
            <w:vAlign w:val="bottom"/>
          </w:tcPr>
          <w:p>
            <w:pPr>
              <w:spacing w:after="0"/>
              <w:rPr>
                <w:sz w:val="24"/>
                <w:szCs w:val="24"/>
                <w:color w:val="auto"/>
              </w:rPr>
            </w:pPr>
          </w:p>
        </w:tc>
      </w:tr>
      <w:tr>
        <w:trPr>
          <w:trHeight w:val="517"/>
        </w:trPr>
        <w:tc>
          <w:tcPr>
            <w:tcW w:w="94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20"/>
              <w:spacing w:after="0"/>
              <w:rPr>
                <w:sz w:val="20"/>
                <w:szCs w:val="20"/>
                <w:color w:val="auto"/>
              </w:rPr>
            </w:pPr>
            <w:r>
              <w:rPr>
                <w:rFonts w:ascii="Arial" w:cs="Arial" w:eastAsia="Arial" w:hAnsi="Arial"/>
                <w:sz w:val="22"/>
                <w:szCs w:val="22"/>
                <w:color w:val="auto"/>
              </w:rPr>
              <w:t>Press Release, dated February 2, 2015.</w:t>
            </w:r>
          </w:p>
        </w:tc>
      </w:tr>
      <w:tr>
        <w:trPr>
          <w:trHeight w:val="206"/>
        </w:trPr>
        <w:tc>
          <w:tcPr>
            <w:tcW w:w="9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7660" w:type="dxa"/>
            <w:vAlign w:val="bottom"/>
            <w:tcBorders>
              <w:bottom w:val="single" w:sz="8" w:color="9A9A9A"/>
            </w:tcBorders>
          </w:tcPr>
          <w:p>
            <w:pPr>
              <w:spacing w:after="0"/>
              <w:rPr>
                <w:sz w:val="17"/>
                <w:szCs w:val="17"/>
                <w:color w:val="auto"/>
              </w:rPr>
            </w:pPr>
          </w:p>
        </w:tc>
      </w:tr>
      <w:tr>
        <w:trPr>
          <w:trHeight w:val="21"/>
        </w:trPr>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7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2, 2015</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February 2, 2015.</w:t>
            </w:r>
          </w:p>
        </w:tc>
      </w:tr>
    </w:tbl>
    <w:p>
      <w:pPr>
        <w:sectPr>
          <w:pgSz w:w="11900" w:h="16838" w:orient="portrait"/>
          <w:cols w:equalWidth="0" w:num="1">
            <w:col w:w="11420"/>
          </w:cols>
          <w:pgMar w:left="240" w:top="118"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World Fuel Services Corporation to Host Fourth Quarter and Full Year 2014 Earnings Conference Call</w:t>
      </w:r>
    </w:p>
    <w:p>
      <w:pPr>
        <w:spacing w:after="0" w:line="224"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color w:val="auto"/>
        </w:rPr>
        <w:t>MIAMI--(BUSINESS WIRE)--February 2, 2015--World Fuel Services Corporation (NYSE:INT) invites you to participate in a conference call with its management team on Thursday, February 12, 2015 at 5:00PM Eastern Time to discuss the Company’s fourth quarter and full year results, which it plans to release after the close of the market on the same date.</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The live conference call will be accessible by telephone at (800) 761-0059 (within the United States and Canada) or (212) 271-4657 (International). Audio replay of the call will be available through February 26, 2015. The replay numbers are: (800) 633-8284 (within the United States and Canada) and (402) 977-9140 (International). The call ID is 21760150.</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February 26, 2015.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Glenn Klevitz, 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2019-12-05T23:18:57Z</dcterms:created>
  <dcterms:modified xsi:type="dcterms:W3CDTF">2019-12-05T23:18:57Z</dcterms:modified>
</cp:coreProperties>
</file>