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Lake Robert Alexander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0"/>
        <w:spacing w:after="0" w:line="357" w:lineRule="auto"/>
        <w:rPr>
          <w:sz w:val="20"/>
          <w:szCs w:val="20"/>
          <w:color w:val="auto"/>
        </w:rPr>
      </w:pPr>
      <w:r>
        <w:rPr>
          <w:rFonts w:ascii="Arial" w:cs="Arial" w:eastAsia="Arial" w:hAnsi="Arial"/>
          <w:sz w:val="17"/>
          <w:szCs w:val="17"/>
          <w:color w:val="0000FF"/>
        </w:rPr>
        <w:t>C/O WORLD FUEL SERVICES CORPORATION 9800 N.W. 41ST STREET</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7"/>
                <w:szCs w:val="17"/>
                <w:color w:val="0000FF"/>
              </w:rPr>
              <w:t>MIAMI</w:t>
            </w:r>
          </w:p>
        </w:tc>
        <w:tc>
          <w:tcPr>
            <w:tcW w:w="1160" w:type="dxa"/>
            <w:vAlign w:val="bottom"/>
          </w:tcPr>
          <w:p>
            <w:pPr>
              <w:ind w:left="340"/>
              <w:spacing w:after="0"/>
              <w:rPr>
                <w:sz w:val="20"/>
                <w:szCs w:val="20"/>
                <w:color w:val="auto"/>
              </w:rPr>
            </w:pPr>
            <w:r>
              <w:rPr>
                <w:rFonts w:ascii="Arial" w:cs="Arial" w:eastAsia="Arial" w:hAnsi="Arial"/>
                <w:sz w:val="17"/>
                <w:szCs w:val="17"/>
                <w:color w:val="0000FF"/>
              </w:rPr>
              <w:t>FL</w:t>
            </w:r>
          </w:p>
        </w:tc>
        <w:tc>
          <w:tcPr>
            <w:tcW w:w="1600" w:type="dxa"/>
            <w:vAlign w:val="bottom"/>
          </w:tcPr>
          <w:p>
            <w:pPr>
              <w:ind w:left="400"/>
              <w:spacing w:after="0"/>
              <w:rPr>
                <w:sz w:val="20"/>
                <w:szCs w:val="20"/>
                <w:color w:val="auto"/>
              </w:rPr>
            </w:pPr>
            <w:r>
              <w:rPr>
                <w:rFonts w:ascii="Arial" w:cs="Arial" w:eastAsia="Arial" w:hAnsi="Arial"/>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WORLD FUEL SERVICES CORP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INT</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ind w:left="12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9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restart"/>
          </w:tcPr>
          <w:p>
            <w:pPr>
              <w:ind w:left="12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EVP, Chf. Legal Officer, CoSec</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03/15/2020</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26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9"/>
              <w:spacing w:after="0"/>
              <w:rPr>
                <w:sz w:val="20"/>
                <w:szCs w:val="20"/>
                <w:color w:val="auto"/>
              </w:rPr>
            </w:pPr>
            <w:r>
              <w:rPr>
                <w:rFonts w:ascii="Arial" w:cs="Arial" w:eastAsia="Arial" w:hAnsi="Arial"/>
                <w:sz w:val="17"/>
                <w:szCs w:val="17"/>
                <w:color w:val="0000FF"/>
                <w:w w:val="91"/>
              </w:rPr>
              <w:t>03/15/2020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11,173</w:t>
            </w:r>
            <w:r>
              <w:rPr>
                <w:rFonts w:ascii="Arial" w:cs="Arial" w:eastAsia="Arial" w:hAnsi="Arial"/>
                <w:sz w:val="22"/>
                <w:szCs w:val="22"/>
                <w:color w:val="008000"/>
                <w:w w:val="85"/>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60,523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9"/>
              <w:spacing w:after="0"/>
              <w:rPr>
                <w:sz w:val="20"/>
                <w:szCs w:val="20"/>
                <w:color w:val="auto"/>
              </w:rPr>
            </w:pPr>
            <w:r>
              <w:rPr>
                <w:rFonts w:ascii="Arial" w:cs="Arial" w:eastAsia="Arial" w:hAnsi="Arial"/>
                <w:sz w:val="17"/>
                <w:szCs w:val="17"/>
                <w:color w:val="0000FF"/>
                <w:w w:val="91"/>
              </w:rPr>
              <w:t>03/15/2020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3,838</w:t>
            </w:r>
            <w:r>
              <w:rPr>
                <w:rFonts w:ascii="Arial" w:cs="Arial" w:eastAsia="Arial" w:hAnsi="Arial"/>
                <w:sz w:val="22"/>
                <w:szCs w:val="22"/>
                <w:color w:val="008000"/>
                <w:w w:val="85"/>
                <w:vertAlign w:val="superscript"/>
              </w:rPr>
              <w:t>(2)</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22.67</w:t>
            </w:r>
            <w:r>
              <w:rPr>
                <w:rFonts w:ascii="Arial" w:cs="Arial" w:eastAsia="Arial" w:hAnsi="Arial"/>
                <w:sz w:val="22"/>
                <w:szCs w:val="22"/>
                <w:color w:val="008000"/>
                <w:w w:val="88"/>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56,685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9"/>
              <w:spacing w:after="0"/>
              <w:rPr>
                <w:sz w:val="20"/>
                <w:szCs w:val="20"/>
                <w:color w:val="auto"/>
              </w:rPr>
            </w:pPr>
            <w:r>
              <w:rPr>
                <w:rFonts w:ascii="Arial" w:cs="Arial" w:eastAsia="Arial" w:hAnsi="Arial"/>
                <w:sz w:val="17"/>
                <w:szCs w:val="17"/>
                <w:color w:val="0000FF"/>
                <w:w w:val="91"/>
              </w:rPr>
              <w:t>03/15/2020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2,598</w:t>
            </w:r>
            <w:r>
              <w:rPr>
                <w:rFonts w:ascii="Arial" w:cs="Arial" w:eastAsia="Arial" w:hAnsi="Arial"/>
                <w:sz w:val="22"/>
                <w:szCs w:val="22"/>
                <w:color w:val="008000"/>
                <w:w w:val="85"/>
                <w:vertAlign w:val="superscript"/>
              </w:rPr>
              <w:t>(4)</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22.67</w:t>
            </w:r>
            <w:r>
              <w:rPr>
                <w:rFonts w:ascii="Arial" w:cs="Arial" w:eastAsia="Arial" w:hAnsi="Arial"/>
                <w:sz w:val="22"/>
                <w:szCs w:val="22"/>
                <w:color w:val="008000"/>
                <w:w w:val="88"/>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54,087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69"/>
              <w:spacing w:after="0"/>
              <w:rPr>
                <w:sz w:val="20"/>
                <w:szCs w:val="20"/>
                <w:color w:val="auto"/>
              </w:rPr>
            </w:pPr>
            <w:r>
              <w:rPr>
                <w:rFonts w:ascii="Arial" w:cs="Arial" w:eastAsia="Arial" w:hAnsi="Arial"/>
                <w:sz w:val="17"/>
                <w:szCs w:val="17"/>
                <w:color w:val="0000FF"/>
                <w:w w:val="91"/>
              </w:rPr>
              <w:t>03/15/2020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22,892</w:t>
            </w:r>
            <w:r>
              <w:rPr>
                <w:rFonts w:ascii="Arial" w:cs="Arial" w:eastAsia="Arial" w:hAnsi="Arial"/>
                <w:sz w:val="22"/>
                <w:szCs w:val="22"/>
                <w:color w:val="008000"/>
                <w:w w:val="88"/>
                <w:vertAlign w:val="superscript"/>
              </w:rPr>
              <w:t>(5)</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76,979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an award of shares of common stock earned by the reporting person based on the level of performance criteria satisfied under certain performance-based restricted stock units ("PRSUs").</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issuer withheld the reported shares to cover the reporting person's tax liability associated with the shares of common stock received in connection with the vesting of the PRSUs.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of the issuer's common stock on the NYSE on March 16, 2020.</w:t>
      </w:r>
    </w:p>
    <w:p>
      <w:pPr>
        <w:spacing w:after="0" w:line="50" w:lineRule="exact"/>
        <w:rPr>
          <w:rFonts w:ascii="Arial" w:cs="Arial" w:eastAsia="Arial" w:hAnsi="Arial"/>
          <w:sz w:val="13"/>
          <w:szCs w:val="13"/>
          <w:color w:val="008000"/>
        </w:rPr>
      </w:pPr>
    </w:p>
    <w:p>
      <w:pPr>
        <w:ind w:left="40" w:right="5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6,602 restricted stock units held by the reporting person vested and settled on March 15, 2020. The issuer withheld the reported shares to cover the reporting person's tax liability associated with these restricted stock units.</w:t>
      </w:r>
    </w:p>
    <w:p>
      <w:pPr>
        <w:spacing w:after="0" w:line="15" w:lineRule="exact"/>
        <w:rPr>
          <w:rFonts w:ascii="Arial" w:cs="Arial" w:eastAsia="Arial" w:hAnsi="Arial"/>
          <w:sz w:val="13"/>
          <w:szCs w:val="13"/>
          <w:color w:val="008000"/>
        </w:rPr>
      </w:pPr>
    </w:p>
    <w:p>
      <w:pPr>
        <w:ind w:left="40" w:right="8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earned by the reporting person based on the level of performance criteria met for fiscal year 2019. These restricted stock units will vest in three equal annual installments beginning on March 15, 2021.</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Amy A. Quintana,</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03/17/2020</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97820"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2020-03-17T20:06:20Z</dcterms:created>
  <dcterms:modified xsi:type="dcterms:W3CDTF">2020-03-17T20:06:20Z</dcterms:modified>
</cp:coreProperties>
</file>