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July 13, 2016</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405"/>
        <w:spacing w:after="0"/>
        <w:rPr>
          <w:sz w:val="20"/>
          <w:szCs w:val="20"/>
          <w:color w:val="auto"/>
        </w:rPr>
      </w:pPr>
      <w:r>
        <w:rPr>
          <w:rFonts w:ascii="Arial" w:cs="Arial" w:eastAsia="Arial" w:hAnsi="Arial"/>
          <w:sz w:val="22"/>
          <w:szCs w:val="22"/>
          <w:color w:val="auto"/>
        </w:rPr>
        <w:t>On July 13, 2016, World Fuel Services Corporation (the “Company”) issued a press release announcing that a conference call has been scheduled on Wednesday, July 27, 2016 at 5:30PM Eastern Time to discuss the Company’s second quarter results. A copy of the press release is attached hereto as Exhibit 99.1.</w:t>
      </w:r>
    </w:p>
    <w:p>
      <w:pPr>
        <w:spacing w:after="0" w:line="18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40" w:type="dxa"/>
            <w:vAlign w:val="bottom"/>
          </w:tcPr>
          <w:p>
            <w:pPr>
              <w:ind w:left="500"/>
              <w:spacing w:after="0"/>
              <w:rPr>
                <w:sz w:val="20"/>
                <w:szCs w:val="20"/>
                <w:color w:val="auto"/>
              </w:rPr>
            </w:pPr>
            <w:r>
              <w:rPr>
                <w:rFonts w:ascii="Arial" w:cs="Arial" w:eastAsia="Arial" w:hAnsi="Arial"/>
                <w:sz w:val="22"/>
                <w:szCs w:val="22"/>
                <w:color w:val="auto"/>
              </w:rPr>
              <w:t>(d)</w:t>
            </w:r>
          </w:p>
        </w:tc>
        <w:tc>
          <w:tcPr>
            <w:tcW w:w="1700" w:type="dxa"/>
            <w:vAlign w:val="bottom"/>
            <w:gridSpan w:val="3"/>
          </w:tcPr>
          <w:p>
            <w:pPr>
              <w:jc w:val="right"/>
              <w:ind w:right="800"/>
              <w:spacing w:after="0"/>
              <w:rPr>
                <w:sz w:val="20"/>
                <w:szCs w:val="20"/>
                <w:color w:val="auto"/>
              </w:rPr>
            </w:pPr>
            <w:r>
              <w:rPr>
                <w:rFonts w:ascii="Arial" w:cs="Arial" w:eastAsia="Arial" w:hAnsi="Arial"/>
                <w:sz w:val="22"/>
                <w:szCs w:val="22"/>
                <w:color w:val="auto"/>
              </w:rPr>
              <w:t>Exhibits</w:t>
            </w:r>
          </w:p>
        </w:tc>
        <w:tc>
          <w:tcPr>
            <w:tcW w:w="1000" w:type="dxa"/>
            <w:vAlign w:val="bottom"/>
          </w:tcPr>
          <w:p>
            <w:pPr>
              <w:spacing w:after="0"/>
              <w:rPr>
                <w:sz w:val="23"/>
                <w:szCs w:val="23"/>
                <w:color w:val="auto"/>
              </w:rPr>
            </w:pPr>
          </w:p>
        </w:tc>
        <w:tc>
          <w:tcPr>
            <w:tcW w:w="7780" w:type="dxa"/>
            <w:vAlign w:val="bottom"/>
          </w:tcPr>
          <w:p>
            <w:pPr>
              <w:spacing w:after="0"/>
              <w:rPr>
                <w:sz w:val="23"/>
                <w:szCs w:val="23"/>
                <w:color w:val="auto"/>
              </w:rPr>
            </w:pPr>
          </w:p>
        </w:tc>
      </w:tr>
      <w:tr>
        <w:trPr>
          <w:trHeight w:val="409"/>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w w:val="93"/>
              </w:rPr>
              <w:t>Exhibit No.</w:t>
            </w:r>
          </w:p>
        </w:tc>
        <w:tc>
          <w:tcPr>
            <w:tcW w:w="48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490"/>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212"/>
              <w:spacing w:after="0"/>
              <w:rPr>
                <w:sz w:val="20"/>
                <w:szCs w:val="20"/>
                <w:color w:val="auto"/>
              </w:rPr>
            </w:pPr>
            <w:r>
              <w:rPr>
                <w:rFonts w:ascii="Arial" w:cs="Arial" w:eastAsia="Arial" w:hAnsi="Arial"/>
                <w:sz w:val="22"/>
                <w:szCs w:val="22"/>
                <w:color w:val="auto"/>
              </w:rPr>
              <w:t>99.1</w:t>
            </w:r>
          </w:p>
        </w:tc>
        <w:tc>
          <w:tcPr>
            <w:tcW w:w="480" w:type="dxa"/>
            <w:vAlign w:val="bottom"/>
          </w:tcPr>
          <w:p>
            <w:pPr>
              <w:spacing w:after="0"/>
              <w:rPr>
                <w:sz w:val="24"/>
                <w:szCs w:val="24"/>
                <w:color w:val="auto"/>
              </w:rPr>
            </w:pPr>
          </w:p>
        </w:tc>
        <w:tc>
          <w:tcPr>
            <w:tcW w:w="8780" w:type="dxa"/>
            <w:vAlign w:val="bottom"/>
            <w:gridSpan w:val="2"/>
          </w:tcPr>
          <w:p>
            <w:pPr>
              <w:ind w:left="20"/>
              <w:spacing w:after="0"/>
              <w:rPr>
                <w:sz w:val="20"/>
                <w:szCs w:val="20"/>
                <w:color w:val="auto"/>
              </w:rPr>
            </w:pPr>
            <w:r>
              <w:rPr>
                <w:rFonts w:ascii="Arial" w:cs="Arial" w:eastAsia="Arial" w:hAnsi="Arial"/>
                <w:sz w:val="22"/>
                <w:szCs w:val="22"/>
                <w:color w:val="auto"/>
              </w:rPr>
              <w:t>Press Release, dated July 13, 2016.</w:t>
            </w:r>
          </w:p>
        </w:tc>
      </w:tr>
      <w:tr>
        <w:trPr>
          <w:trHeight w:val="206"/>
        </w:trPr>
        <w:tc>
          <w:tcPr>
            <w:tcW w:w="9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7780" w:type="dxa"/>
            <w:vAlign w:val="bottom"/>
            <w:tcBorders>
              <w:bottom w:val="single" w:sz="8" w:color="9A9A9A"/>
            </w:tcBorders>
          </w:tcPr>
          <w:p>
            <w:pPr>
              <w:spacing w:after="0"/>
              <w:rPr>
                <w:sz w:val="17"/>
                <w:szCs w:val="17"/>
                <w:color w:val="auto"/>
              </w:rPr>
            </w:pPr>
          </w:p>
        </w:tc>
      </w:tr>
      <w:tr>
        <w:trPr>
          <w:trHeight w:val="21"/>
        </w:trPr>
        <w:tc>
          <w:tcPr>
            <w:tcW w:w="9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7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July 13, 2016</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886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13, 2016.</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to Host Second Quarter 2016 Earnings Conference Call</w:t>
      </w:r>
    </w:p>
    <w:p>
      <w:pPr>
        <w:spacing w:after="0" w:line="212"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MIAMI--(BUSINESS WIRE)--July 13, 2016--World Fuel Services Corporation (NYSE:INT) invites you to participate in a conference call with its management team on Wednesday, July 27, 2016 at 5:30PM Eastern Time to discuss the Company’s second quarter results, which it plans to release after the market closes on the same date.</w:t>
      </w:r>
    </w:p>
    <w:p>
      <w:pPr>
        <w:spacing w:after="0" w:line="186" w:lineRule="exact"/>
        <w:rPr>
          <w:sz w:val="20"/>
          <w:szCs w:val="20"/>
          <w:color w:val="auto"/>
        </w:rPr>
      </w:pPr>
    </w:p>
    <w:p>
      <w:pPr>
        <w:ind w:right="200"/>
        <w:spacing w:after="0" w:line="258" w:lineRule="auto"/>
        <w:rPr>
          <w:sz w:val="20"/>
          <w:szCs w:val="20"/>
          <w:color w:val="auto"/>
        </w:rPr>
      </w:pPr>
      <w:r>
        <w:rPr>
          <w:rFonts w:ascii="Arial" w:cs="Arial" w:eastAsia="Arial" w:hAnsi="Arial"/>
          <w:sz w:val="21"/>
          <w:szCs w:val="21"/>
          <w:color w:val="auto"/>
        </w:rPr>
        <w:t>The live conference call will be accessible by telephone at (888) 227-6496 (within the United States and Canada) or (303) 223-4388 (International). Audio replay of the call will be available through August 10, 2016. The replay numbers are: (800) 633-8284 (within the United States and Canada) and (402) 977-9140 (International). The call ID is 21814974.</w:t>
      </w:r>
    </w:p>
    <w:p>
      <w:pPr>
        <w:spacing w:after="0" w:line="167"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 xml:space="preserve">The conference call will also be available via live webcast. The live webcast may be accessed by visiting the Company’s website at </w:t>
      </w:r>
      <w:r>
        <w:rPr>
          <w:rFonts w:ascii="Arial" w:cs="Arial" w:eastAsia="Arial" w:hAnsi="Arial"/>
          <w:sz w:val="21"/>
          <w:szCs w:val="21"/>
          <w:u w:val="single" w:color="auto"/>
          <w:color w:val="auto"/>
        </w:rPr>
        <w:t>www.wfscorp.com</w:t>
      </w:r>
      <w:r>
        <w:rPr>
          <w:rFonts w:ascii="Arial" w:cs="Arial" w:eastAsia="Arial" w:hAnsi="Arial"/>
          <w:sz w:val="21"/>
          <w:szCs w:val="21"/>
          <w:color w:val="auto"/>
        </w:rPr>
        <w:t xml:space="preserve"> and clicking on the webcast icon. An archive of the webcast will be available on the Company’s website two hours after the completion of the live call and will remain available until August 10, 2016.</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19"/>
          <w:szCs w:val="19"/>
          <w:u w:val="single" w:color="auto"/>
          <w:color w:val="auto"/>
        </w:rPr>
        <w:t>www.wfscorp.com</w:t>
      </w:r>
      <w:r>
        <w:rPr>
          <w:rFonts w:ascii="Arial" w:cs="Arial" w:eastAsia="Arial" w:hAnsi="Arial"/>
          <w:sz w:val="19"/>
          <w:szCs w:val="19"/>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Executive Vice President &amp; Chief Financial Officer</w:t>
      </w:r>
    </w:p>
    <w:p>
      <w:pPr>
        <w:spacing w:after="0" w:line="231" w:lineRule="auto"/>
        <w:rPr>
          <w:sz w:val="20"/>
          <w:szCs w:val="20"/>
          <w:color w:val="auto"/>
        </w:rPr>
      </w:pPr>
      <w:r>
        <w:rPr>
          <w:rFonts w:ascii="Arial" w:cs="Arial" w:eastAsia="Arial" w:hAnsi="Arial"/>
          <w:sz w:val="22"/>
          <w:szCs w:val="22"/>
          <w:color w:val="auto"/>
        </w:rPr>
        <w:t>Glenn Klevitz, Vice President &amp; Assistant Treasurer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305-428-8000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2019-12-05T18:41:44Z</dcterms:created>
  <dcterms:modified xsi:type="dcterms:W3CDTF">2019-12-05T18:41:44Z</dcterms:modified>
</cp:coreProperties>
</file>