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39"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97"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PURSUANT TO SECTION 13 OR 15(d) OF</w:t>
      </w:r>
    </w:p>
    <w:p>
      <w:pPr>
        <w:spacing w:after="0" w:line="166"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57" w:lineRule="exact"/>
        <w:rPr>
          <w:sz w:val="24"/>
          <w:szCs w:val="24"/>
          <w:color w:val="auto"/>
        </w:rPr>
      </w:pPr>
    </w:p>
    <w:p>
      <w:pPr>
        <w:jc w:val="center"/>
        <w:ind w:right="-239"/>
        <w:spacing w:after="0"/>
        <w:rPr>
          <w:sz w:val="20"/>
          <w:szCs w:val="20"/>
          <w:color w:val="auto"/>
        </w:rPr>
      </w:pPr>
      <w:r>
        <w:rPr>
          <w:rFonts w:ascii="Arial" w:cs="Arial" w:eastAsia="Arial" w:hAnsi="Arial"/>
          <w:sz w:val="20"/>
          <w:szCs w:val="20"/>
          <w:b w:val="1"/>
          <w:bCs w:val="1"/>
          <w:color w:val="auto"/>
        </w:rPr>
        <w:t>Date of Report (Date of earliest event reported): February 14, 2017</w:t>
      </w:r>
    </w:p>
    <w:p>
      <w:pPr>
        <w:spacing w:after="0" w:line="366" w:lineRule="exact"/>
        <w:rPr>
          <w:sz w:val="24"/>
          <w:szCs w:val="24"/>
          <w:color w:val="auto"/>
        </w:rPr>
      </w:pPr>
    </w:p>
    <w:p>
      <w:pPr>
        <w:jc w:val="center"/>
        <w:ind w:right="-239"/>
        <w:spacing w:after="0"/>
        <w:rPr>
          <w:sz w:val="20"/>
          <w:szCs w:val="20"/>
          <w:color w:val="auto"/>
        </w:rPr>
      </w:pPr>
      <w:r>
        <w:rPr>
          <w:rFonts w:ascii="Arial" w:cs="Arial" w:eastAsia="Arial" w:hAnsi="Arial"/>
          <w:sz w:val="39"/>
          <w:szCs w:val="39"/>
          <w:b w:val="1"/>
          <w:bCs w:val="1"/>
          <w:color w:val="auto"/>
        </w:rPr>
        <w:t>WORLD FUEL SERVICES CORPORATION</w:t>
      </w:r>
    </w:p>
    <w:p>
      <w:pPr>
        <w:spacing w:after="0" w:line="52" w:lineRule="exact"/>
        <w:rPr>
          <w:sz w:val="24"/>
          <w:szCs w:val="24"/>
          <w:color w:val="auto"/>
        </w:rPr>
      </w:pPr>
    </w:p>
    <w:p>
      <w:pPr>
        <w:jc w:val="center"/>
        <w:ind w:right="-23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00"/>
          </w:cols>
          <w:pgMar w:left="240" w:top="679" w:right="4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1260"/>
        <w:spacing w:after="0"/>
        <w:rPr>
          <w:sz w:val="20"/>
          <w:szCs w:val="20"/>
          <w:color w:val="auto"/>
        </w:rPr>
      </w:pPr>
      <w:r>
        <w:rPr>
          <w:rFonts w:ascii="Arial" w:cs="Arial" w:eastAsia="Arial" w:hAnsi="Arial"/>
          <w:sz w:val="17"/>
          <w:szCs w:val="17"/>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2740"/>
        <w:spacing w:after="0"/>
        <w:rPr>
          <w:sz w:val="20"/>
          <w:szCs w:val="20"/>
          <w:color w:val="auto"/>
        </w:rPr>
      </w:pPr>
      <w:r>
        <w:rPr>
          <w:rFonts w:ascii="Arial" w:cs="Arial" w:eastAsia="Arial" w:hAnsi="Arial"/>
          <w:sz w:val="16"/>
          <w:szCs w:val="16"/>
          <w:b w:val="1"/>
          <w:bCs w:val="1"/>
          <w:color w:val="auto"/>
        </w:rPr>
        <w:t>1-9533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59-2459427</w:t>
      </w:r>
    </w:p>
    <w:p>
      <w:pPr>
        <w:spacing w:after="0" w:line="50" w:lineRule="exact"/>
        <w:rPr>
          <w:sz w:val="24"/>
          <w:szCs w:val="24"/>
          <w:color w:val="auto"/>
        </w:rPr>
      </w:pPr>
    </w:p>
    <w:p>
      <w:pPr>
        <w:sectPr>
          <w:pgSz w:w="11900" w:h="16838" w:orient="portrait"/>
          <w:cols w:equalWidth="0" w:num="3">
            <w:col w:w="4920" w:space="720"/>
            <w:col w:w="3260" w:space="720"/>
            <w:col w:w="1580"/>
          </w:cols>
          <w:pgMar w:left="240" w:top="679" w:right="459" w:bottom="1440" w:gutter="0" w:footer="0" w:header="0"/>
          <w:type w:val="continuous"/>
        </w:sectPr>
      </w:pPr>
    </w:p>
    <w:p>
      <w:pPr>
        <w:ind w:left="18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340" w:space="720"/>
            <w:col w:w="3180" w:space="720"/>
            <w:col w:w="2240"/>
          </w:cols>
          <w:pgMar w:left="240" w:top="679" w:right="4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tbl>
      <w:tblPr>
        <w:tblLayout w:type="fixed"/>
        <w:tblInd w:w="1000" w:type="dxa"/>
        <w:tblCellMar>
          <w:top w:w="0" w:type="dxa"/>
          <w:left w:w="0" w:type="dxa"/>
          <w:bottom w:w="0" w:type="dxa"/>
          <w:right w:w="0" w:type="dxa"/>
        </w:tblCellMar>
      </w:tblPr>
      <w:tr>
        <w:trPr>
          <w:trHeight w:val="216"/>
        </w:trPr>
        <w:tc>
          <w:tcPr>
            <w:tcW w:w="7760" w:type="dxa"/>
            <w:vAlign w:val="bottom"/>
          </w:tcPr>
          <w:p>
            <w:pPr>
              <w:jc w:val="center"/>
              <w:ind w:right="5294"/>
              <w:spacing w:after="0"/>
              <w:rPr>
                <w:sz w:val="20"/>
                <w:szCs w:val="20"/>
                <w:color w:val="auto"/>
              </w:rPr>
            </w:pPr>
            <w:r>
              <w:rPr>
                <w:rFonts w:ascii="Arial" w:cs="Arial" w:eastAsia="Arial" w:hAnsi="Arial"/>
                <w:sz w:val="18"/>
                <w:szCs w:val="18"/>
                <w:b w:val="1"/>
                <w:bCs w:val="1"/>
                <w:color w:val="auto"/>
                <w:w w:val="91"/>
              </w:rPr>
              <w:t>9800 N.W. 41</w:t>
            </w:r>
            <w:r>
              <w:rPr>
                <w:rFonts w:ascii="Arial" w:cs="Arial" w:eastAsia="Arial" w:hAnsi="Arial"/>
                <w:sz w:val="8"/>
                <w:szCs w:val="8"/>
                <w:b w:val="1"/>
                <w:bCs w:val="1"/>
                <w:color w:val="auto"/>
                <w:w w:val="91"/>
              </w:rPr>
              <w:t>st</w:t>
            </w:r>
            <w:r>
              <w:rPr>
                <w:rFonts w:ascii="Arial" w:cs="Arial" w:eastAsia="Arial" w:hAnsi="Arial"/>
                <w:sz w:val="18"/>
                <w:szCs w:val="18"/>
                <w:b w:val="1"/>
                <w:bCs w:val="1"/>
                <w:color w:val="auto"/>
                <w:w w:val="91"/>
              </w:rPr>
              <w:t xml:space="preserve"> Street</w:t>
            </w:r>
          </w:p>
        </w:tc>
        <w:tc>
          <w:tcPr>
            <w:tcW w:w="122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33178</w:t>
            </w:r>
          </w:p>
        </w:tc>
        <w:tc>
          <w:tcPr>
            <w:tcW w:w="0" w:type="dxa"/>
            <w:vAlign w:val="bottom"/>
          </w:tcPr>
          <w:p>
            <w:pPr>
              <w:spacing w:after="0"/>
              <w:rPr>
                <w:sz w:val="1"/>
                <w:szCs w:val="1"/>
                <w:color w:val="auto"/>
              </w:rPr>
            </w:pPr>
          </w:p>
        </w:tc>
      </w:tr>
      <w:tr>
        <w:trPr>
          <w:trHeight w:val="180"/>
        </w:trPr>
        <w:tc>
          <w:tcPr>
            <w:tcW w:w="7760" w:type="dxa"/>
            <w:vAlign w:val="bottom"/>
          </w:tcPr>
          <w:p>
            <w:pPr>
              <w:jc w:val="center"/>
              <w:ind w:right="5314"/>
              <w:spacing w:after="0" w:line="181" w:lineRule="exact"/>
              <w:rPr>
                <w:sz w:val="20"/>
                <w:szCs w:val="20"/>
                <w:color w:val="auto"/>
              </w:rPr>
            </w:pPr>
            <w:r>
              <w:rPr>
                <w:rFonts w:ascii="Arial" w:cs="Arial" w:eastAsia="Arial" w:hAnsi="Arial"/>
                <w:sz w:val="18"/>
                <w:szCs w:val="18"/>
                <w:b w:val="1"/>
                <w:bCs w:val="1"/>
                <w:color w:val="auto"/>
                <w:w w:val="95"/>
              </w:rPr>
              <w:t>Miami, Florida</w:t>
            </w: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7760" w:type="dxa"/>
            <w:vAlign w:val="bottom"/>
          </w:tcPr>
          <w:p>
            <w:pPr>
              <w:jc w:val="center"/>
              <w:ind w:right="529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20" w:type="dxa"/>
            <w:vAlign w:val="bottom"/>
          </w:tcPr>
          <w:p>
            <w:pPr>
              <w:jc w:val="center"/>
              <w:ind w:left="374"/>
              <w:spacing w:after="0"/>
              <w:rPr>
                <w:sz w:val="20"/>
                <w:szCs w:val="20"/>
                <w:color w:val="auto"/>
              </w:rPr>
            </w:pPr>
            <w:r>
              <w:rPr>
                <w:rFonts w:ascii="Arial" w:cs="Arial" w:eastAsia="Arial" w:hAnsi="Arial"/>
                <w:sz w:val="16"/>
                <w:szCs w:val="16"/>
                <w:b w:val="1"/>
                <w:bCs w:val="1"/>
                <w:color w:val="auto"/>
                <w:w w:val="96"/>
              </w:rPr>
              <w:t>(Zip Code)</w:t>
            </w:r>
          </w:p>
        </w:tc>
        <w:tc>
          <w:tcPr>
            <w:tcW w:w="0" w:type="dxa"/>
            <w:vAlign w:val="bottom"/>
          </w:tcPr>
          <w:p>
            <w:pPr>
              <w:spacing w:after="0"/>
              <w:rPr>
                <w:sz w:val="1"/>
                <w:szCs w:val="1"/>
                <w:color w:val="auto"/>
              </w:rPr>
            </w:pPr>
          </w:p>
        </w:tc>
      </w:tr>
      <w:tr>
        <w:trPr>
          <w:trHeight w:val="444"/>
        </w:trPr>
        <w:tc>
          <w:tcPr>
            <w:tcW w:w="7760" w:type="dxa"/>
            <w:vAlign w:val="bottom"/>
          </w:tcPr>
          <w:p>
            <w:pPr>
              <w:ind w:left="2120"/>
              <w:spacing w:after="0"/>
              <w:rPr>
                <w:sz w:val="20"/>
                <w:szCs w:val="20"/>
                <w:color w:val="auto"/>
              </w:rPr>
            </w:pPr>
            <w:r>
              <w:rPr>
                <w:rFonts w:ascii="Arial" w:cs="Arial" w:eastAsia="Arial" w:hAnsi="Arial"/>
                <w:sz w:val="18"/>
                <w:szCs w:val="18"/>
                <w:b w:val="1"/>
                <w:bCs w:val="1"/>
                <w:color w:val="auto"/>
                <w:w w:val="97"/>
              </w:rPr>
              <w:t>Registrant’s telephone number, including area code: (305) 428-8000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18"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200"/>
          </w:cols>
          <w:pgMar w:left="240" w:top="679"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information is provided pursuant to Item 7.01 of Form 8-K, “Regulation FD Disclosure” and Item 2.02 of Form 8-K, “Results of Operations and Financial Condition.”</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14, 2017, World Fuel Services Corporation (the “Company”) issued a press release reporting its financial results for the fourth quarter and fiscal year ended December 31, 2016. A copy of the press release is attached hereto as Exhibit 99.1.</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2100" w:type="dxa"/>
            <w:vAlign w:val="bottom"/>
          </w:tcPr>
          <w:p>
            <w:pPr>
              <w:spacing w:after="0"/>
              <w:rPr>
                <w:sz w:val="17"/>
                <w:szCs w:val="17"/>
                <w:color w:val="auto"/>
              </w:rPr>
            </w:pPr>
          </w:p>
        </w:tc>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91"/>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210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w w:val="86"/>
              </w:rPr>
              <w:t>Press Release, dated February 14, 2017</w:t>
            </w:r>
          </w:p>
        </w:tc>
      </w:tr>
    </w:tbl>
    <w:p>
      <w:pPr>
        <w:sectPr>
          <w:pgSz w:w="11900" w:h="16838" w:orient="portrait"/>
          <w:cols w:equalWidth="0" w:num="1">
            <w:col w:w="11420"/>
          </w:cols>
          <w:pgMar w:left="240" w:top="58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color w:val="auto"/>
        </w:rPr>
        <w:t>SIGNATURES</w:t>
      </w:r>
    </w:p>
    <w:p>
      <w:pPr>
        <w:spacing w:after="0" w:line="1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Date: February 14, 2017</w:t>
      </w:r>
      <w:r>
        <w:rPr>
          <w:sz w:val="20"/>
          <w:szCs w:val="20"/>
          <w:color w:val="auto"/>
        </w:rPr>
        <w:tab/>
      </w:r>
      <w:r>
        <w:rPr>
          <w:rFonts w:ascii="Arial" w:cs="Arial" w:eastAsia="Arial" w:hAnsi="Arial"/>
          <w:sz w:val="16"/>
          <w:szCs w:val="16"/>
          <w:b w:val="1"/>
          <w:bCs w:val="1"/>
          <w:color w:val="auto"/>
        </w:rPr>
        <w:t>World Fuel Services Corporation</w:t>
      </w:r>
    </w:p>
    <w:p>
      <w:pPr>
        <w:spacing w:after="0" w:line="33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80" w:type="dxa"/>
            <w:vAlign w:val="bottom"/>
          </w:tcPr>
          <w:p>
            <w:pPr>
              <w:ind w:left="1580"/>
              <w:spacing w:after="0"/>
              <w:rPr>
                <w:sz w:val="20"/>
                <w:szCs w:val="20"/>
                <w:color w:val="auto"/>
              </w:rPr>
            </w:pPr>
            <w:r>
              <w:rPr>
                <w:rFonts w:ascii="Arial" w:cs="Arial" w:eastAsia="Arial" w:hAnsi="Arial"/>
                <w:sz w:val="22"/>
                <w:szCs w:val="22"/>
                <w:color w:val="auto"/>
              </w:rPr>
              <w:t>EXHIBIT INDEX</w:t>
            </w:r>
          </w:p>
        </w:tc>
      </w:tr>
      <w:tr>
        <w:trPr>
          <w:trHeight w:val="625"/>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Exhibit No.</w:t>
            </w:r>
          </w:p>
        </w:tc>
        <w:tc>
          <w:tcPr>
            <w:tcW w:w="8080" w:type="dxa"/>
            <w:vAlign w:val="bottom"/>
          </w:tcPr>
          <w:p>
            <w:pPr>
              <w:ind w:left="20"/>
              <w:spacing w:after="0"/>
              <w:rPr>
                <w:sz w:val="20"/>
                <w:szCs w:val="20"/>
                <w:color w:val="auto"/>
              </w:rPr>
            </w:pPr>
            <w:r>
              <w:rPr>
                <w:rFonts w:ascii="Arial" w:cs="Arial" w:eastAsia="Arial" w:hAnsi="Arial"/>
                <w:sz w:val="18"/>
                <w:szCs w:val="18"/>
                <w:color w:val="auto"/>
              </w:rPr>
              <w:t>Description</w:t>
            </w:r>
          </w:p>
        </w:tc>
      </w:tr>
      <w:tr>
        <w:trPr>
          <w:trHeight w:val="27"/>
        </w:trPr>
        <w:tc>
          <w:tcPr>
            <w:tcW w:w="274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250"/>
        </w:trPr>
        <w:tc>
          <w:tcPr>
            <w:tcW w:w="2740" w:type="dxa"/>
            <w:vAlign w:val="bottom"/>
          </w:tcPr>
          <w:p>
            <w:pPr>
              <w:ind w:left="40"/>
              <w:spacing w:after="0"/>
              <w:rPr>
                <w:sz w:val="20"/>
                <w:szCs w:val="20"/>
                <w:color w:val="auto"/>
              </w:rPr>
            </w:pPr>
            <w:r>
              <w:rPr>
                <w:rFonts w:ascii="Arial" w:cs="Arial" w:eastAsia="Arial" w:hAnsi="Arial"/>
                <w:sz w:val="18"/>
                <w:szCs w:val="18"/>
                <w:color w:val="auto"/>
              </w:rPr>
              <w:t>99.1</w:t>
            </w:r>
          </w:p>
        </w:tc>
        <w:tc>
          <w:tcPr>
            <w:tcW w:w="600" w:type="dxa"/>
            <w:vAlign w:val="bottom"/>
          </w:tcPr>
          <w:p>
            <w:pPr>
              <w:spacing w:after="0"/>
              <w:rPr>
                <w:sz w:val="21"/>
                <w:szCs w:val="21"/>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Press Release, dated February 14, 2017</w:t>
            </w:r>
          </w:p>
        </w:tc>
      </w:tr>
    </w:tbl>
    <w:p>
      <w:pPr>
        <w:sectPr>
          <w:pgSz w:w="11900" w:h="16838" w:orient="portrait"/>
          <w:cols w:equalWidth="0" w:num="1">
            <w:col w:w="11420"/>
          </w:cols>
          <w:pgMar w:left="240" w:top="90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332" w:lineRule="exact"/>
        <w:rPr>
          <w:sz w:val="20"/>
          <w:szCs w:val="20"/>
          <w:color w:val="auto"/>
        </w:rPr>
      </w:pPr>
    </w:p>
    <w:p>
      <w:pPr>
        <w:ind w:left="7660"/>
        <w:spacing w:after="0"/>
        <w:rPr>
          <w:sz w:val="20"/>
          <w:szCs w:val="20"/>
          <w:color w:val="auto"/>
        </w:rPr>
      </w:pPr>
      <w:r>
        <w:rPr>
          <w:rFonts w:ascii="Arial" w:cs="Arial" w:eastAsia="Arial" w:hAnsi="Arial"/>
          <w:sz w:val="20"/>
          <w:szCs w:val="20"/>
          <w:u w:val="single" w:color="auto"/>
          <w:color w:val="auto"/>
        </w:rPr>
        <w:t>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-117475</wp:posOffset>
            </wp:positionV>
            <wp:extent cx="2324100" cy="977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24100" cy="977900"/>
                    </a:xfrm>
                    <a:prstGeom prst="rect">
                      <a:avLst/>
                    </a:prstGeom>
                    <a:noFill/>
                  </pic:spPr>
                </pic:pic>
              </a:graphicData>
            </a:graphic>
          </wp:anchor>
        </w:drawing>
      </w:r>
    </w:p>
    <w:p>
      <w:pPr>
        <w:ind w:left="7660"/>
        <w:spacing w:after="0"/>
        <w:rPr>
          <w:sz w:val="20"/>
          <w:szCs w:val="20"/>
          <w:color w:val="auto"/>
        </w:rPr>
      </w:pPr>
      <w:r>
        <w:rPr>
          <w:rFonts w:ascii="Arial" w:cs="Arial" w:eastAsia="Arial" w:hAnsi="Arial"/>
          <w:sz w:val="20"/>
          <w:szCs w:val="20"/>
          <w:color w:val="auto"/>
        </w:rPr>
        <w:t>Ira M. Birns, Executive Vice President &amp;</w:t>
      </w:r>
    </w:p>
    <w:p>
      <w:pPr>
        <w:ind w:left="7660"/>
        <w:spacing w:after="0"/>
        <w:rPr>
          <w:sz w:val="20"/>
          <w:szCs w:val="20"/>
          <w:color w:val="auto"/>
        </w:rPr>
      </w:pPr>
      <w:r>
        <w:rPr>
          <w:rFonts w:ascii="Arial" w:cs="Arial" w:eastAsia="Arial" w:hAnsi="Arial"/>
          <w:sz w:val="20"/>
          <w:szCs w:val="20"/>
          <w:color w:val="auto"/>
        </w:rPr>
        <w:t>Chief Financial Officer</w:t>
      </w:r>
    </w:p>
    <w:p>
      <w:pPr>
        <w:spacing w:after="0" w:line="213" w:lineRule="exact"/>
        <w:rPr>
          <w:sz w:val="20"/>
          <w:szCs w:val="20"/>
          <w:color w:val="auto"/>
        </w:rPr>
      </w:pPr>
    </w:p>
    <w:p>
      <w:pPr>
        <w:ind w:left="7660"/>
        <w:spacing w:after="0"/>
        <w:rPr>
          <w:sz w:val="20"/>
          <w:szCs w:val="20"/>
          <w:color w:val="auto"/>
        </w:rPr>
      </w:pPr>
      <w:r>
        <w:rPr>
          <w:rFonts w:ascii="Arial" w:cs="Arial" w:eastAsia="Arial" w:hAnsi="Arial"/>
          <w:sz w:val="20"/>
          <w:szCs w:val="20"/>
          <w:color w:val="auto"/>
        </w:rPr>
        <w:t>Glenn Klevitz</w:t>
      </w:r>
    </w:p>
    <w:p>
      <w:pPr>
        <w:spacing w:after="0" w:line="15" w:lineRule="exact"/>
        <w:rPr>
          <w:sz w:val="20"/>
          <w:szCs w:val="20"/>
          <w:color w:val="auto"/>
        </w:rPr>
      </w:pPr>
    </w:p>
    <w:p>
      <w:pPr>
        <w:ind w:left="7660"/>
        <w:spacing w:after="0"/>
        <w:rPr>
          <w:sz w:val="20"/>
          <w:szCs w:val="20"/>
          <w:color w:val="auto"/>
        </w:rPr>
      </w:pPr>
      <w:r>
        <w:rPr>
          <w:rFonts w:ascii="Arial" w:cs="Arial" w:eastAsia="Arial" w:hAnsi="Arial"/>
          <w:sz w:val="20"/>
          <w:szCs w:val="20"/>
          <w:color w:val="auto"/>
        </w:rPr>
        <w:t>Vice President, Assistant Treasurer</w:t>
      </w:r>
    </w:p>
    <w:p>
      <w:pPr>
        <w:ind w:left="7660"/>
        <w:spacing w:after="0"/>
        <w:rPr>
          <w:sz w:val="20"/>
          <w:szCs w:val="20"/>
          <w:color w:val="auto"/>
        </w:rPr>
      </w:pPr>
      <w:r>
        <w:rPr>
          <w:rFonts w:ascii="Arial" w:cs="Arial" w:eastAsia="Arial" w:hAnsi="Arial"/>
          <w:sz w:val="20"/>
          <w:szCs w:val="20"/>
          <w:color w:val="auto"/>
        </w:rPr>
        <w:t>305-428-8000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World Fuel Services Corporation Reports Fourth Quarter and Full Year 2016 Earnings</w:t>
      </w:r>
    </w:p>
    <w:p>
      <w:pPr>
        <w:spacing w:after="0" w:line="322"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 Provides Earnings Guidance for 2017 ---</w:t>
      </w:r>
    </w:p>
    <w:p>
      <w:pPr>
        <w:spacing w:after="0" w:line="31"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 Announces Additional $20 million of Cost Savings ---</w:t>
      </w:r>
    </w:p>
    <w:p>
      <w:pPr>
        <w:spacing w:after="0" w:line="200" w:lineRule="exact"/>
        <w:rPr>
          <w:sz w:val="20"/>
          <w:szCs w:val="20"/>
          <w:color w:val="auto"/>
        </w:rPr>
      </w:pPr>
    </w:p>
    <w:p>
      <w:pPr>
        <w:spacing w:after="0" w:line="281"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MIAMI—February 14, 2017-- World Fuel Services Corporation (NYSE: INT) today reported full year 2016 net income of $126.5 million or $1.81 diluted earnings per share. Excluding the impact of certain one-time items, adjusted full year net income was $146.9 million or $2.11 adjusted diluted earnings per share. For 2015, net income as adjusted for one-time items was $180.9 million or $2.56 adjusted diluted earnings per share. Non-GAAP net income and diluted earnings per share for the full year 2016, excluding share-based compensation, amortization of acquired intangible assets and other one-time items were $188.8 million and $2.70, respectively, compared to $212.7 million and $3.01 in 2015.</w:t>
      </w:r>
    </w:p>
    <w:p>
      <w:pPr>
        <w:spacing w:after="0" w:line="5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For the fourth quarter of 2016, net income was $2.2 million or $0.03 diluted earnings per share. Excluding the impact of one-time items, adjusted fourth quarter 2016 net income was $14.3 million or $0.21 adjusted diluted earnings per share. In the fourth quarter of 2015, net income as adjusted for one-time items was $50.8 million or $0.73 diluted earnings per share. Non-GAAP net income and diluted earnings per share for the fourth quarter of 2016, excluding share-based compensation and amortization of acquired intangible assets and one-time items were $25.2 million and $0.36, respectively, compared to $60.2 million and $0.86 in the fourth quarter of 2015.</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 xml:space="preserve">“While 2016 was a challenging year in many of the markets we serve, we remain committed to executing on our short and long-term growth plans while increasing operational efficiency” stated Michael J. Kasbar, chairman and chief executive officer of World Fuel Services Corporation. “We are optimistic about our prospects for </w:t>
      </w:r>
      <w:r>
        <w:rPr>
          <w:rFonts w:ascii="Arial" w:cs="Arial" w:eastAsia="Arial" w:hAnsi="Arial"/>
          <w:sz w:val="21"/>
          <w:szCs w:val="21"/>
          <w:color w:val="auto"/>
        </w:rPr>
        <w:t>2017</w:t>
      </w:r>
      <w:r>
        <w:rPr>
          <w:rFonts w:ascii="Arial" w:cs="Arial" w:eastAsia="Arial" w:hAnsi="Arial"/>
          <w:sz w:val="20"/>
          <w:szCs w:val="20"/>
          <w:color w:val="auto"/>
        </w:rPr>
        <w:t xml:space="preserve"> and are focused on executing on our long-term strategy of becoming a global leader in the areas of energy management, fulfillment, payments and transaction management.”</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For the full year, the company’s aviation segment generated gross profit of $401.0 million, an increase of $39.1 million or 10.8% year-over-year. The company’s marine segment generated gross profit of $149.5 million, a decrease of $40.1 million or 21.1% year-over-year. The company’s land segment posted gross profit of $348.5 million, an increase of $39.0 million or 12.6% year-over-year.</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“We remain committed to driving cost efficiencies in our business and we have identified $20 million of additional annualized cost savings across the business, which should help deliver a stronger result in 2017,” said Ira M. Birns, executive vice president and chief financial officer. “Considering our organic growth opportunities and the continued integration of our recent acquisitions, combined with the benefit of driving further cost efficiencies, we expect adjusted diluted earnings per share to be between $2.55 and $2.90 for the full year.”</w:t>
      </w:r>
    </w:p>
    <w:p>
      <w:pPr>
        <w:sectPr>
          <w:pgSz w:w="11900" w:h="16838" w:orient="portrait"/>
          <w:cols w:equalWidth="0" w:num="1">
            <w:col w:w="11420"/>
          </w:cols>
          <w:pgMar w:left="240" w:top="576" w:right="2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auto"/>
        </w:rPr>
        <w:t>Non-GAAP Financial Measures</w:t>
      </w:r>
    </w:p>
    <w:p>
      <w:pPr>
        <w:spacing w:after="0" w:line="21"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This press release contains non-GAAP financial measures, including Non-GAAP and adjusted net income and diluted earnings per share (“EPS”) for the full year and fourth quarter ended December 31, 2016 (collectively, the “2016 Non-GAAP Measures”), as well as the Company’s outlook for Adjusted EPS for 2017. The 2016 Non-GAAP Measures exclude costs associated with share-based compensation, amortization of acquired intangible assets, acquisition related charges, severance and other restructuring-related costs and costs related to the divestiture of crude oil joint venture interest primarily because we do not believe they are reflective of the Company’s core operating results. We believe the exclusion of share-based compensation from operating expenses is useful given the variation in expense that can result from changes in the fair value of our common stock, the effect of which is unrelated to the operational conditions that give rise to variations in the components of our operating costs. Also, we believe the exclusion of the amortization of acquired intangible assets, acquisition related charges, severance and other restructuring-related costs and costs related to the divestiture of crude oil joint venture interest are useful for purposes of evaluating operating performance of our core operating results and comparing them period over period. We believe that the 2016 Non-GAAP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w:t>
      </w:r>
    </w:p>
    <w:p>
      <w:pPr>
        <w:spacing w:after="0" w:line="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Non-GAAP financial measures should not be considered in isolation from, or as a substitute for, financial information prepared in accordance with GAAP. In addition, our presentation of Non-GAAP and adjusted net income and Non-GAAP and adjusted diluted earnings per common share may not be comparable to the presentation of such metrics by other companies. Non-GAAP and adjusted diluted earnings per common share is computed by dividing non-GAAP net income and adjusted net income, respectively, attributable to World Fuel and available to common shareholders by the sum of the weighted average number of shares of common stock, stock units, restricted stock entitled to dividends not subject to forfeiture and vested RSUs outstanding during the period and the number of additional shares of common stock that would have been outstanding if our outstanding potentially dilutive securities had been issued. Investors are encouraged to review the reconciliation of these non-GAAP measures to their most directly comparable GAAP financial measures.</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With regard to the Company’s outlook for 2017, reconciliation of Adjusted EPS to the most directly comparable GAAP measure is not available without unreasonable efforts on a forward-looking basis due to the high variability and complexity with respect to the charges excluded from this non-GAAP measure, including expenses associated with acquisitions and divestitures, and other unusual gains and losses, which we are unable to predict without unreasonable efforts due to their inherent uncertainty. Consequently, any attempt to disclose such reconciliation would imply a degree of precision that could be confusing or misleading to investors. While we do not expect the variability of the above charges to have a significant impact on our future GAAP financial results, there can be no assurance that they will not materially affect our future GAAP financial results. The expected 2017 adjusted EPS range assumes the following: (i) weighted-average outstanding shares of approximately 70 million; (ii) a full-year effective tax rate in a range of 15 to 18 percent; (iii) the integration and realization of anticipated financial and operational contributions from acquisitions announced in 2016, but does not contemplate the impact of any potential future acquisitions; (iv) the realization of cost savings of approximately $15 million in 2017; (v) performance consistent with management’s current visibility into its annual operating performance, including continued contributions from our government-related activities; and (vi) traditional seasonal weather patterns in 2017.</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Information Relating to Forward-Looking Statements</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This release includes forward-looking statements within the meaning of the Private Securities Litigation Reform Act of 1995, including statements regarding our expectations about our long-term strategy, growth plans and operating efficiencies, as well as our expectations for driving cost-savings and our outlook for the 2017 adjusted EPS range. These forward-looking statements are qualified in their entirety by cautionary statements and risk factor disclosures contained in the company’s Securities and Exchange Commission (“SEC”) filings, including the company’s most recent Annual Report on Form 10-K filed with the SEC. Actual results may differ materially from any forward-looking statements due to risks and uncertainties, including, but not limited to: our ability to effectively integrate and derive benefits from acquired businesses, our ability to capitalize on new market opportunities, potential liabilities and the extent of any insurance coverage, that the assumptions underlying our expected 2017 adjusted EPS are not correct, the outcome of pending litigation and other proceedings, the impact of quarterly fluctuations in results, particularly as a result of seasonality, the creditworthiness of our customers and counterparties and our ability to collect accounts receivable, fluctuations in world oil prices or foreign currency, changes in political, economic, regulatory, or environmental conditions, adverse conditions in the markets or industries in which we or our customers and suppliers operate, our failure to effectively hedge certain financial risks associated with the use of derivatives, non-performance by counterparties or customers on derivatives contracts, loss of, or reduced sales, to a significant government customer, uninsured losses, the impact of natural disasters, adverse results in legal disputes, unanticipated tax liabilities, our ability to retain and attract senior management and other key employees and other risks detailed from time to time in the company’s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About World Fuel Services Corporation</w:t>
      </w:r>
    </w:p>
    <w:p>
      <w:pPr>
        <w:spacing w:after="0" w:line="13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Headquartered in Miami, Florida, World Fuel Services is a global fuel logistics, transaction management and payment processing company, principally engaged in the distribution of fuel and related products and services in the aviation, marine and land transportation industries. World Fuel Services sells fuel and delivers services to its clients at more than 8,000 locations in more than 200 countries and territories worldwide.</w:t>
      </w:r>
    </w:p>
    <w:p>
      <w:pPr>
        <w:spacing w:after="0" w:line="89"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residential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16"/>
          <w:szCs w:val="16"/>
          <w:u w:val="single" w:color="auto"/>
          <w:color w:val="auto"/>
        </w:rPr>
        <w:t>www.wfscorp.com</w:t>
      </w:r>
      <w:r>
        <w:rPr>
          <w:rFonts w:ascii="Arial" w:cs="Arial" w:eastAsia="Arial" w:hAnsi="Arial"/>
          <w:sz w:val="16"/>
          <w:szCs w:val="16"/>
          <w:color w:val="auto"/>
        </w:rPr>
        <w: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Some amounts in this press release may not add due to rounding. All percentages have been calculated using unrounded amounts --</w:t>
      </w:r>
    </w:p>
    <w:p>
      <w:pPr>
        <w:sectPr>
          <w:pgSz w:w="11900" w:h="16838" w:orient="portrait"/>
          <w:cols w:equalWidth="0" w:num="1">
            <w:col w:w="11420"/>
          </w:cols>
          <w:pgMar w:left="240" w:top="580"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(Unaudited - In millions,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As of</w:t>
            </w:r>
          </w:p>
        </w:tc>
        <w:tc>
          <w:tcPr>
            <w:tcW w:w="360" w:type="dxa"/>
            <w:vAlign w:val="bottom"/>
            <w:tcBorders>
              <w:bottom w:val="single" w:sz="8" w:color="auto"/>
            </w:tcBorders>
          </w:tcPr>
          <w:p>
            <w:pPr>
              <w:spacing w:after="0"/>
              <w:rPr>
                <w:sz w:val="16"/>
                <w:szCs w:val="16"/>
                <w:color w:val="auto"/>
              </w:rPr>
            </w:pPr>
          </w:p>
        </w:tc>
      </w:tr>
      <w:tr>
        <w:trPr>
          <w:trHeight w:val="258"/>
        </w:trPr>
        <w:tc>
          <w:tcPr>
            <w:tcW w:w="7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22"/>
                <w:szCs w:val="22"/>
                <w:color w:val="auto"/>
              </w:rPr>
            </w:pPr>
          </w:p>
        </w:tc>
      </w:tr>
      <w:tr>
        <w:trPr>
          <w:trHeight w:val="276"/>
        </w:trPr>
        <w:tc>
          <w:tcPr>
            <w:tcW w:w="7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9"/>
                <w:szCs w:val="9"/>
                <w:b w:val="1"/>
                <w:bCs w:val="1"/>
                <w:color w:val="auto"/>
              </w:rPr>
              <w:t>(1)</w:t>
            </w:r>
          </w:p>
        </w:tc>
      </w:tr>
      <w:tr>
        <w:trPr>
          <w:trHeight w:val="277"/>
        </w:trPr>
        <w:tc>
          <w:tcPr>
            <w:tcW w:w="7980" w:type="dxa"/>
            <w:vAlign w:val="bottom"/>
            <w:gridSpan w:val="2"/>
          </w:tcPr>
          <w:p>
            <w:pPr>
              <w:ind w:left="40"/>
              <w:spacing w:after="0"/>
              <w:rPr>
                <w:sz w:val="20"/>
                <w:szCs w:val="20"/>
                <w:color w:val="auto"/>
              </w:rPr>
            </w:pPr>
            <w:r>
              <w:rPr>
                <w:rFonts w:ascii="Arial" w:cs="Arial" w:eastAsia="Arial" w:hAnsi="Arial"/>
                <w:sz w:val="14"/>
                <w:szCs w:val="14"/>
                <w:color w:val="auto"/>
              </w:rPr>
              <w:t>Assets: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9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r>
      <w:tr>
        <w:trPr>
          <w:trHeight w:val="264"/>
        </w:trPr>
        <w:tc>
          <w:tcPr>
            <w:tcW w:w="7980" w:type="dxa"/>
            <w:vAlign w:val="bottom"/>
            <w:gridSpan w:val="2"/>
          </w:tcPr>
          <w:p>
            <w:pPr>
              <w:ind w:left="180"/>
              <w:spacing w:after="0"/>
              <w:rPr>
                <w:sz w:val="20"/>
                <w:szCs w:val="20"/>
                <w:color w:val="auto"/>
              </w:rPr>
            </w:pPr>
            <w:r>
              <w:rPr>
                <w:rFonts w:ascii="Arial" w:cs="Arial" w:eastAsia="Arial" w:hAnsi="Arial"/>
                <w:sz w:val="14"/>
                <w:szCs w:val="14"/>
                <w:color w:val="auto"/>
              </w:rPr>
              <w:t>Cash and cash equivalents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698.6</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582.5</w:t>
            </w:r>
          </w:p>
        </w:tc>
        <w:tc>
          <w:tcPr>
            <w:tcW w:w="360" w:type="dxa"/>
            <w:vAlign w:val="bottom"/>
          </w:tcPr>
          <w:p>
            <w:pPr>
              <w:spacing w:after="0"/>
              <w:rPr>
                <w:sz w:val="22"/>
                <w:szCs w:val="22"/>
                <w:color w:val="auto"/>
              </w:rPr>
            </w:pPr>
          </w:p>
        </w:tc>
      </w:tr>
      <w:tr>
        <w:trPr>
          <w:trHeight w:val="276"/>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Accounts receivable, net</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2,344.0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1,812.6</w:t>
            </w:r>
          </w:p>
        </w:tc>
        <w:tc>
          <w:tcPr>
            <w:tcW w:w="360" w:type="dxa"/>
            <w:vAlign w:val="bottom"/>
            <w:shd w:val="clear" w:color="auto" w:fill="CCEEFF"/>
          </w:tcPr>
          <w:p>
            <w:pPr>
              <w:spacing w:after="0"/>
              <w:rPr>
                <w:sz w:val="24"/>
                <w:szCs w:val="24"/>
                <w:color w:val="auto"/>
              </w:rPr>
            </w:pPr>
          </w:p>
        </w:tc>
      </w:tr>
      <w:tr>
        <w:trPr>
          <w:trHeight w:val="264"/>
        </w:trPr>
        <w:tc>
          <w:tcPr>
            <w:tcW w:w="7980" w:type="dxa"/>
            <w:vAlign w:val="bottom"/>
            <w:gridSpan w:val="2"/>
          </w:tcPr>
          <w:p>
            <w:pPr>
              <w:ind w:left="180"/>
              <w:spacing w:after="0"/>
              <w:rPr>
                <w:sz w:val="20"/>
                <w:szCs w:val="20"/>
                <w:color w:val="auto"/>
              </w:rPr>
            </w:pPr>
            <w:r>
              <w:rPr>
                <w:rFonts w:ascii="Arial" w:cs="Arial" w:eastAsia="Arial" w:hAnsi="Arial"/>
                <w:sz w:val="14"/>
                <w:szCs w:val="14"/>
                <w:color w:val="auto"/>
              </w:rPr>
              <w:t>Inventories</w:t>
            </w:r>
          </w:p>
        </w:tc>
        <w:tc>
          <w:tcPr>
            <w:tcW w:w="3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458.0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359.1</w:t>
            </w:r>
          </w:p>
        </w:tc>
        <w:tc>
          <w:tcPr>
            <w:tcW w:w="360" w:type="dxa"/>
            <w:vAlign w:val="bottom"/>
          </w:tcPr>
          <w:p>
            <w:pPr>
              <w:spacing w:after="0"/>
              <w:rPr>
                <w:sz w:val="22"/>
                <w:szCs w:val="22"/>
                <w:color w:val="auto"/>
              </w:rPr>
            </w:pPr>
          </w:p>
        </w:tc>
      </w:tr>
      <w:tr>
        <w:trPr>
          <w:trHeight w:val="276"/>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Prepaid expenses</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57.9</w:t>
            </w:r>
          </w:p>
        </w:tc>
        <w:tc>
          <w:tcPr>
            <w:tcW w:w="360" w:type="dxa"/>
            <w:vAlign w:val="bottom"/>
            <w:shd w:val="clear" w:color="auto" w:fill="CCEEFF"/>
          </w:tcPr>
          <w:p>
            <w:pPr>
              <w:spacing w:after="0"/>
              <w:rPr>
                <w:sz w:val="24"/>
                <w:szCs w:val="24"/>
                <w:color w:val="auto"/>
              </w:rPr>
            </w:pPr>
          </w:p>
        </w:tc>
      </w:tr>
      <w:tr>
        <w:trPr>
          <w:trHeight w:val="264"/>
        </w:trPr>
        <w:tc>
          <w:tcPr>
            <w:tcW w:w="7980" w:type="dxa"/>
            <w:vAlign w:val="bottom"/>
            <w:gridSpan w:val="2"/>
          </w:tcPr>
          <w:p>
            <w:pPr>
              <w:ind w:left="180"/>
              <w:spacing w:after="0"/>
              <w:rPr>
                <w:sz w:val="20"/>
                <w:szCs w:val="20"/>
                <w:color w:val="auto"/>
              </w:rPr>
            </w:pPr>
            <w:r>
              <w:rPr>
                <w:rFonts w:ascii="Arial" w:cs="Arial" w:eastAsia="Arial" w:hAnsi="Arial"/>
                <w:sz w:val="14"/>
                <w:szCs w:val="14"/>
                <w:color w:val="auto"/>
              </w:rPr>
              <w:t>Short-term derivative assets, net</w:t>
            </w:r>
          </w:p>
        </w:tc>
        <w:tc>
          <w:tcPr>
            <w:tcW w:w="3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58.9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220.4</w:t>
            </w:r>
          </w:p>
        </w:tc>
        <w:tc>
          <w:tcPr>
            <w:tcW w:w="360" w:type="dxa"/>
            <w:vAlign w:val="bottom"/>
          </w:tcPr>
          <w:p>
            <w:pPr>
              <w:spacing w:after="0"/>
              <w:rPr>
                <w:sz w:val="22"/>
                <w:szCs w:val="22"/>
                <w:color w:val="auto"/>
              </w:rPr>
            </w:pPr>
          </w:p>
        </w:tc>
      </w:tr>
      <w:tr>
        <w:trPr>
          <w:trHeight w:val="276"/>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current assets</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208.0</w:t>
            </w:r>
          </w:p>
        </w:tc>
        <w:tc>
          <w:tcPr>
            <w:tcW w:w="360" w:type="dxa"/>
            <w:vAlign w:val="bottom"/>
            <w:shd w:val="clear" w:color="auto" w:fill="CCEEFF"/>
          </w:tcPr>
          <w:p>
            <w:pPr>
              <w:spacing w:after="0"/>
              <w:rPr>
                <w:sz w:val="24"/>
                <w:szCs w:val="24"/>
                <w:color w:val="auto"/>
              </w:rPr>
            </w:pPr>
          </w:p>
        </w:tc>
      </w:tr>
      <w:tr>
        <w:trPr>
          <w:trHeight w:val="264"/>
        </w:trPr>
        <w:tc>
          <w:tcPr>
            <w:tcW w:w="78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Current assets held for sale</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w:t>
            </w:r>
          </w:p>
        </w:tc>
        <w:tc>
          <w:tcPr>
            <w:tcW w:w="360" w:type="dxa"/>
            <w:vAlign w:val="bottom"/>
            <w:tcBorders>
              <w:bottom w:val="single" w:sz="8" w:color="auto"/>
            </w:tcBorders>
          </w:tcPr>
          <w:p>
            <w:pPr>
              <w:spacing w:after="0"/>
              <w:rPr>
                <w:sz w:val="22"/>
                <w:szCs w:val="22"/>
                <w:color w:val="auto"/>
              </w:rPr>
            </w:pPr>
          </w:p>
        </w:tc>
      </w:tr>
      <w:tr>
        <w:trPr>
          <w:trHeight w:val="27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current assets</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3,836.6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3,246.0</w:t>
            </w:r>
          </w:p>
        </w:tc>
        <w:tc>
          <w:tcPr>
            <w:tcW w:w="360" w:type="dxa"/>
            <w:vAlign w:val="bottom"/>
            <w:shd w:val="clear" w:color="auto" w:fill="CCEEFF"/>
          </w:tcPr>
          <w:p>
            <w:pPr>
              <w:spacing w:after="0"/>
              <w:rPr>
                <w:sz w:val="23"/>
                <w:szCs w:val="23"/>
                <w:color w:val="auto"/>
              </w:rPr>
            </w:pPr>
          </w:p>
        </w:tc>
      </w:tr>
      <w:tr>
        <w:trPr>
          <w:trHeight w:val="264"/>
        </w:trPr>
        <w:tc>
          <w:tcPr>
            <w:tcW w:w="7980" w:type="dxa"/>
            <w:vAlign w:val="bottom"/>
            <w:gridSpan w:val="2"/>
          </w:tcPr>
          <w:p>
            <w:pPr>
              <w:ind w:left="40"/>
              <w:spacing w:after="0"/>
              <w:rPr>
                <w:sz w:val="20"/>
                <w:szCs w:val="20"/>
                <w:color w:val="auto"/>
              </w:rPr>
            </w:pPr>
            <w:r>
              <w:rPr>
                <w:rFonts w:ascii="Arial" w:cs="Arial" w:eastAsia="Arial" w:hAnsi="Arial"/>
                <w:sz w:val="14"/>
                <w:szCs w:val="14"/>
                <w:color w:val="auto"/>
              </w:rPr>
              <w:t>Property and equipment, net</w:t>
            </w:r>
          </w:p>
        </w:tc>
        <w:tc>
          <w:tcPr>
            <w:tcW w:w="3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311.2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225.6</w:t>
            </w:r>
          </w:p>
        </w:tc>
        <w:tc>
          <w:tcPr>
            <w:tcW w:w="360" w:type="dxa"/>
            <w:vAlign w:val="bottom"/>
          </w:tcPr>
          <w:p>
            <w:pPr>
              <w:spacing w:after="0"/>
              <w:rPr>
                <w:sz w:val="22"/>
                <w:szCs w:val="22"/>
                <w:color w:val="auto"/>
              </w:rPr>
            </w:pPr>
          </w:p>
        </w:tc>
      </w:tr>
      <w:tr>
        <w:trPr>
          <w:trHeight w:val="276"/>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835.8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675.8</w:t>
            </w:r>
          </w:p>
        </w:tc>
        <w:tc>
          <w:tcPr>
            <w:tcW w:w="360" w:type="dxa"/>
            <w:vAlign w:val="bottom"/>
            <w:shd w:val="clear" w:color="auto" w:fill="CCEEFF"/>
          </w:tcPr>
          <w:p>
            <w:pPr>
              <w:spacing w:after="0"/>
              <w:rPr>
                <w:sz w:val="24"/>
                <w:szCs w:val="24"/>
                <w:color w:val="auto"/>
              </w:rPr>
            </w:pPr>
          </w:p>
        </w:tc>
      </w:tr>
      <w:tr>
        <w:trPr>
          <w:trHeight w:val="264"/>
        </w:trPr>
        <w:tc>
          <w:tcPr>
            <w:tcW w:w="7980" w:type="dxa"/>
            <w:vAlign w:val="bottom"/>
            <w:gridSpan w:val="2"/>
          </w:tcPr>
          <w:p>
            <w:pPr>
              <w:ind w:left="40"/>
              <w:spacing w:after="0"/>
              <w:rPr>
                <w:sz w:val="20"/>
                <w:szCs w:val="20"/>
                <w:color w:val="auto"/>
              </w:rPr>
            </w:pPr>
            <w:r>
              <w:rPr>
                <w:rFonts w:ascii="Arial" w:cs="Arial" w:eastAsia="Arial" w:hAnsi="Arial"/>
                <w:sz w:val="14"/>
                <w:szCs w:val="14"/>
                <w:color w:val="auto"/>
              </w:rPr>
              <w:t>Identifiable intangible and other non-current assets</w:t>
            </w:r>
          </w:p>
        </w:tc>
        <w:tc>
          <w:tcPr>
            <w:tcW w:w="3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429.1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341.4</w:t>
            </w:r>
          </w:p>
        </w:tc>
        <w:tc>
          <w:tcPr>
            <w:tcW w:w="360" w:type="dxa"/>
            <w:vAlign w:val="bottom"/>
          </w:tcPr>
          <w:p>
            <w:pPr>
              <w:spacing w:after="0"/>
              <w:rPr>
                <w:sz w:val="22"/>
                <w:szCs w:val="22"/>
                <w:color w:val="auto"/>
              </w:rPr>
            </w:pPr>
          </w:p>
        </w:tc>
      </w:tr>
      <w:tr>
        <w:trPr>
          <w:trHeight w:val="270"/>
        </w:trPr>
        <w:tc>
          <w:tcPr>
            <w:tcW w:w="78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Non-current assets held for sale</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36.5</w:t>
            </w:r>
          </w:p>
        </w:tc>
        <w:tc>
          <w:tcPr>
            <w:tcW w:w="360" w:type="dxa"/>
            <w:vAlign w:val="bottom"/>
            <w:tcBorders>
              <w:bottom w:val="single" w:sz="8" w:color="auto"/>
            </w:tcBorders>
            <w:shd w:val="clear" w:color="auto" w:fill="CCEEFF"/>
          </w:tcPr>
          <w:p>
            <w:pPr>
              <w:spacing w:after="0"/>
              <w:rPr>
                <w:sz w:val="23"/>
                <w:szCs w:val="23"/>
                <w:color w:val="auto"/>
              </w:rPr>
            </w:pPr>
          </w:p>
        </w:tc>
      </w:tr>
      <w:tr>
        <w:trPr>
          <w:trHeight w:val="264"/>
        </w:trPr>
        <w:tc>
          <w:tcPr>
            <w:tcW w:w="7980" w:type="dxa"/>
            <w:vAlign w:val="bottom"/>
            <w:gridSpan w:val="2"/>
          </w:tcPr>
          <w:p>
            <w:pPr>
              <w:ind w:left="280"/>
              <w:spacing w:after="0"/>
              <w:rPr>
                <w:sz w:val="20"/>
                <w:szCs w:val="20"/>
                <w:color w:val="auto"/>
              </w:rPr>
            </w:pPr>
            <w:r>
              <w:rPr>
                <w:rFonts w:ascii="Arial" w:cs="Arial" w:eastAsia="Arial" w:hAnsi="Arial"/>
                <w:sz w:val="14"/>
                <w:szCs w:val="14"/>
                <w:color w:val="auto"/>
              </w:rPr>
              <w:t>Total assets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5,412.6</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4,525.3</w:t>
            </w:r>
          </w:p>
        </w:tc>
        <w:tc>
          <w:tcPr>
            <w:tcW w:w="360" w:type="dxa"/>
            <w:vAlign w:val="bottom"/>
          </w:tcPr>
          <w:p>
            <w:pPr>
              <w:spacing w:after="0"/>
              <w:rPr>
                <w:sz w:val="22"/>
                <w:szCs w:val="22"/>
                <w:color w:val="auto"/>
              </w:rPr>
            </w:pPr>
          </w:p>
        </w:tc>
      </w:tr>
      <w:tr>
        <w:trPr>
          <w:trHeight w:val="29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r>
      <w:tr>
        <w:trPr>
          <w:trHeight w:val="278"/>
        </w:trPr>
        <w:tc>
          <w:tcPr>
            <w:tcW w:w="7980" w:type="dxa"/>
            <w:vAlign w:val="bottom"/>
            <w:gridSpan w:val="2"/>
          </w:tcPr>
          <w:p>
            <w:pPr>
              <w:ind w:left="40"/>
              <w:spacing w:after="0"/>
              <w:rPr>
                <w:sz w:val="20"/>
                <w:szCs w:val="20"/>
                <w:color w:val="auto"/>
              </w:rPr>
            </w:pPr>
            <w:r>
              <w:rPr>
                <w:rFonts w:ascii="Arial" w:cs="Arial" w:eastAsia="Arial" w:hAnsi="Arial"/>
                <w:sz w:val="14"/>
                <w:szCs w:val="14"/>
                <w:color w:val="auto"/>
              </w:rPr>
              <w:t>Current liabilities: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76"/>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Short-term debt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w:t>
            </w:r>
          </w:p>
        </w:tc>
        <w:tc>
          <w:tcPr>
            <w:tcW w:w="360" w:type="dxa"/>
            <w:vAlign w:val="bottom"/>
            <w:shd w:val="clear" w:color="auto" w:fill="CCEEFF"/>
          </w:tcPr>
          <w:p>
            <w:pPr>
              <w:spacing w:after="0"/>
              <w:rPr>
                <w:sz w:val="24"/>
                <w:szCs w:val="24"/>
                <w:color w:val="auto"/>
              </w:rPr>
            </w:pPr>
          </w:p>
        </w:tc>
      </w:tr>
      <w:tr>
        <w:trPr>
          <w:trHeight w:val="264"/>
        </w:trPr>
        <w:tc>
          <w:tcPr>
            <w:tcW w:w="7980" w:type="dxa"/>
            <w:vAlign w:val="bottom"/>
            <w:gridSpan w:val="2"/>
          </w:tcPr>
          <w:p>
            <w:pPr>
              <w:ind w:left="18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1,770.4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1,349.6</w:t>
            </w:r>
          </w:p>
        </w:tc>
        <w:tc>
          <w:tcPr>
            <w:tcW w:w="360" w:type="dxa"/>
            <w:vAlign w:val="bottom"/>
          </w:tcPr>
          <w:p>
            <w:pPr>
              <w:spacing w:after="0"/>
              <w:rPr>
                <w:sz w:val="22"/>
                <w:szCs w:val="22"/>
                <w:color w:val="auto"/>
              </w:rPr>
            </w:pPr>
          </w:p>
        </w:tc>
      </w:tr>
      <w:tr>
        <w:trPr>
          <w:trHeight w:val="276"/>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Customer deposits</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118.3</w:t>
            </w:r>
          </w:p>
        </w:tc>
        <w:tc>
          <w:tcPr>
            <w:tcW w:w="360" w:type="dxa"/>
            <w:vAlign w:val="bottom"/>
            <w:shd w:val="clear" w:color="auto" w:fill="CCEEFF"/>
          </w:tcPr>
          <w:p>
            <w:pPr>
              <w:spacing w:after="0"/>
              <w:rPr>
                <w:sz w:val="24"/>
                <w:szCs w:val="24"/>
                <w:color w:val="auto"/>
              </w:rPr>
            </w:pPr>
          </w:p>
        </w:tc>
      </w:tr>
      <w:tr>
        <w:trPr>
          <w:trHeight w:val="264"/>
        </w:trPr>
        <w:tc>
          <w:tcPr>
            <w:tcW w:w="7980" w:type="dxa"/>
            <w:vAlign w:val="bottom"/>
            <w:gridSpan w:val="2"/>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3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306.0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255.2</w:t>
            </w:r>
          </w:p>
        </w:tc>
        <w:tc>
          <w:tcPr>
            <w:tcW w:w="360" w:type="dxa"/>
            <w:vAlign w:val="bottom"/>
          </w:tcPr>
          <w:p>
            <w:pPr>
              <w:spacing w:after="0"/>
              <w:rPr>
                <w:sz w:val="22"/>
                <w:szCs w:val="22"/>
                <w:color w:val="auto"/>
              </w:rPr>
            </w:pPr>
          </w:p>
        </w:tc>
      </w:tr>
      <w:tr>
        <w:trPr>
          <w:trHeight w:val="270"/>
        </w:trPr>
        <w:tc>
          <w:tcPr>
            <w:tcW w:w="78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Current liabilities held for sale</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w:t>
            </w:r>
          </w:p>
        </w:tc>
        <w:tc>
          <w:tcPr>
            <w:tcW w:w="360" w:type="dxa"/>
            <w:vAlign w:val="bottom"/>
            <w:tcBorders>
              <w:bottom w:val="single" w:sz="8" w:color="auto"/>
            </w:tcBorders>
            <w:shd w:val="clear" w:color="auto" w:fill="CCEEFF"/>
          </w:tcPr>
          <w:p>
            <w:pPr>
              <w:spacing w:after="0"/>
              <w:rPr>
                <w:sz w:val="23"/>
                <w:szCs w:val="23"/>
                <w:color w:val="auto"/>
              </w:rPr>
            </w:pPr>
          </w:p>
        </w:tc>
      </w:tr>
      <w:tr>
        <w:trPr>
          <w:trHeight w:val="264"/>
        </w:trPr>
        <w:tc>
          <w:tcPr>
            <w:tcW w:w="7980" w:type="dxa"/>
            <w:vAlign w:val="bottom"/>
            <w:gridSpan w:val="2"/>
          </w:tcPr>
          <w:p>
            <w:pPr>
              <w:ind w:left="280"/>
              <w:spacing w:after="0"/>
              <w:rPr>
                <w:sz w:val="20"/>
                <w:szCs w:val="20"/>
                <w:color w:val="auto"/>
              </w:rPr>
            </w:pPr>
            <w:r>
              <w:rPr>
                <w:rFonts w:ascii="Arial" w:cs="Arial" w:eastAsia="Arial" w:hAnsi="Arial"/>
                <w:sz w:val="14"/>
                <w:szCs w:val="14"/>
                <w:color w:val="auto"/>
              </w:rPr>
              <w:t>Total current liabilities</w:t>
            </w:r>
          </w:p>
        </w:tc>
        <w:tc>
          <w:tcPr>
            <w:tcW w:w="3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2,182.7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1,754.2</w:t>
            </w:r>
          </w:p>
        </w:tc>
        <w:tc>
          <w:tcPr>
            <w:tcW w:w="360" w:type="dxa"/>
            <w:vAlign w:val="bottom"/>
          </w:tcPr>
          <w:p>
            <w:pPr>
              <w:spacing w:after="0"/>
              <w:rPr>
                <w:sz w:val="22"/>
                <w:szCs w:val="22"/>
                <w:color w:val="auto"/>
              </w:rPr>
            </w:pPr>
          </w:p>
        </w:tc>
      </w:tr>
      <w:tr>
        <w:trPr>
          <w:trHeight w:val="276"/>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1,170.8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746.7</w:t>
            </w:r>
          </w:p>
        </w:tc>
        <w:tc>
          <w:tcPr>
            <w:tcW w:w="360" w:type="dxa"/>
            <w:vAlign w:val="bottom"/>
            <w:shd w:val="clear" w:color="auto" w:fill="CCEEFF"/>
          </w:tcPr>
          <w:p>
            <w:pPr>
              <w:spacing w:after="0"/>
              <w:rPr>
                <w:sz w:val="24"/>
                <w:szCs w:val="24"/>
                <w:color w:val="auto"/>
              </w:rPr>
            </w:pPr>
          </w:p>
        </w:tc>
      </w:tr>
      <w:tr>
        <w:trPr>
          <w:trHeight w:val="264"/>
        </w:trPr>
        <w:tc>
          <w:tcPr>
            <w:tcW w:w="7980" w:type="dxa"/>
            <w:vAlign w:val="bottom"/>
            <w:gridSpan w:val="2"/>
          </w:tcPr>
          <w:p>
            <w:pPr>
              <w:ind w:left="40"/>
              <w:spacing w:after="0"/>
              <w:rPr>
                <w:sz w:val="20"/>
                <w:szCs w:val="20"/>
                <w:color w:val="auto"/>
              </w:rPr>
            </w:pPr>
            <w:r>
              <w:rPr>
                <w:rFonts w:ascii="Arial" w:cs="Arial" w:eastAsia="Arial" w:hAnsi="Arial"/>
                <w:sz w:val="14"/>
                <w:szCs w:val="14"/>
                <w:color w:val="auto"/>
              </w:rPr>
              <w:t>Non-current income tax liabilities, net</w:t>
            </w:r>
          </w:p>
        </w:tc>
        <w:tc>
          <w:tcPr>
            <w:tcW w:w="3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84.6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87.7</w:t>
            </w:r>
          </w:p>
        </w:tc>
        <w:tc>
          <w:tcPr>
            <w:tcW w:w="360" w:type="dxa"/>
            <w:vAlign w:val="bottom"/>
          </w:tcPr>
          <w:p>
            <w:pPr>
              <w:spacing w:after="0"/>
              <w:rPr>
                <w:sz w:val="22"/>
                <w:szCs w:val="22"/>
                <w:color w:val="auto"/>
              </w:rPr>
            </w:pPr>
          </w:p>
        </w:tc>
      </w:tr>
      <w:tr>
        <w:trPr>
          <w:trHeight w:val="276"/>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25.8</w:t>
            </w:r>
          </w:p>
        </w:tc>
        <w:tc>
          <w:tcPr>
            <w:tcW w:w="360" w:type="dxa"/>
            <w:vAlign w:val="bottom"/>
            <w:shd w:val="clear" w:color="auto" w:fill="CCEEFF"/>
          </w:tcPr>
          <w:p>
            <w:pPr>
              <w:spacing w:after="0"/>
              <w:rPr>
                <w:sz w:val="24"/>
                <w:szCs w:val="24"/>
                <w:color w:val="auto"/>
              </w:rPr>
            </w:pPr>
          </w:p>
        </w:tc>
      </w:tr>
      <w:tr>
        <w:trPr>
          <w:trHeight w:val="264"/>
        </w:trPr>
        <w:tc>
          <w:tcPr>
            <w:tcW w:w="7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Non-current liabilities held for sale</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w:t>
            </w:r>
          </w:p>
        </w:tc>
        <w:tc>
          <w:tcPr>
            <w:tcW w:w="360" w:type="dxa"/>
            <w:vAlign w:val="bottom"/>
            <w:tcBorders>
              <w:bottom w:val="single" w:sz="8" w:color="auto"/>
            </w:tcBorders>
          </w:tcPr>
          <w:p>
            <w:pPr>
              <w:spacing w:after="0"/>
              <w:rPr>
                <w:sz w:val="22"/>
                <w:szCs w:val="22"/>
                <w:color w:val="auto"/>
              </w:rPr>
            </w:pPr>
          </w:p>
        </w:tc>
      </w:tr>
      <w:tr>
        <w:trPr>
          <w:trHeight w:val="270"/>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liabilities</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3,472.6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2,619.4</w:t>
            </w:r>
          </w:p>
        </w:tc>
        <w:tc>
          <w:tcPr>
            <w:tcW w:w="360" w:type="dxa"/>
            <w:vAlign w:val="bottom"/>
            <w:shd w:val="clear" w:color="auto" w:fill="CCEEFF"/>
          </w:tcPr>
          <w:p>
            <w:pPr>
              <w:spacing w:after="0"/>
              <w:rPr>
                <w:sz w:val="23"/>
                <w:szCs w:val="23"/>
                <w:color w:val="auto"/>
              </w:rPr>
            </w:pPr>
          </w:p>
        </w:tc>
      </w:tr>
      <w:tr>
        <w:trPr>
          <w:trHeight w:val="278"/>
        </w:trPr>
        <w:tc>
          <w:tcPr>
            <w:tcW w:w="7980" w:type="dxa"/>
            <w:vAlign w:val="bottom"/>
            <w:gridSpan w:val="2"/>
          </w:tcPr>
          <w:p>
            <w:pPr>
              <w:ind w:left="40"/>
              <w:spacing w:after="0"/>
              <w:rPr>
                <w:sz w:val="20"/>
                <w:szCs w:val="20"/>
                <w:color w:val="auto"/>
              </w:rPr>
            </w:pPr>
            <w:r>
              <w:rPr>
                <w:rFonts w:ascii="Arial" w:cs="Arial" w:eastAsia="Arial" w:hAnsi="Arial"/>
                <w:sz w:val="14"/>
                <w:szCs w:val="14"/>
                <w:color w:val="auto"/>
              </w:rPr>
              <w:t>Commitments and contingencies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9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Equity:</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r>
      <w:tr>
        <w:trPr>
          <w:trHeight w:val="278"/>
        </w:trPr>
        <w:tc>
          <w:tcPr>
            <w:tcW w:w="7980" w:type="dxa"/>
            <w:vAlign w:val="bottom"/>
            <w:gridSpan w:val="2"/>
          </w:tcPr>
          <w:p>
            <w:pPr>
              <w:ind w:left="40"/>
              <w:spacing w:after="0"/>
              <w:rPr>
                <w:sz w:val="20"/>
                <w:szCs w:val="20"/>
                <w:color w:val="auto"/>
              </w:rPr>
            </w:pPr>
            <w:r>
              <w:rPr>
                <w:rFonts w:ascii="Arial" w:cs="Arial" w:eastAsia="Arial" w:hAnsi="Arial"/>
                <w:sz w:val="14"/>
                <w:szCs w:val="14"/>
                <w:color w:val="auto"/>
              </w:rPr>
              <w:t>World Fuel shareholders' equity:</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76"/>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Preferred stock, $1.00 par value; 0.1 shares authorized, none issued</w:t>
            </w:r>
          </w:p>
        </w:tc>
        <w:tc>
          <w:tcPr>
            <w:tcW w:w="3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r>
      <w:tr>
        <w:trPr>
          <w:trHeight w:val="157"/>
        </w:trPr>
        <w:tc>
          <w:tcPr>
            <w:tcW w:w="7980" w:type="dxa"/>
            <w:vAlign w:val="bottom"/>
            <w:gridSpan w:val="2"/>
          </w:tcPr>
          <w:p>
            <w:pPr>
              <w:ind w:left="180"/>
              <w:spacing w:after="0" w:line="157" w:lineRule="exact"/>
              <w:rPr>
                <w:sz w:val="20"/>
                <w:szCs w:val="20"/>
                <w:color w:val="auto"/>
              </w:rPr>
            </w:pPr>
            <w:r>
              <w:rPr>
                <w:rFonts w:ascii="Arial" w:cs="Arial" w:eastAsia="Arial" w:hAnsi="Arial"/>
                <w:sz w:val="14"/>
                <w:szCs w:val="14"/>
                <w:color w:val="auto"/>
                <w:w w:val="99"/>
              </w:rPr>
              <w:t>Common stock, $0.01 par value; 100.0 shares authorized, 69.9 and 70.8 issued and outstanding as of December 31, 2016 and</w:t>
            </w: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88"/>
        </w:trPr>
        <w:tc>
          <w:tcPr>
            <w:tcW w:w="7980" w:type="dxa"/>
            <w:vAlign w:val="bottom"/>
            <w:gridSpan w:val="2"/>
          </w:tcPr>
          <w:p>
            <w:pPr>
              <w:ind w:left="180"/>
              <w:spacing w:after="0"/>
              <w:rPr>
                <w:sz w:val="20"/>
                <w:szCs w:val="20"/>
                <w:color w:val="auto"/>
              </w:rPr>
            </w:pPr>
            <w:r>
              <w:rPr>
                <w:rFonts w:ascii="Arial" w:cs="Arial" w:eastAsia="Arial" w:hAnsi="Arial"/>
                <w:sz w:val="14"/>
                <w:szCs w:val="14"/>
                <w:color w:val="auto"/>
              </w:rPr>
              <w:t>December 31, 2015, respectively</w:t>
            </w:r>
          </w:p>
        </w:tc>
        <w:tc>
          <w:tcPr>
            <w:tcW w:w="320" w:type="dxa"/>
            <w:vAlign w:val="bottom"/>
          </w:tcPr>
          <w:p>
            <w:pPr>
              <w:spacing w:after="0"/>
              <w:rPr>
                <w:sz w:val="16"/>
                <w:szCs w:val="16"/>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360" w:type="dxa"/>
            <w:vAlign w:val="bottom"/>
          </w:tcPr>
          <w:p>
            <w:pPr>
              <w:spacing w:after="0"/>
              <w:rPr>
                <w:sz w:val="16"/>
                <w:szCs w:val="16"/>
                <w:color w:val="auto"/>
              </w:rPr>
            </w:pPr>
          </w:p>
        </w:tc>
      </w:tr>
      <w:tr>
        <w:trPr>
          <w:trHeight w:val="276"/>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Capital in excess of par value</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399.9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435.3</w:t>
            </w:r>
          </w:p>
        </w:tc>
        <w:tc>
          <w:tcPr>
            <w:tcW w:w="360" w:type="dxa"/>
            <w:vAlign w:val="bottom"/>
            <w:shd w:val="clear" w:color="auto" w:fill="CCEEFF"/>
          </w:tcPr>
          <w:p>
            <w:pPr>
              <w:spacing w:after="0"/>
              <w:rPr>
                <w:sz w:val="24"/>
                <w:szCs w:val="24"/>
                <w:color w:val="auto"/>
              </w:rPr>
            </w:pPr>
          </w:p>
        </w:tc>
      </w:tr>
      <w:tr>
        <w:trPr>
          <w:trHeight w:val="264"/>
        </w:trPr>
        <w:tc>
          <w:tcPr>
            <w:tcW w:w="7980" w:type="dxa"/>
            <w:vAlign w:val="bottom"/>
            <w:gridSpan w:val="2"/>
          </w:tcPr>
          <w:p>
            <w:pPr>
              <w:ind w:left="180"/>
              <w:spacing w:after="0"/>
              <w:rPr>
                <w:sz w:val="20"/>
                <w:szCs w:val="20"/>
                <w:color w:val="auto"/>
              </w:rPr>
            </w:pPr>
            <w:r>
              <w:rPr>
                <w:rFonts w:ascii="Arial" w:cs="Arial" w:eastAsia="Arial" w:hAnsi="Arial"/>
                <w:sz w:val="14"/>
                <w:szCs w:val="14"/>
                <w:color w:val="auto"/>
              </w:rPr>
              <w:t>Retained earnings</w:t>
            </w:r>
          </w:p>
        </w:tc>
        <w:tc>
          <w:tcPr>
            <w:tcW w:w="3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1,679.3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1,569.4</w:t>
            </w:r>
          </w:p>
        </w:tc>
        <w:tc>
          <w:tcPr>
            <w:tcW w:w="360" w:type="dxa"/>
            <w:vAlign w:val="bottom"/>
          </w:tcPr>
          <w:p>
            <w:pPr>
              <w:spacing w:after="0"/>
              <w:rPr>
                <w:sz w:val="22"/>
                <w:szCs w:val="22"/>
                <w:color w:val="auto"/>
              </w:rPr>
            </w:pPr>
          </w:p>
        </w:tc>
      </w:tr>
      <w:tr>
        <w:trPr>
          <w:trHeight w:val="270"/>
        </w:trPr>
        <w:tc>
          <w:tcPr>
            <w:tcW w:w="78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(109.5)</w:t>
            </w:r>
          </w:p>
        </w:tc>
        <w:tc>
          <w:tcPr>
            <w:tcW w:w="360" w:type="dxa"/>
            <w:vAlign w:val="bottom"/>
            <w:tcBorders>
              <w:bottom w:val="single" w:sz="8" w:color="auto"/>
            </w:tcBorders>
            <w:shd w:val="clear" w:color="auto" w:fill="CCEEFF"/>
          </w:tcPr>
          <w:p>
            <w:pPr>
              <w:spacing w:after="0"/>
              <w:rPr>
                <w:sz w:val="23"/>
                <w:szCs w:val="23"/>
                <w:color w:val="auto"/>
              </w:rPr>
            </w:pPr>
          </w:p>
        </w:tc>
      </w:tr>
      <w:tr>
        <w:trPr>
          <w:trHeight w:val="264"/>
        </w:trPr>
        <w:tc>
          <w:tcPr>
            <w:tcW w:w="7980" w:type="dxa"/>
            <w:vAlign w:val="bottom"/>
            <w:gridSpan w:val="2"/>
          </w:tcPr>
          <w:p>
            <w:pPr>
              <w:ind w:left="280"/>
              <w:spacing w:after="0"/>
              <w:rPr>
                <w:sz w:val="20"/>
                <w:szCs w:val="20"/>
                <w:color w:val="auto"/>
              </w:rPr>
            </w:pPr>
            <w:r>
              <w:rPr>
                <w:rFonts w:ascii="Arial" w:cs="Arial" w:eastAsia="Arial" w:hAnsi="Arial"/>
                <w:sz w:val="14"/>
                <w:szCs w:val="14"/>
                <w:color w:val="auto"/>
              </w:rPr>
              <w:t>Total World Fuel shareholders' equity</w:t>
            </w:r>
          </w:p>
        </w:tc>
        <w:tc>
          <w:tcPr>
            <w:tcW w:w="3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1,925.0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1,895.9</w:t>
            </w:r>
          </w:p>
        </w:tc>
        <w:tc>
          <w:tcPr>
            <w:tcW w:w="360" w:type="dxa"/>
            <w:vAlign w:val="bottom"/>
          </w:tcPr>
          <w:p>
            <w:pPr>
              <w:spacing w:after="0"/>
              <w:rPr>
                <w:sz w:val="22"/>
                <w:szCs w:val="22"/>
                <w:color w:val="auto"/>
              </w:rPr>
            </w:pPr>
          </w:p>
        </w:tc>
      </w:tr>
      <w:tr>
        <w:trPr>
          <w:trHeight w:val="270"/>
        </w:trPr>
        <w:tc>
          <w:tcPr>
            <w:tcW w:w="78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Noncontrolling interest equity</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360" w:type="dxa"/>
            <w:vAlign w:val="bottom"/>
            <w:tcBorders>
              <w:bottom w:val="single" w:sz="8" w:color="auto"/>
            </w:tcBorders>
            <w:shd w:val="clear" w:color="auto" w:fill="CCEEFF"/>
          </w:tcPr>
          <w:p>
            <w:pPr>
              <w:spacing w:after="0"/>
              <w:rPr>
                <w:sz w:val="23"/>
                <w:szCs w:val="23"/>
                <w:color w:val="auto"/>
              </w:rPr>
            </w:pPr>
          </w:p>
        </w:tc>
      </w:tr>
      <w:tr>
        <w:trPr>
          <w:trHeight w:val="264"/>
        </w:trPr>
        <w:tc>
          <w:tcPr>
            <w:tcW w:w="78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equity</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1,940.0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1,905.9</w:t>
            </w:r>
          </w:p>
        </w:tc>
        <w:tc>
          <w:tcPr>
            <w:tcW w:w="360" w:type="dxa"/>
            <w:vAlign w:val="bottom"/>
            <w:tcBorders>
              <w:bottom w:val="single" w:sz="8" w:color="auto"/>
            </w:tcBorders>
          </w:tcPr>
          <w:p>
            <w:pPr>
              <w:spacing w:after="0"/>
              <w:rPr>
                <w:sz w:val="22"/>
                <w:szCs w:val="22"/>
                <w:color w:val="auto"/>
              </w:rPr>
            </w:pPr>
          </w:p>
        </w:tc>
      </w:tr>
      <w:tr>
        <w:trPr>
          <w:trHeight w:val="264"/>
        </w:trPr>
        <w:tc>
          <w:tcPr>
            <w:tcW w:w="79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liabilities and equity</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5,412.6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4,525.3</w:t>
            </w:r>
          </w:p>
        </w:tc>
        <w:tc>
          <w:tcPr>
            <w:tcW w:w="360" w:type="dxa"/>
            <w:vAlign w:val="bottom"/>
            <w:shd w:val="clear" w:color="auto" w:fill="CCEEFF"/>
          </w:tcPr>
          <w:p>
            <w:pPr>
              <w:spacing w:after="0"/>
              <w:rPr>
                <w:sz w:val="22"/>
                <w:szCs w:val="22"/>
                <w:color w:val="auto"/>
              </w:rPr>
            </w:pPr>
          </w:p>
        </w:tc>
      </w:tr>
      <w:tr>
        <w:trPr>
          <w:trHeight w:val="20"/>
        </w:trPr>
        <w:tc>
          <w:tcPr>
            <w:tcW w:w="7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11400"/>
          </w:cols>
          <w:pgMar w:left="240" w:top="796" w:right="259" w:bottom="1440" w:gutter="0" w:footer="0" w:header="0"/>
        </w:sectPr>
      </w:pPr>
    </w:p>
    <w:p>
      <w:pPr>
        <w:ind w:left="660" w:right="200" w:hanging="328"/>
        <w:spacing w:after="0" w:line="273"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Certain prior period amounts have been revised to reflect the impact of adjustments made to the Company's provision for income taxes and to correct the timing of previously recorded out-of-period adjustments.</w:t>
      </w:r>
    </w:p>
    <w:p>
      <w:pPr>
        <w:sectPr>
          <w:pgSz w:w="11900" w:h="16838" w:orient="portrait"/>
          <w:cols w:equalWidth="0" w:num="1">
            <w:col w:w="11400"/>
          </w:cols>
          <w:pgMar w:left="240" w:top="796" w:right="25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(Unaudited – In millions,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For the Three Months Ended</w:t>
            </w:r>
          </w:p>
        </w:tc>
        <w:tc>
          <w:tcPr>
            <w:tcW w:w="360" w:type="dxa"/>
            <w:vAlign w:val="bottom"/>
          </w:tcPr>
          <w:p>
            <w:pPr>
              <w:spacing w:after="0"/>
              <w:rPr>
                <w:sz w:val="16"/>
                <w:szCs w:val="16"/>
                <w:color w:val="auto"/>
              </w:rPr>
            </w:pPr>
          </w:p>
        </w:tc>
        <w:tc>
          <w:tcPr>
            <w:tcW w:w="218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For the Twelve Months Ended</w:t>
            </w:r>
          </w:p>
        </w:tc>
        <w:tc>
          <w:tcPr>
            <w:tcW w:w="380" w:type="dxa"/>
            <w:vAlign w:val="bottom"/>
          </w:tcPr>
          <w:p>
            <w:pPr>
              <w:spacing w:after="0"/>
              <w:rPr>
                <w:sz w:val="16"/>
                <w:szCs w:val="16"/>
                <w:color w:val="auto"/>
              </w:rPr>
            </w:pPr>
          </w:p>
        </w:tc>
      </w:tr>
      <w:tr>
        <w:trPr>
          <w:trHeight w:val="276"/>
        </w:trPr>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w w:val="98"/>
              </w:rPr>
              <w:t>December 31,</w:t>
            </w:r>
          </w:p>
        </w:tc>
        <w:tc>
          <w:tcPr>
            <w:tcW w:w="380" w:type="dxa"/>
            <w:vAlign w:val="bottom"/>
          </w:tcPr>
          <w:p>
            <w:pPr>
              <w:spacing w:after="0"/>
              <w:rPr>
                <w:sz w:val="24"/>
                <w:szCs w:val="24"/>
                <w:color w:val="auto"/>
              </w:rPr>
            </w:pPr>
          </w:p>
        </w:tc>
      </w:tr>
      <w:tr>
        <w:trPr>
          <w:trHeight w:val="264"/>
        </w:trPr>
        <w:tc>
          <w:tcPr>
            <w:tcW w:w="5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9"/>
                <w:szCs w:val="9"/>
                <w:b w:val="1"/>
                <w:bCs w:val="1"/>
                <w:color w:val="auto"/>
              </w:rPr>
              <w:t>(1)</w:t>
            </w:r>
          </w:p>
        </w:tc>
      </w:tr>
      <w:tr>
        <w:trPr>
          <w:trHeight w:val="270"/>
        </w:trPr>
        <w:tc>
          <w:tcPr>
            <w:tcW w:w="57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7,792.1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6,733.6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27,015.8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30,381.4</w:t>
            </w:r>
          </w:p>
        </w:tc>
        <w:tc>
          <w:tcPr>
            <w:tcW w:w="380" w:type="dxa"/>
            <w:vAlign w:val="bottom"/>
            <w:shd w:val="clear" w:color="auto" w:fill="CCEEFF"/>
          </w:tcPr>
          <w:p>
            <w:pPr>
              <w:spacing w:after="0"/>
              <w:rPr>
                <w:sz w:val="23"/>
                <w:szCs w:val="23"/>
                <w:color w:val="auto"/>
              </w:rPr>
            </w:pPr>
          </w:p>
        </w:tc>
      </w:tr>
      <w:tr>
        <w:trPr>
          <w:trHeight w:val="264"/>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revenue</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7,569.9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6,503.4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26,116.8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29,520.4</w:t>
            </w:r>
          </w:p>
        </w:tc>
        <w:tc>
          <w:tcPr>
            <w:tcW w:w="380" w:type="dxa"/>
            <w:vAlign w:val="bottom"/>
            <w:tcBorders>
              <w:bottom w:val="single" w:sz="8" w:color="auto"/>
            </w:tcBorders>
          </w:tcPr>
          <w:p>
            <w:pPr>
              <w:spacing w:after="0"/>
              <w:rPr>
                <w:sz w:val="22"/>
                <w:szCs w:val="22"/>
                <w:color w:val="auto"/>
              </w:rPr>
            </w:pPr>
          </w:p>
        </w:tc>
      </w:tr>
      <w:tr>
        <w:trPr>
          <w:trHeight w:val="264"/>
        </w:trPr>
        <w:tc>
          <w:tcPr>
            <w:tcW w:w="56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222.3</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230.2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899.0</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861.0</w:t>
            </w:r>
          </w:p>
        </w:tc>
        <w:tc>
          <w:tcPr>
            <w:tcW w:w="380" w:type="dxa"/>
            <w:vAlign w:val="bottom"/>
            <w:tcBorders>
              <w:bottom w:val="single" w:sz="8" w:color="auto"/>
            </w:tcBorders>
            <w:shd w:val="clear" w:color="auto" w:fill="CCEEFF"/>
          </w:tcPr>
          <w:p>
            <w:pPr>
              <w:spacing w:after="0"/>
              <w:rPr>
                <w:sz w:val="22"/>
                <w:szCs w:val="22"/>
                <w:color w:val="auto"/>
              </w:rPr>
            </w:pPr>
          </w:p>
        </w:tc>
      </w:tr>
      <w:tr>
        <w:trPr>
          <w:trHeight w:val="277"/>
        </w:trPr>
        <w:tc>
          <w:tcPr>
            <w:tcW w:w="5720" w:type="dxa"/>
            <w:vAlign w:val="bottom"/>
            <w:gridSpan w:val="2"/>
          </w:tcPr>
          <w:p>
            <w:pPr>
              <w:ind w:left="40"/>
              <w:spacing w:after="0"/>
              <w:rPr>
                <w:sz w:val="20"/>
                <w:szCs w:val="20"/>
                <w:color w:val="auto"/>
              </w:rPr>
            </w:pPr>
            <w:r>
              <w:rPr>
                <w:rFonts w:ascii="Arial" w:cs="Arial" w:eastAsia="Arial" w:hAnsi="Arial"/>
                <w:sz w:val="14"/>
                <w:szCs w:val="14"/>
                <w:color w:val="auto"/>
              </w:rPr>
              <w:t>Operating expenses:</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76"/>
        </w:trPr>
        <w:tc>
          <w:tcPr>
            <w:tcW w:w="57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Compensation and employee benefits</w:t>
            </w:r>
          </w:p>
        </w:tc>
        <w:tc>
          <w:tcPr>
            <w:tcW w:w="4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107.1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413.3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365.8</w:t>
            </w:r>
          </w:p>
        </w:tc>
        <w:tc>
          <w:tcPr>
            <w:tcW w:w="380" w:type="dxa"/>
            <w:vAlign w:val="bottom"/>
            <w:shd w:val="clear" w:color="auto" w:fill="CCEEFF"/>
          </w:tcPr>
          <w:p>
            <w:pPr>
              <w:spacing w:after="0"/>
              <w:rPr>
                <w:sz w:val="24"/>
                <w:szCs w:val="24"/>
                <w:color w:val="auto"/>
              </w:rPr>
            </w:pPr>
          </w:p>
        </w:tc>
      </w:tr>
      <w:tr>
        <w:trPr>
          <w:trHeight w:val="264"/>
        </w:trPr>
        <w:tc>
          <w:tcPr>
            <w:tcW w:w="5720" w:type="dxa"/>
            <w:vAlign w:val="bottom"/>
            <w:gridSpan w:val="2"/>
          </w:tcPr>
          <w:p>
            <w:pPr>
              <w:ind w:left="180"/>
              <w:spacing w:after="0"/>
              <w:rPr>
                <w:sz w:val="20"/>
                <w:szCs w:val="20"/>
                <w:color w:val="auto"/>
              </w:rPr>
            </w:pPr>
            <w:r>
              <w:rPr>
                <w:rFonts w:ascii="Arial" w:cs="Arial" w:eastAsia="Arial" w:hAnsi="Arial"/>
                <w:sz w:val="14"/>
                <w:szCs w:val="14"/>
                <w:color w:val="auto"/>
              </w:rPr>
              <w:t>Provision for bad debt</w:t>
            </w:r>
          </w:p>
        </w:tc>
        <w:tc>
          <w:tcPr>
            <w:tcW w:w="40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7.5</w:t>
            </w:r>
          </w:p>
        </w:tc>
        <w:tc>
          <w:tcPr>
            <w:tcW w:w="380" w:type="dxa"/>
            <w:vAlign w:val="bottom"/>
          </w:tcPr>
          <w:p>
            <w:pPr>
              <w:spacing w:after="0"/>
              <w:rPr>
                <w:sz w:val="22"/>
                <w:szCs w:val="22"/>
                <w:color w:val="auto"/>
              </w:rPr>
            </w:pPr>
          </w:p>
        </w:tc>
      </w:tr>
      <w:tr>
        <w:trPr>
          <w:trHeight w:val="270"/>
        </w:trPr>
        <w:tc>
          <w:tcPr>
            <w:tcW w:w="57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General and administrative</w:t>
            </w:r>
          </w:p>
        </w:tc>
        <w:tc>
          <w:tcPr>
            <w:tcW w:w="4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242.1</w:t>
            </w:r>
          </w:p>
        </w:tc>
        <w:tc>
          <w:tcPr>
            <w:tcW w:w="380" w:type="dxa"/>
            <w:vAlign w:val="bottom"/>
            <w:shd w:val="clear" w:color="auto" w:fill="CCEEFF"/>
          </w:tcPr>
          <w:p>
            <w:pPr>
              <w:spacing w:after="0"/>
              <w:rPr>
                <w:sz w:val="23"/>
                <w:szCs w:val="23"/>
                <w:color w:val="auto"/>
              </w:rPr>
            </w:pPr>
          </w:p>
        </w:tc>
      </w:tr>
      <w:tr>
        <w:trPr>
          <w:trHeight w:val="264"/>
        </w:trPr>
        <w:tc>
          <w:tcPr>
            <w:tcW w:w="560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198.2</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160.0</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710.1</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615.3</w:t>
            </w:r>
          </w:p>
        </w:tc>
        <w:tc>
          <w:tcPr>
            <w:tcW w:w="380" w:type="dxa"/>
            <w:vAlign w:val="bottom"/>
            <w:tcBorders>
              <w:top w:val="single" w:sz="8" w:color="auto"/>
              <w:bottom w:val="single" w:sz="8" w:color="auto"/>
            </w:tcBorders>
          </w:tcPr>
          <w:p>
            <w:pPr>
              <w:spacing w:after="0"/>
              <w:rPr>
                <w:sz w:val="22"/>
                <w:szCs w:val="22"/>
                <w:color w:val="auto"/>
              </w:rPr>
            </w:pPr>
          </w:p>
        </w:tc>
      </w:tr>
      <w:tr>
        <w:trPr>
          <w:trHeight w:val="264"/>
        </w:trPr>
        <w:tc>
          <w:tcPr>
            <w:tcW w:w="56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Income from operations</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24.0</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188.9</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245.7</w:t>
            </w:r>
          </w:p>
        </w:tc>
        <w:tc>
          <w:tcPr>
            <w:tcW w:w="380" w:type="dxa"/>
            <w:vAlign w:val="bottom"/>
            <w:tcBorders>
              <w:bottom w:val="single" w:sz="8" w:color="auto"/>
            </w:tcBorders>
            <w:shd w:val="clear" w:color="auto" w:fill="CCEEFF"/>
          </w:tcPr>
          <w:p>
            <w:pPr>
              <w:spacing w:after="0"/>
              <w:rPr>
                <w:sz w:val="22"/>
                <w:szCs w:val="22"/>
                <w:color w:val="auto"/>
              </w:rPr>
            </w:pPr>
          </w:p>
        </w:tc>
      </w:tr>
    </w:tbl>
    <w:p>
      <w:pPr>
        <w:spacing w:after="0" w:line="89" w:lineRule="exact"/>
        <w:rPr>
          <w:sz w:val="20"/>
          <w:szCs w:val="20"/>
          <w:color w:val="auto"/>
        </w:rPr>
      </w:pPr>
    </w:p>
    <w:p>
      <w:pPr>
        <w:sectPr>
          <w:pgSz w:w="11900" w:h="16838" w:orient="portrait"/>
          <w:cols w:equalWidth="0" w:num="1">
            <w:col w:w="11400"/>
          </w:cols>
          <w:pgMar w:left="240" w:top="796" w:right="259" w:bottom="1440" w:gutter="0" w:footer="0" w:header="0"/>
        </w:sectPr>
      </w:pPr>
    </w:p>
    <w:p>
      <w:pPr>
        <w:ind w:left="40"/>
        <w:spacing w:after="0"/>
        <w:rPr>
          <w:sz w:val="20"/>
          <w:szCs w:val="20"/>
          <w:color w:val="auto"/>
        </w:rPr>
      </w:pPr>
      <w:r>
        <w:rPr>
          <w:rFonts w:ascii="Arial" w:cs="Arial" w:eastAsia="Arial" w:hAnsi="Arial"/>
          <w:sz w:val="14"/>
          <w:szCs w:val="14"/>
          <w:color w:val="auto"/>
        </w:rPr>
        <w:t>Non-operating expenses, net: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Interest expense and other financing costs, net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(expense)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3550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550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including noncontrolling interest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550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attributable to World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55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400"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Basic 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400"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Basic weighted average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550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40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Diluted 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550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40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Diluted weighted average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including noncontrolling interest</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Foreign currency translation adjustments</w:t>
      </w:r>
    </w:p>
    <w:p>
      <w:pPr>
        <w:spacing w:after="0" w:line="42" w:lineRule="exact"/>
        <w:rPr>
          <w:sz w:val="20"/>
          <w:szCs w:val="20"/>
          <w:color w:val="auto"/>
        </w:rPr>
      </w:pPr>
    </w:p>
    <w:p>
      <w:pPr>
        <w:ind w:left="180"/>
        <w:spacing w:after="0" w:line="253" w:lineRule="auto"/>
        <w:rPr>
          <w:sz w:val="20"/>
          <w:szCs w:val="20"/>
          <w:color w:val="auto"/>
        </w:rPr>
      </w:pPr>
      <w:r>
        <w:rPr>
          <w:rFonts w:ascii="Arial" w:cs="Arial" w:eastAsia="Arial" w:hAnsi="Arial"/>
          <w:sz w:val="14"/>
          <w:szCs w:val="14"/>
          <w:color w:val="auto"/>
        </w:rPr>
        <w:t>Cash Flow hedges, net of income tax benefit of $2.4 and $4.1 for the three and twelve months ended December 31, 2016</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5502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3" w:lineRule="exact"/>
        <w:rPr>
          <w:sz w:val="20"/>
          <w:szCs w:val="20"/>
          <w:color w:val="auto"/>
        </w:rPr>
      </w:pPr>
    </w:p>
    <w:p>
      <w:pPr>
        <w:ind w:left="40" w:right="1180"/>
        <w:spacing w:after="0" w:line="444" w:lineRule="auto"/>
        <w:rPr>
          <w:sz w:val="20"/>
          <w:szCs w:val="20"/>
          <w:color w:val="auto"/>
        </w:rPr>
      </w:pPr>
      <w:r>
        <w:rPr>
          <w:rFonts w:ascii="Arial" w:cs="Arial" w:eastAsia="Arial" w:hAnsi="Arial"/>
          <w:sz w:val="13"/>
          <w:szCs w:val="13"/>
          <w:color w:val="auto"/>
        </w:rPr>
        <w:t>Comprehensive (loss) income including noncontrolling interest Comprehensive income (loss)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3550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Comprehensive (loss) income attributable to World Fuel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5502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502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35502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8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(29.9)</w:t>
            </w:r>
          </w:p>
        </w:tc>
      </w:tr>
      <w:tr>
        <w:trPr>
          <w:trHeight w:val="276"/>
        </w:trPr>
        <w:tc>
          <w:tcPr>
            <w:tcW w:w="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w:t>
            </w:r>
          </w:p>
        </w:tc>
      </w:tr>
      <w:tr>
        <w:trPr>
          <w:trHeight w:val="264"/>
        </w:trPr>
        <w:tc>
          <w:tcPr>
            <w:tcW w:w="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(27.9)</w:t>
            </w:r>
          </w:p>
        </w:tc>
      </w:tr>
      <w:tr>
        <w:trPr>
          <w:trHeight w:val="258"/>
        </w:trPr>
        <w:tc>
          <w:tcPr>
            <w:tcW w:w="48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63.2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142.1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388"/>
              <w:spacing w:after="0"/>
              <w:rPr>
                <w:sz w:val="20"/>
                <w:szCs w:val="20"/>
                <w:color w:val="auto"/>
              </w:rPr>
            </w:pPr>
            <w:r>
              <w:rPr>
                <w:rFonts w:ascii="Arial" w:cs="Arial" w:eastAsia="Arial" w:hAnsi="Arial"/>
                <w:sz w:val="14"/>
                <w:szCs w:val="14"/>
                <w:color w:val="auto"/>
              </w:rPr>
              <w:t>217.7</w:t>
            </w:r>
          </w:p>
        </w:tc>
      </w:tr>
      <w:tr>
        <w:trPr>
          <w:trHeight w:val="276"/>
        </w:trPr>
        <w:tc>
          <w:tcPr>
            <w:tcW w:w="48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jc w:val="right"/>
              <w:ind w:right="388"/>
              <w:spacing w:after="0"/>
              <w:rPr>
                <w:sz w:val="20"/>
                <w:szCs w:val="20"/>
                <w:color w:val="auto"/>
              </w:rPr>
            </w:pPr>
            <w:r>
              <w:rPr>
                <w:rFonts w:ascii="Arial" w:cs="Arial" w:eastAsia="Arial" w:hAnsi="Arial"/>
                <w:sz w:val="14"/>
                <w:szCs w:val="14"/>
                <w:color w:val="auto"/>
              </w:rPr>
              <w:t>47.2</w:t>
            </w:r>
          </w:p>
        </w:tc>
      </w:tr>
      <w:tr>
        <w:trPr>
          <w:trHeight w:val="258"/>
        </w:trPr>
        <w:tc>
          <w:tcPr>
            <w:tcW w:w="4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126.4</w:t>
            </w:r>
          </w:p>
        </w:tc>
        <w:tc>
          <w:tcPr>
            <w:tcW w:w="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color w:val="auto"/>
              </w:rPr>
              <w:t>170.5</w:t>
            </w:r>
          </w:p>
        </w:tc>
      </w:tr>
      <w:tr>
        <w:trPr>
          <w:trHeight w:val="276"/>
        </w:trPr>
        <w:tc>
          <w:tcPr>
            <w:tcW w:w="48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(3.9)</w:t>
            </w:r>
          </w:p>
        </w:tc>
      </w:tr>
      <w:tr>
        <w:trPr>
          <w:trHeight w:val="264"/>
        </w:trPr>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126.5</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174.5</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21"/>
        </w:trPr>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0.72</w:t>
            </w:r>
          </w:p>
        </w:tc>
        <w:tc>
          <w:tcPr>
            <w:tcW w:w="100" w:type="dxa"/>
            <w:vAlign w:val="bottom"/>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2.49</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21"/>
        </w:trPr>
        <w:tc>
          <w:tcPr>
            <w:tcW w:w="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69.1</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69.5</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70.2</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21"/>
        </w:trPr>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0.71</w:t>
            </w:r>
          </w:p>
        </w:tc>
        <w:tc>
          <w:tcPr>
            <w:tcW w:w="100" w:type="dxa"/>
            <w:vAlign w:val="bottom"/>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2.47</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21"/>
        </w:trPr>
        <w:tc>
          <w:tcPr>
            <w:tcW w:w="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69.5</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69.9</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69.8</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70.7</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52"/>
        </w:trPr>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4"/>
                <w:szCs w:val="24"/>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24"/>
                <w:szCs w:val="24"/>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126.4</w:t>
            </w:r>
          </w:p>
        </w:tc>
        <w:tc>
          <w:tcPr>
            <w:tcW w:w="100" w:type="dxa"/>
            <w:vAlign w:val="bottom"/>
          </w:tcPr>
          <w:p>
            <w:pPr>
              <w:spacing w:after="0"/>
              <w:rPr>
                <w:sz w:val="24"/>
                <w:szCs w:val="24"/>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88"/>
              <w:spacing w:after="0"/>
              <w:rPr>
                <w:sz w:val="20"/>
                <w:szCs w:val="20"/>
                <w:color w:val="auto"/>
              </w:rPr>
            </w:pPr>
            <w:r>
              <w:rPr>
                <w:rFonts w:ascii="Arial" w:cs="Arial" w:eastAsia="Arial" w:hAnsi="Arial"/>
                <w:sz w:val="14"/>
                <w:szCs w:val="14"/>
                <w:color w:val="auto"/>
              </w:rPr>
              <w:t>170.5</w:t>
            </w:r>
          </w:p>
        </w:tc>
      </w:tr>
      <w:tr>
        <w:trPr>
          <w:trHeight w:val="554"/>
        </w:trPr>
        <w:tc>
          <w:tcPr>
            <w:tcW w:w="48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(45.4)</w:t>
            </w:r>
          </w:p>
        </w:tc>
      </w:tr>
      <w:tr>
        <w:trPr>
          <w:trHeight w:val="357"/>
        </w:trPr>
        <w:tc>
          <w:tcPr>
            <w:tcW w:w="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(0.8)</w:t>
            </w:r>
          </w:p>
        </w:tc>
      </w:tr>
      <w:tr>
        <w:trPr>
          <w:trHeight w:val="264"/>
        </w:trPr>
        <w:tc>
          <w:tcPr>
            <w:tcW w:w="48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(46.2)</w:t>
            </w:r>
          </w:p>
        </w:tc>
      </w:tr>
      <w:tr>
        <w:trPr>
          <w:trHeight w:val="258"/>
        </w:trPr>
        <w:tc>
          <w:tcPr>
            <w:tcW w:w="4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79.5</w:t>
            </w:r>
          </w:p>
        </w:tc>
        <w:tc>
          <w:tcPr>
            <w:tcW w:w="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color w:val="auto"/>
              </w:rPr>
              <w:t>124.3</w:t>
            </w:r>
          </w:p>
        </w:tc>
      </w:tr>
      <w:tr>
        <w:trPr>
          <w:trHeight w:val="276"/>
        </w:trPr>
        <w:tc>
          <w:tcPr>
            <w:tcW w:w="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(2.2)</w:t>
            </w:r>
          </w:p>
        </w:tc>
      </w:tr>
      <w:tr>
        <w:trPr>
          <w:trHeight w:val="264"/>
        </w:trPr>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77.9</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126.4</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-4775835</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-4072890</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-3721100</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-1482725</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-1131570</wp:posOffset>
            </wp:positionV>
            <wp:extent cx="72294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-376555</wp:posOffset>
            </wp:positionV>
            <wp:extent cx="72294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-736600</wp:posOffset>
            </wp:positionV>
            <wp:extent cx="7229475"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-1885950</wp:posOffset>
            </wp:positionV>
            <wp:extent cx="7229475" cy="222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22288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-2254885</wp:posOffset>
            </wp:positionV>
            <wp:extent cx="7229475"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-2623820</wp:posOffset>
            </wp:positionV>
            <wp:extent cx="722947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-2992120</wp:posOffset>
            </wp:positionV>
            <wp:extent cx="7229475"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-3361055</wp:posOffset>
            </wp:positionV>
            <wp:extent cx="7229475"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-4432935</wp:posOffset>
            </wp:positionV>
            <wp:extent cx="7229475"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5120" w:space="600"/>
            <w:col w:w="5680"/>
          </w:cols>
          <w:pgMar w:left="240" w:top="796" w:right="259" w:bottom="1440" w:gutter="0" w:footer="0" w:header="0"/>
          <w:type w:val="continuous"/>
        </w:sectPr>
      </w:pPr>
    </w:p>
    <w:p>
      <w:pPr>
        <w:ind w:left="660" w:right="200" w:hanging="328"/>
        <w:spacing w:after="0" w:line="273"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Certain prior period amounts have been revised to reflect the impact of adjustments made to the Company's provision for income taxes and to correct the timing of previously recorded out-of-period adjustments.</w:t>
      </w:r>
    </w:p>
    <w:p>
      <w:pPr>
        <w:sectPr>
          <w:pgSz w:w="11900" w:h="16838" w:orient="portrait"/>
          <w:cols w:equalWidth="0" w:num="1">
            <w:col w:w="11400"/>
          </w:cols>
          <w:pgMar w:left="240" w:top="796" w:right="25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8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For the Three Months Ended</w:t>
            </w:r>
          </w:p>
        </w:tc>
        <w:tc>
          <w:tcPr>
            <w:tcW w:w="360" w:type="dxa"/>
            <w:vAlign w:val="bottom"/>
          </w:tcPr>
          <w:p>
            <w:pPr>
              <w:spacing w:after="0"/>
              <w:rPr>
                <w:sz w:val="16"/>
                <w:szCs w:val="16"/>
                <w:color w:val="auto"/>
              </w:rPr>
            </w:pPr>
          </w:p>
        </w:tc>
        <w:tc>
          <w:tcPr>
            <w:tcW w:w="2220" w:type="dxa"/>
            <w:vAlign w:val="bottom"/>
            <w:gridSpan w:val="4"/>
          </w:tcPr>
          <w:p>
            <w:pPr>
              <w:jc w:val="right"/>
              <w:ind w:right="47"/>
              <w:spacing w:after="0"/>
              <w:rPr>
                <w:sz w:val="20"/>
                <w:szCs w:val="20"/>
                <w:color w:val="auto"/>
              </w:rPr>
            </w:pPr>
            <w:r>
              <w:rPr>
                <w:rFonts w:ascii="Arial" w:cs="Arial" w:eastAsia="Arial" w:hAnsi="Arial"/>
                <w:sz w:val="14"/>
                <w:szCs w:val="14"/>
                <w:b w:val="1"/>
                <w:bCs w:val="1"/>
                <w:color w:val="auto"/>
              </w:rPr>
              <w:t>For the Twelve Months Ended</w:t>
            </w:r>
          </w:p>
        </w:tc>
      </w:tr>
      <w:tr>
        <w:trPr>
          <w:trHeight w:val="276"/>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b w:val="1"/>
                <w:bCs w:val="1"/>
                <w:color w:val="auto"/>
                <w:w w:val="98"/>
              </w:rPr>
              <w:t>December 31,</w:t>
            </w:r>
          </w:p>
        </w:tc>
      </w:tr>
      <w:tr>
        <w:trPr>
          <w:trHeight w:val="264"/>
        </w:trPr>
        <w:tc>
          <w:tcPr>
            <w:tcW w:w="59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2015</w:t>
            </w:r>
          </w:p>
        </w:tc>
      </w:tr>
      <w:tr>
        <w:trPr>
          <w:trHeight w:val="283"/>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59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Net income including noncontrolling interest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170.5</w:t>
            </w:r>
          </w:p>
        </w:tc>
      </w:tr>
      <w:tr>
        <w:trPr>
          <w:trHeight w:val="156"/>
        </w:trPr>
        <w:tc>
          <w:tcPr>
            <w:tcW w:w="6060" w:type="dxa"/>
            <w:vAlign w:val="bottom"/>
            <w:gridSpan w:val="2"/>
            <w:shd w:val="clear" w:color="auto" w:fill="CCEEFF"/>
          </w:tcPr>
          <w:p>
            <w:pPr>
              <w:ind w:left="180"/>
              <w:spacing w:after="0" w:line="157" w:lineRule="exact"/>
              <w:rPr>
                <w:sz w:val="20"/>
                <w:szCs w:val="20"/>
                <w:color w:val="auto"/>
              </w:rPr>
            </w:pPr>
            <w:r>
              <w:rPr>
                <w:rFonts w:ascii="Arial" w:cs="Arial" w:eastAsia="Arial" w:hAnsi="Arial"/>
                <w:sz w:val="14"/>
                <w:szCs w:val="14"/>
                <w:color w:val="auto"/>
              </w:rPr>
              <w:t>Adjustments to reconcile net income including noncontrolling interest to net cash provided by</w:t>
            </w: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94"/>
        </w:trPr>
        <w:tc>
          <w:tcPr>
            <w:tcW w:w="60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operating activities:</w:t>
            </w: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64"/>
        </w:trPr>
        <w:tc>
          <w:tcPr>
            <w:tcW w:w="6060" w:type="dxa"/>
            <w:vAlign w:val="bottom"/>
            <w:gridSpan w:val="2"/>
          </w:tcPr>
          <w:p>
            <w:pPr>
              <w:ind w:left="280"/>
              <w:spacing w:after="0"/>
              <w:rPr>
                <w:sz w:val="20"/>
                <w:szCs w:val="20"/>
                <w:color w:val="auto"/>
              </w:rPr>
            </w:pPr>
            <w:r>
              <w:rPr>
                <w:rFonts w:ascii="Arial" w:cs="Arial" w:eastAsia="Arial" w:hAnsi="Arial"/>
                <w:sz w:val="14"/>
                <w:szCs w:val="14"/>
                <w:color w:val="auto"/>
              </w:rPr>
              <w:t>Depreciation and amortization</w:t>
            </w:r>
          </w:p>
        </w:tc>
        <w:tc>
          <w:tcPr>
            <w:tcW w:w="3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65.5</w:t>
            </w:r>
          </w:p>
        </w:tc>
      </w:tr>
      <w:tr>
        <w:trPr>
          <w:trHeight w:val="276"/>
        </w:trPr>
        <w:tc>
          <w:tcPr>
            <w:tcW w:w="60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Provision for bad debt</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7.5</w:t>
            </w:r>
          </w:p>
        </w:tc>
      </w:tr>
      <w:tr>
        <w:trPr>
          <w:trHeight w:val="278"/>
        </w:trPr>
        <w:tc>
          <w:tcPr>
            <w:tcW w:w="6060" w:type="dxa"/>
            <w:vAlign w:val="bottom"/>
            <w:gridSpan w:val="2"/>
          </w:tcPr>
          <w:p>
            <w:pPr>
              <w:ind w:left="280"/>
              <w:spacing w:after="0"/>
              <w:rPr>
                <w:sz w:val="20"/>
                <w:szCs w:val="20"/>
                <w:color w:val="auto"/>
              </w:rPr>
            </w:pPr>
            <w:r>
              <w:rPr>
                <w:rFonts w:ascii="Arial" w:cs="Arial" w:eastAsia="Arial" w:hAnsi="Arial"/>
                <w:sz w:val="14"/>
                <w:szCs w:val="14"/>
                <w:color w:val="auto"/>
              </w:rPr>
              <w:t>Gain on sale of held for sale assets and liabilities</w:t>
            </w:r>
          </w:p>
        </w:tc>
        <w:tc>
          <w:tcPr>
            <w:tcW w:w="38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47"/>
              <w:spacing w:after="0"/>
              <w:rPr>
                <w:sz w:val="20"/>
                <w:szCs w:val="20"/>
                <w:color w:val="auto"/>
              </w:rPr>
            </w:pPr>
            <w:r>
              <w:rPr>
                <w:rFonts w:ascii="Arial" w:cs="Arial" w:eastAsia="Arial" w:hAnsi="Arial"/>
                <w:sz w:val="20"/>
                <w:szCs w:val="20"/>
                <w:color w:val="auto"/>
              </w:rPr>
              <w:t>—</w:t>
            </w:r>
          </w:p>
        </w:tc>
      </w:tr>
      <w:tr>
        <w:trPr>
          <w:trHeight w:val="276"/>
        </w:trPr>
        <w:tc>
          <w:tcPr>
            <w:tcW w:w="60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Share-based payment award compensation costs</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17.0</w:t>
            </w:r>
          </w:p>
        </w:tc>
      </w:tr>
      <w:tr>
        <w:trPr>
          <w:trHeight w:val="264"/>
        </w:trPr>
        <w:tc>
          <w:tcPr>
            <w:tcW w:w="6060" w:type="dxa"/>
            <w:vAlign w:val="bottom"/>
            <w:gridSpan w:val="2"/>
          </w:tcPr>
          <w:p>
            <w:pPr>
              <w:ind w:left="280"/>
              <w:spacing w:after="0"/>
              <w:rPr>
                <w:sz w:val="20"/>
                <w:szCs w:val="20"/>
                <w:color w:val="auto"/>
              </w:rPr>
            </w:pPr>
            <w:r>
              <w:rPr>
                <w:rFonts w:ascii="Arial" w:cs="Arial" w:eastAsia="Arial" w:hAnsi="Arial"/>
                <w:sz w:val="14"/>
                <w:szCs w:val="14"/>
                <w:color w:val="auto"/>
              </w:rPr>
              <w:t>Deferred income tax provision (benefit)</w:t>
            </w: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5.3</w:t>
            </w:r>
          </w:p>
        </w:tc>
      </w:tr>
      <w:tr>
        <w:trPr>
          <w:trHeight w:val="276"/>
        </w:trPr>
        <w:tc>
          <w:tcPr>
            <w:tcW w:w="60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Extinguishment of liabilities, net</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r>
      <w:tr>
        <w:trPr>
          <w:trHeight w:val="264"/>
        </w:trPr>
        <w:tc>
          <w:tcPr>
            <w:tcW w:w="6060" w:type="dxa"/>
            <w:vAlign w:val="bottom"/>
            <w:gridSpan w:val="2"/>
          </w:tcPr>
          <w:p>
            <w:pPr>
              <w:ind w:left="280"/>
              <w:spacing w:after="0"/>
              <w:rPr>
                <w:sz w:val="20"/>
                <w:szCs w:val="20"/>
                <w:color w:val="auto"/>
              </w:rPr>
            </w:pPr>
            <w:r>
              <w:rPr>
                <w:rFonts w:ascii="Arial" w:cs="Arial" w:eastAsia="Arial" w:hAnsi="Arial"/>
                <w:sz w:val="14"/>
                <w:szCs w:val="14"/>
                <w:color w:val="auto"/>
              </w:rPr>
              <w:t>Foreign currency losses (gains), net</w:t>
            </w:r>
          </w:p>
        </w:tc>
        <w:tc>
          <w:tcPr>
            <w:tcW w:w="3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76"/>
        </w:trPr>
        <w:tc>
          <w:tcPr>
            <w:tcW w:w="60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3.2</w:t>
            </w:r>
          </w:p>
        </w:tc>
      </w:tr>
      <w:tr>
        <w:trPr>
          <w:trHeight w:val="278"/>
        </w:trPr>
        <w:tc>
          <w:tcPr>
            <w:tcW w:w="6060" w:type="dxa"/>
            <w:vAlign w:val="bottom"/>
            <w:gridSpan w:val="2"/>
          </w:tcPr>
          <w:p>
            <w:pPr>
              <w:ind w:left="380"/>
              <w:spacing w:after="0"/>
              <w:rPr>
                <w:sz w:val="20"/>
                <w:szCs w:val="20"/>
                <w:color w:val="auto"/>
              </w:rPr>
            </w:pPr>
            <w:r>
              <w:rPr>
                <w:rFonts w:ascii="Arial" w:cs="Arial" w:eastAsia="Arial" w:hAnsi="Arial"/>
                <w:sz w:val="14"/>
                <w:szCs w:val="14"/>
                <w:color w:val="auto"/>
              </w:rPr>
              <w:t>Changes in assets and liabilities, net of acquisitions:</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6"/>
        </w:trPr>
        <w:tc>
          <w:tcPr>
            <w:tcW w:w="60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Accounts receivable, net</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485.0</w:t>
            </w:r>
          </w:p>
        </w:tc>
      </w:tr>
      <w:tr>
        <w:trPr>
          <w:trHeight w:val="264"/>
        </w:trPr>
        <w:tc>
          <w:tcPr>
            <w:tcW w:w="6060" w:type="dxa"/>
            <w:vAlign w:val="bottom"/>
            <w:gridSpan w:val="2"/>
          </w:tcPr>
          <w:p>
            <w:pPr>
              <w:ind w:left="380"/>
              <w:spacing w:after="0"/>
              <w:rPr>
                <w:sz w:val="20"/>
                <w:szCs w:val="20"/>
                <w:color w:val="auto"/>
              </w:rPr>
            </w:pPr>
            <w:r>
              <w:rPr>
                <w:rFonts w:ascii="Arial" w:cs="Arial" w:eastAsia="Arial" w:hAnsi="Arial"/>
                <w:sz w:val="14"/>
                <w:szCs w:val="14"/>
                <w:color w:val="auto"/>
              </w:rPr>
              <w:t>Inventories</w:t>
            </w:r>
          </w:p>
        </w:tc>
        <w:tc>
          <w:tcPr>
            <w:tcW w:w="3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39.8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58.8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81.4</w:t>
            </w:r>
          </w:p>
        </w:tc>
      </w:tr>
      <w:tr>
        <w:trPr>
          <w:trHeight w:val="276"/>
        </w:trPr>
        <w:tc>
          <w:tcPr>
            <w:tcW w:w="60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Prepaid expenses</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10.8</w:t>
            </w:r>
          </w:p>
        </w:tc>
      </w:tr>
      <w:tr>
        <w:trPr>
          <w:trHeight w:val="264"/>
        </w:trPr>
        <w:tc>
          <w:tcPr>
            <w:tcW w:w="6060" w:type="dxa"/>
            <w:vAlign w:val="bottom"/>
            <w:gridSpan w:val="2"/>
          </w:tcPr>
          <w:p>
            <w:pPr>
              <w:ind w:left="380"/>
              <w:spacing w:after="0"/>
              <w:rPr>
                <w:sz w:val="20"/>
                <w:szCs w:val="20"/>
                <w:color w:val="auto"/>
              </w:rPr>
            </w:pPr>
            <w:r>
              <w:rPr>
                <w:rFonts w:ascii="Arial" w:cs="Arial" w:eastAsia="Arial" w:hAnsi="Arial"/>
                <w:sz w:val="14"/>
                <w:szCs w:val="14"/>
                <w:color w:val="auto"/>
              </w:rPr>
              <w:t>Short-term derivative assets, net</w:t>
            </w: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81.5</w:t>
            </w:r>
          </w:p>
        </w:tc>
      </w:tr>
      <w:tr>
        <w:trPr>
          <w:trHeight w:val="276"/>
        </w:trPr>
        <w:tc>
          <w:tcPr>
            <w:tcW w:w="60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Other current assets</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34.0</w:t>
            </w:r>
          </w:p>
        </w:tc>
      </w:tr>
      <w:tr>
        <w:trPr>
          <w:trHeight w:val="264"/>
        </w:trPr>
        <w:tc>
          <w:tcPr>
            <w:tcW w:w="6060" w:type="dxa"/>
            <w:vAlign w:val="bottom"/>
            <w:gridSpan w:val="2"/>
          </w:tcPr>
          <w:p>
            <w:pPr>
              <w:ind w:left="380"/>
              <w:spacing w:after="0"/>
              <w:rPr>
                <w:sz w:val="20"/>
                <w:szCs w:val="20"/>
                <w:color w:val="auto"/>
              </w:rPr>
            </w:pPr>
            <w:r>
              <w:rPr>
                <w:rFonts w:ascii="Arial" w:cs="Arial" w:eastAsia="Arial" w:hAnsi="Arial"/>
                <w:sz w:val="14"/>
                <w:szCs w:val="14"/>
                <w:color w:val="auto"/>
              </w:rPr>
              <w:t>Cash collateral with financial counterparties</w:t>
            </w:r>
          </w:p>
        </w:tc>
        <w:tc>
          <w:tcPr>
            <w:tcW w:w="3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149.2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133.3</w:t>
            </w:r>
          </w:p>
        </w:tc>
      </w:tr>
      <w:tr>
        <w:trPr>
          <w:trHeight w:val="276"/>
        </w:trPr>
        <w:tc>
          <w:tcPr>
            <w:tcW w:w="60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Other non-current assets</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264"/>
        </w:trPr>
        <w:tc>
          <w:tcPr>
            <w:tcW w:w="6060" w:type="dxa"/>
            <w:vAlign w:val="bottom"/>
            <w:gridSpan w:val="2"/>
          </w:tcPr>
          <w:p>
            <w:pPr>
              <w:ind w:left="380"/>
              <w:spacing w:after="0"/>
              <w:rPr>
                <w:sz w:val="20"/>
                <w:szCs w:val="20"/>
                <w:color w:val="auto"/>
              </w:rPr>
            </w:pPr>
            <w:r>
              <w:rPr>
                <w:rFonts w:ascii="Arial" w:cs="Arial" w:eastAsia="Arial" w:hAnsi="Arial"/>
                <w:sz w:val="14"/>
                <w:szCs w:val="14"/>
                <w:color w:val="auto"/>
              </w:rPr>
              <w:t>Accounts payable</w:t>
            </w:r>
          </w:p>
        </w:tc>
        <w:tc>
          <w:tcPr>
            <w:tcW w:w="3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210.2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(268.1)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423.4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(481.5)</w:t>
            </w:r>
          </w:p>
        </w:tc>
      </w:tr>
      <w:tr>
        <w:trPr>
          <w:trHeight w:val="276"/>
        </w:trPr>
        <w:tc>
          <w:tcPr>
            <w:tcW w:w="60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Customer deposits</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r>
      <w:tr>
        <w:trPr>
          <w:trHeight w:val="264"/>
        </w:trPr>
        <w:tc>
          <w:tcPr>
            <w:tcW w:w="6060" w:type="dxa"/>
            <w:vAlign w:val="bottom"/>
            <w:gridSpan w:val="2"/>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3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(122.7)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(141.9)</w:t>
            </w:r>
          </w:p>
        </w:tc>
      </w:tr>
      <w:tr>
        <w:trPr>
          <w:trHeight w:val="270"/>
        </w:trPr>
        <w:tc>
          <w:tcPr>
            <w:tcW w:w="59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Non-current income tax, net and other long-term liabilities</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11.0</w:t>
            </w:r>
          </w:p>
        </w:tc>
      </w:tr>
      <w:tr>
        <w:trPr>
          <w:trHeight w:val="250"/>
        </w:trPr>
        <w:tc>
          <w:tcPr>
            <w:tcW w:w="59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adjustments</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276.9</w:t>
            </w:r>
          </w:p>
        </w:tc>
      </w:tr>
      <w:tr>
        <w:trPr>
          <w:trHeight w:val="250"/>
        </w:trPr>
        <w:tc>
          <w:tcPr>
            <w:tcW w:w="59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(used in) provided by operating activities</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205.2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447.5</w:t>
            </w:r>
          </w:p>
        </w:tc>
      </w:tr>
      <w:tr>
        <w:trPr>
          <w:trHeight w:val="277"/>
        </w:trPr>
        <w:tc>
          <w:tcPr>
            <w:tcW w:w="6060" w:type="dxa"/>
            <w:vAlign w:val="bottom"/>
            <w:gridSpan w:val="2"/>
          </w:tcPr>
          <w:p>
            <w:pPr>
              <w:ind w:left="40"/>
              <w:spacing w:after="0"/>
              <w:rPr>
                <w:sz w:val="20"/>
                <w:szCs w:val="20"/>
                <w:color w:val="auto"/>
              </w:rPr>
            </w:pPr>
            <w:r>
              <w:rPr>
                <w:rFonts w:ascii="Arial" w:cs="Arial" w:eastAsia="Arial" w:hAnsi="Arial"/>
                <w:sz w:val="14"/>
                <w:szCs w:val="14"/>
                <w:color w:val="auto"/>
              </w:rPr>
              <w:t>Cash flows from investing activities:</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6"/>
        </w:trPr>
        <w:tc>
          <w:tcPr>
            <w:tcW w:w="60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Acquisition of businesses, net of cash acquired and other investments</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w:t>
            </w:r>
          </w:p>
        </w:tc>
      </w:tr>
      <w:tr>
        <w:trPr>
          <w:trHeight w:val="264"/>
        </w:trPr>
        <w:tc>
          <w:tcPr>
            <w:tcW w:w="6060" w:type="dxa"/>
            <w:vAlign w:val="bottom"/>
            <w:gridSpan w:val="2"/>
          </w:tcPr>
          <w:p>
            <w:pPr>
              <w:ind w:left="180"/>
              <w:spacing w:after="0"/>
              <w:rPr>
                <w:sz w:val="20"/>
                <w:szCs w:val="20"/>
                <w:color w:val="auto"/>
              </w:rPr>
            </w:pPr>
            <w:r>
              <w:rPr>
                <w:rFonts w:ascii="Arial" w:cs="Arial" w:eastAsia="Arial" w:hAnsi="Arial"/>
                <w:sz w:val="14"/>
                <w:szCs w:val="14"/>
                <w:color w:val="auto"/>
              </w:rPr>
              <w:t>Proceeds from sale of business</w:t>
            </w:r>
          </w:p>
        </w:tc>
        <w:tc>
          <w:tcPr>
            <w:tcW w:w="3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w:t>
            </w:r>
          </w:p>
        </w:tc>
      </w:tr>
      <w:tr>
        <w:trPr>
          <w:trHeight w:val="276"/>
        </w:trPr>
        <w:tc>
          <w:tcPr>
            <w:tcW w:w="60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r>
      <w:tr>
        <w:trPr>
          <w:trHeight w:val="264"/>
        </w:trPr>
        <w:tc>
          <w:tcPr>
            <w:tcW w:w="59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investing activities, net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3.2</w:t>
            </w:r>
          </w:p>
        </w:tc>
      </w:tr>
      <w:tr>
        <w:trPr>
          <w:trHeight w:val="250"/>
        </w:trPr>
        <w:tc>
          <w:tcPr>
            <w:tcW w:w="59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used in investing activities</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(169.3)</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(144.8)</w:t>
            </w:r>
          </w:p>
        </w:tc>
      </w:tr>
      <w:tr>
        <w:trPr>
          <w:trHeight w:val="277"/>
        </w:trPr>
        <w:tc>
          <w:tcPr>
            <w:tcW w:w="6060" w:type="dxa"/>
            <w:vAlign w:val="bottom"/>
            <w:gridSpan w:val="2"/>
          </w:tcPr>
          <w:p>
            <w:pPr>
              <w:ind w:left="40"/>
              <w:spacing w:after="0"/>
              <w:rPr>
                <w:sz w:val="20"/>
                <w:szCs w:val="20"/>
                <w:color w:val="auto"/>
              </w:rPr>
            </w:pPr>
            <w:r>
              <w:rPr>
                <w:rFonts w:ascii="Arial" w:cs="Arial" w:eastAsia="Arial" w:hAnsi="Arial"/>
                <w:sz w:val="14"/>
                <w:szCs w:val="14"/>
                <w:color w:val="auto"/>
              </w:rPr>
              <w:t>Cash flows from financing activities:</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6"/>
        </w:trPr>
        <w:tc>
          <w:tcPr>
            <w:tcW w:w="60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Borrowings of debt</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1,877.4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662.2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4,688.0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4,831.2</w:t>
            </w:r>
          </w:p>
        </w:tc>
      </w:tr>
      <w:tr>
        <w:trPr>
          <w:trHeight w:val="264"/>
        </w:trPr>
        <w:tc>
          <w:tcPr>
            <w:tcW w:w="6060" w:type="dxa"/>
            <w:vAlign w:val="bottom"/>
            <w:gridSpan w:val="2"/>
          </w:tcPr>
          <w:p>
            <w:pPr>
              <w:ind w:left="180"/>
              <w:spacing w:after="0"/>
              <w:rPr>
                <w:sz w:val="20"/>
                <w:szCs w:val="20"/>
                <w:color w:val="auto"/>
              </w:rPr>
            </w:pPr>
            <w:r>
              <w:rPr>
                <w:rFonts w:ascii="Arial" w:cs="Arial" w:eastAsia="Arial" w:hAnsi="Arial"/>
                <w:sz w:val="14"/>
                <w:szCs w:val="14"/>
                <w:color w:val="auto"/>
              </w:rPr>
              <w:t>Repayments of debt</w:t>
            </w: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(1,829.2)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(774.3)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(4,280.3)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(4,752.0)</w:t>
            </w:r>
          </w:p>
        </w:tc>
      </w:tr>
      <w:tr>
        <w:trPr>
          <w:trHeight w:val="276"/>
        </w:trPr>
        <w:tc>
          <w:tcPr>
            <w:tcW w:w="60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Payments of senior revolving credit facility and senior term loan facility loan costs</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264"/>
        </w:trPr>
        <w:tc>
          <w:tcPr>
            <w:tcW w:w="6060" w:type="dxa"/>
            <w:vAlign w:val="bottom"/>
            <w:gridSpan w:val="2"/>
          </w:tcPr>
          <w:p>
            <w:pPr>
              <w:ind w:left="180"/>
              <w:spacing w:after="0"/>
              <w:rPr>
                <w:sz w:val="20"/>
                <w:szCs w:val="20"/>
                <w:color w:val="auto"/>
              </w:rPr>
            </w:pPr>
            <w:r>
              <w:rPr>
                <w:rFonts w:ascii="Arial" w:cs="Arial" w:eastAsia="Arial" w:hAnsi="Arial"/>
                <w:sz w:val="14"/>
                <w:szCs w:val="14"/>
                <w:color w:val="auto"/>
              </w:rPr>
              <w:t>Dividends paid on common stock</w:t>
            </w: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(15.3)</w:t>
            </w:r>
          </w:p>
        </w:tc>
      </w:tr>
      <w:tr>
        <w:trPr>
          <w:trHeight w:val="276"/>
        </w:trPr>
        <w:tc>
          <w:tcPr>
            <w:tcW w:w="60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Purchases of common stock</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w:t>
            </w:r>
          </w:p>
        </w:tc>
      </w:tr>
      <w:tr>
        <w:trPr>
          <w:trHeight w:val="157"/>
        </w:trPr>
        <w:tc>
          <w:tcPr>
            <w:tcW w:w="6060" w:type="dxa"/>
            <w:vAlign w:val="bottom"/>
            <w:gridSpan w:val="2"/>
          </w:tcPr>
          <w:p>
            <w:pPr>
              <w:ind w:left="180"/>
              <w:spacing w:after="0" w:line="157" w:lineRule="exact"/>
              <w:rPr>
                <w:sz w:val="20"/>
                <w:szCs w:val="20"/>
                <w:color w:val="auto"/>
              </w:rPr>
            </w:pPr>
            <w:r>
              <w:rPr>
                <w:rFonts w:ascii="Arial" w:cs="Arial" w:eastAsia="Arial" w:hAnsi="Arial"/>
                <w:sz w:val="14"/>
                <w:szCs w:val="14"/>
                <w:color w:val="auto"/>
                <w:w w:val="99"/>
              </w:rPr>
              <w:t>Federal and state tax benefits resulting from tax deductions in excess of the compensation cost</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8"/>
        </w:trPr>
        <w:tc>
          <w:tcPr>
            <w:tcW w:w="6060" w:type="dxa"/>
            <w:vAlign w:val="bottom"/>
            <w:gridSpan w:val="2"/>
          </w:tcPr>
          <w:p>
            <w:pPr>
              <w:ind w:left="180"/>
              <w:spacing w:after="0"/>
              <w:rPr>
                <w:sz w:val="20"/>
                <w:szCs w:val="20"/>
                <w:color w:val="auto"/>
              </w:rPr>
            </w:pPr>
            <w:r>
              <w:rPr>
                <w:rFonts w:ascii="Arial" w:cs="Arial" w:eastAsia="Arial" w:hAnsi="Arial"/>
                <w:sz w:val="14"/>
                <w:szCs w:val="14"/>
                <w:color w:val="auto"/>
              </w:rPr>
              <w:t>recognized for share-based payment awards</w:t>
            </w:r>
          </w:p>
        </w:tc>
        <w:tc>
          <w:tcPr>
            <w:tcW w:w="38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w:t>
            </w:r>
          </w:p>
        </w:tc>
      </w:tr>
      <w:tr>
        <w:trPr>
          <w:trHeight w:val="163"/>
        </w:trPr>
        <w:tc>
          <w:tcPr>
            <w:tcW w:w="60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Purchases of common stock tendered by employees to satisfy the required withholding taxes</w:t>
            </w: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94"/>
        </w:trPr>
        <w:tc>
          <w:tcPr>
            <w:tcW w:w="60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related to share-based payment awards</w:t>
            </w: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264"/>
        </w:trPr>
        <w:tc>
          <w:tcPr>
            <w:tcW w:w="59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financing activities, net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0.2</w:t>
            </w:r>
          </w:p>
        </w:tc>
      </w:tr>
      <w:tr>
        <w:trPr>
          <w:trHeight w:val="250"/>
        </w:trPr>
        <w:tc>
          <w:tcPr>
            <w:tcW w:w="59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(116.9)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340.9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w:t>
            </w:r>
          </w:p>
        </w:tc>
      </w:tr>
      <w:tr>
        <w:trPr>
          <w:trHeight w:val="250"/>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r>
      <w:tr>
        <w:trPr>
          <w:trHeight w:val="256"/>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280.2</w:t>
            </w:r>
          </w:p>
        </w:tc>
      </w:tr>
      <w:tr>
        <w:trPr>
          <w:trHeight w:val="264"/>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and cash equivalents, as of beginning of period</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872.3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609.6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582.5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302.3</w:t>
            </w:r>
          </w:p>
        </w:tc>
      </w:tr>
      <w:tr>
        <w:trPr>
          <w:trHeight w:val="237"/>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 equivalents, as of end of period</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698.6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582.5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698.6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582.5</w:t>
            </w:r>
          </w:p>
        </w:tc>
      </w:tr>
      <w:tr>
        <w:trPr>
          <w:trHeight w:val="20"/>
        </w:trPr>
        <w:tc>
          <w:tcPr>
            <w:tcW w:w="5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00"/>
          </w:cols>
          <w:pgMar w:left="240" w:top="918" w:right="259" w:bottom="1440" w:gutter="0" w:footer="0" w:header="0"/>
        </w:sectPr>
      </w:pPr>
    </w:p>
    <w:bookmarkStart w:id="8" w:name="page9"/>
    <w:bookmarkEnd w:id="8"/>
    <w:p>
      <w:pPr>
        <w:jc w:val="center"/>
        <w:ind w:left="260" w:right="2740"/>
        <w:spacing w:after="0" w:line="266" w:lineRule="auto"/>
        <w:rPr>
          <w:sz w:val="20"/>
          <w:szCs w:val="20"/>
          <w:color w:val="auto"/>
        </w:rPr>
      </w:pPr>
      <w:r>
        <w:rPr>
          <w:rFonts w:ascii="Arial" w:cs="Arial" w:eastAsia="Arial" w:hAnsi="Arial"/>
          <w:sz w:val="18"/>
          <w:szCs w:val="18"/>
          <w:b w:val="1"/>
          <w:bCs w:val="1"/>
          <w:color w:val="auto"/>
        </w:rPr>
        <w:t xml:space="preserve">WORLD FUEL SERVICES CORPORATION AND SUBSIDIARIES RECONCILIATION OF GAAP TO NON-GAAP FINANCIAL MEASURES </w:t>
      </w:r>
      <w:r>
        <w:rPr>
          <w:rFonts w:ascii="Arial" w:cs="Arial" w:eastAsia="Arial" w:hAnsi="Arial"/>
          <w:sz w:val="18"/>
          <w:szCs w:val="18"/>
          <w:color w:val="auto"/>
        </w:rPr>
        <w:t>(Unaudited - In millions, except per share data)</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8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For the Three Months Ended</w:t>
            </w:r>
          </w:p>
        </w:tc>
        <w:tc>
          <w:tcPr>
            <w:tcW w:w="360" w:type="dxa"/>
            <w:vAlign w:val="bottom"/>
          </w:tcPr>
          <w:p>
            <w:pPr>
              <w:spacing w:after="0"/>
              <w:rPr>
                <w:sz w:val="19"/>
                <w:szCs w:val="19"/>
                <w:color w:val="auto"/>
              </w:rPr>
            </w:pPr>
          </w:p>
        </w:tc>
        <w:tc>
          <w:tcPr>
            <w:tcW w:w="222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For the Twelve Months Ended</w:t>
            </w:r>
          </w:p>
        </w:tc>
      </w:tr>
      <w:tr>
        <w:trPr>
          <w:trHeight w:val="276"/>
        </w:trPr>
        <w:tc>
          <w:tcPr>
            <w:tcW w:w="6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December 31,</w:t>
            </w: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w w:val="98"/>
              </w:rPr>
              <w:t>December 31,</w:t>
            </w:r>
          </w:p>
        </w:tc>
      </w:tr>
      <w:tr>
        <w:trPr>
          <w:trHeight w:val="264"/>
        </w:trPr>
        <w:tc>
          <w:tcPr>
            <w:tcW w:w="6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Non-GAAP financial measures and reconciliation:</w:t>
            </w:r>
          </w:p>
        </w:tc>
        <w:tc>
          <w:tcPr>
            <w:tcW w:w="3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r>
      <w:tr>
        <w:trPr>
          <w:trHeight w:val="256"/>
        </w:trPr>
        <w:tc>
          <w:tcPr>
            <w:tcW w:w="6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GAAP net income attributable to World Fuel</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174.5</w:t>
            </w:r>
          </w:p>
        </w:tc>
      </w:tr>
      <w:tr>
        <w:trPr>
          <w:trHeight w:val="264"/>
        </w:trPr>
        <w:tc>
          <w:tcPr>
            <w:tcW w:w="6160" w:type="dxa"/>
            <w:vAlign w:val="bottom"/>
          </w:tcPr>
          <w:p>
            <w:pPr>
              <w:ind w:left="280"/>
              <w:spacing w:after="0"/>
              <w:rPr>
                <w:sz w:val="20"/>
                <w:szCs w:val="20"/>
                <w:color w:val="auto"/>
              </w:rPr>
            </w:pPr>
            <w:r>
              <w:rPr>
                <w:rFonts w:ascii="Arial" w:cs="Arial" w:eastAsia="Arial" w:hAnsi="Arial"/>
                <w:sz w:val="14"/>
                <w:szCs w:val="14"/>
                <w:color w:val="auto"/>
              </w:rPr>
              <w:t>Acquisition related charges, net of income taxes (1)</w:t>
            </w:r>
          </w:p>
        </w:tc>
        <w:tc>
          <w:tcPr>
            <w:tcW w:w="3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4.1</w:t>
            </w:r>
          </w:p>
        </w:tc>
      </w:tr>
      <w:tr>
        <w:trPr>
          <w:trHeight w:val="276"/>
        </w:trPr>
        <w:tc>
          <w:tcPr>
            <w:tcW w:w="6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Severance and other restructuring-related costs, net of income taxes (2)</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r>
      <w:tr>
        <w:trPr>
          <w:trHeight w:val="264"/>
        </w:trPr>
        <w:tc>
          <w:tcPr>
            <w:tcW w:w="6160" w:type="dxa"/>
            <w:vAlign w:val="bottom"/>
          </w:tcPr>
          <w:p>
            <w:pPr>
              <w:ind w:left="280"/>
              <w:spacing w:after="0"/>
              <w:rPr>
                <w:sz w:val="20"/>
                <w:szCs w:val="20"/>
                <w:color w:val="auto"/>
              </w:rPr>
            </w:pPr>
            <w:r>
              <w:rPr>
                <w:rFonts w:ascii="Arial" w:cs="Arial" w:eastAsia="Arial" w:hAnsi="Arial"/>
                <w:sz w:val="14"/>
                <w:szCs w:val="14"/>
                <w:color w:val="auto"/>
              </w:rPr>
              <w:t>Costs related to the divestiture of crude oil joint venture interest, net of income taxes (3)</w:t>
            </w:r>
          </w:p>
        </w:tc>
        <w:tc>
          <w:tcPr>
            <w:tcW w:w="3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56"/>
        </w:trPr>
        <w:tc>
          <w:tcPr>
            <w:tcW w:w="6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net income attributable to World Fuel</w:t>
            </w: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50.8</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146.9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180.9</w:t>
            </w:r>
          </w:p>
        </w:tc>
      </w:tr>
      <w:tr>
        <w:trPr>
          <w:trHeight w:val="264"/>
        </w:trPr>
        <w:tc>
          <w:tcPr>
            <w:tcW w:w="6160" w:type="dxa"/>
            <w:vAlign w:val="bottom"/>
          </w:tcPr>
          <w:p>
            <w:pPr>
              <w:ind w:left="280"/>
              <w:spacing w:after="0"/>
              <w:rPr>
                <w:sz w:val="20"/>
                <w:szCs w:val="20"/>
                <w:color w:val="auto"/>
              </w:rPr>
            </w:pPr>
            <w:r>
              <w:rPr>
                <w:rFonts w:ascii="Arial" w:cs="Arial" w:eastAsia="Arial" w:hAnsi="Arial"/>
                <w:sz w:val="14"/>
                <w:szCs w:val="14"/>
                <w:color w:val="auto"/>
              </w:rPr>
              <w:t>Share-based compensation expense, net of income taxes (4)</w:t>
            </w:r>
          </w:p>
        </w:tc>
        <w:tc>
          <w:tcPr>
            <w:tcW w:w="3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11.4</w:t>
            </w:r>
          </w:p>
        </w:tc>
      </w:tr>
      <w:tr>
        <w:trPr>
          <w:trHeight w:val="270"/>
        </w:trPr>
        <w:tc>
          <w:tcPr>
            <w:tcW w:w="6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Intangible asset amortization expense, net of income taxes (5)</w:t>
            </w:r>
          </w:p>
        </w:tc>
        <w:tc>
          <w:tcPr>
            <w:tcW w:w="3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20.4</w:t>
            </w:r>
          </w:p>
        </w:tc>
      </w:tr>
      <w:tr>
        <w:trPr>
          <w:trHeight w:val="250"/>
        </w:trPr>
        <w:tc>
          <w:tcPr>
            <w:tcW w:w="6160" w:type="dxa"/>
            <w:vAlign w:val="bottom"/>
          </w:tcPr>
          <w:p>
            <w:pPr>
              <w:ind w:left="40"/>
              <w:spacing w:after="0"/>
              <w:rPr>
                <w:sz w:val="20"/>
                <w:szCs w:val="20"/>
                <w:color w:val="auto"/>
              </w:rPr>
            </w:pPr>
            <w:r>
              <w:rPr>
                <w:rFonts w:ascii="Arial" w:cs="Arial" w:eastAsia="Arial" w:hAnsi="Arial"/>
                <w:sz w:val="14"/>
                <w:szCs w:val="14"/>
                <w:color w:val="auto"/>
              </w:rPr>
              <w:t>Non-GAAP net income attributable to World Fuel</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21"/>
                <w:szCs w:val="21"/>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188.8</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212.7</w:t>
            </w:r>
          </w:p>
        </w:tc>
      </w:tr>
      <w:tr>
        <w:trPr>
          <w:trHeight w:val="276"/>
        </w:trPr>
        <w:tc>
          <w:tcPr>
            <w:tcW w:w="6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6160" w:type="dxa"/>
            <w:vAlign w:val="bottom"/>
          </w:tcPr>
          <w:p>
            <w:pPr>
              <w:ind w:left="40"/>
              <w:spacing w:after="0"/>
              <w:rPr>
                <w:sz w:val="20"/>
                <w:szCs w:val="20"/>
                <w:color w:val="auto"/>
              </w:rPr>
            </w:pPr>
            <w:r>
              <w:rPr>
                <w:rFonts w:ascii="Arial" w:cs="Arial" w:eastAsia="Arial" w:hAnsi="Arial"/>
                <w:sz w:val="14"/>
                <w:szCs w:val="14"/>
                <w:color w:val="auto"/>
              </w:rPr>
              <w:t>GAAP diluted earnings per common share</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0.71</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2.47</w:t>
            </w:r>
          </w:p>
        </w:tc>
      </w:tr>
      <w:tr>
        <w:trPr>
          <w:trHeight w:val="276"/>
        </w:trPr>
        <w:tc>
          <w:tcPr>
            <w:tcW w:w="6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 related charges, net of income taxes (1)</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0.06</w:t>
            </w:r>
          </w:p>
        </w:tc>
      </w:tr>
      <w:tr>
        <w:trPr>
          <w:trHeight w:val="264"/>
        </w:trPr>
        <w:tc>
          <w:tcPr>
            <w:tcW w:w="6160" w:type="dxa"/>
            <w:vAlign w:val="bottom"/>
          </w:tcPr>
          <w:p>
            <w:pPr>
              <w:ind w:left="280"/>
              <w:spacing w:after="0"/>
              <w:rPr>
                <w:sz w:val="20"/>
                <w:szCs w:val="20"/>
                <w:color w:val="auto"/>
              </w:rPr>
            </w:pPr>
            <w:r>
              <w:rPr>
                <w:rFonts w:ascii="Arial" w:cs="Arial" w:eastAsia="Arial" w:hAnsi="Arial"/>
                <w:sz w:val="14"/>
                <w:szCs w:val="14"/>
                <w:color w:val="auto"/>
              </w:rPr>
              <w:t>Severance and other restructuring-related costs, net of income taxes (2)</w:t>
            </w:r>
          </w:p>
        </w:tc>
        <w:tc>
          <w:tcPr>
            <w:tcW w:w="3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0.03</w:t>
            </w:r>
          </w:p>
        </w:tc>
      </w:tr>
      <w:tr>
        <w:trPr>
          <w:trHeight w:val="270"/>
        </w:trPr>
        <w:tc>
          <w:tcPr>
            <w:tcW w:w="6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Costs related to the divestiture of crude oil joint venture interest, net of income taxes (3)</w:t>
            </w: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50"/>
        </w:trPr>
        <w:tc>
          <w:tcPr>
            <w:tcW w:w="6160" w:type="dxa"/>
            <w:vAlign w:val="bottom"/>
          </w:tcPr>
          <w:p>
            <w:pPr>
              <w:ind w:left="40"/>
              <w:spacing w:after="0"/>
              <w:rPr>
                <w:sz w:val="20"/>
                <w:szCs w:val="20"/>
                <w:color w:val="auto"/>
              </w:rPr>
            </w:pPr>
            <w:r>
              <w:rPr>
                <w:rFonts w:ascii="Arial" w:cs="Arial" w:eastAsia="Arial" w:hAnsi="Arial"/>
                <w:sz w:val="14"/>
                <w:szCs w:val="14"/>
                <w:color w:val="auto"/>
              </w:rPr>
              <w:t>Adjusted diluted earnings per common share</w:t>
            </w: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0.21</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0.73</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2.56</w:t>
            </w:r>
          </w:p>
        </w:tc>
      </w:tr>
      <w:tr>
        <w:trPr>
          <w:trHeight w:val="276"/>
        </w:trPr>
        <w:tc>
          <w:tcPr>
            <w:tcW w:w="6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Share-based compensation expense, net of income taxes (4)</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0.16</w:t>
            </w:r>
          </w:p>
        </w:tc>
      </w:tr>
      <w:tr>
        <w:trPr>
          <w:trHeight w:val="264"/>
        </w:trPr>
        <w:tc>
          <w:tcPr>
            <w:tcW w:w="61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Intangible asset amortization expense, net of income taxes (5)</w:t>
            </w: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0.29</w:t>
            </w:r>
          </w:p>
        </w:tc>
      </w:tr>
      <w:tr>
        <w:trPr>
          <w:trHeight w:val="237"/>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Non-GAAP diluted earnings per common share</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0.86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3.01</w:t>
            </w:r>
          </w:p>
        </w:tc>
      </w:tr>
      <w:tr>
        <w:trPr>
          <w:trHeight w:val="20"/>
        </w:trPr>
        <w:tc>
          <w:tcPr>
            <w:tcW w:w="6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660" w:right="200" w:hanging="328"/>
        <w:spacing w:after="0" w:line="273"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pre-tax amount of acquisition related charges was $6.2 million and $1.1 million for the three months ended December 31, 2016 and 2015, respectively, and $14.0 million and $5.6 million for the twelve months ended December 31, 2016 and 2015, respectively.</w:t>
      </w:r>
    </w:p>
    <w:p>
      <w:pPr>
        <w:spacing w:after="0" w:line="133" w:lineRule="exact"/>
        <w:rPr>
          <w:rFonts w:ascii="Arial" w:cs="Arial" w:eastAsia="Arial" w:hAnsi="Arial"/>
          <w:sz w:val="14"/>
          <w:szCs w:val="14"/>
          <w:color w:val="auto"/>
        </w:rPr>
      </w:pPr>
    </w:p>
    <w:p>
      <w:pPr>
        <w:ind w:left="660" w:right="200" w:hanging="328"/>
        <w:spacing w:after="0" w:line="273"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pre-tax amount of severance and other restructuring-related costs was $4.2 million for the three months ended December 31, 2016 and $6.4 million and $3.8 million for the twelve months ended December 31, 2016 and 2015, respectively.</w:t>
      </w:r>
    </w:p>
    <w:p>
      <w:pPr>
        <w:spacing w:after="0" w:line="137"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pre-tax amount of costs related to the divestiture of crude oil joint venture interest was $7.5 million for the three and twelve months ended December 31, 2016</w:t>
      </w:r>
      <w:r>
        <w:rPr>
          <w:rFonts w:ascii="Arial" w:cs="Arial" w:eastAsia="Arial" w:hAnsi="Arial"/>
          <w:sz w:val="18"/>
          <w:szCs w:val="18"/>
          <w:color w:val="auto"/>
        </w:rPr>
        <w:t>.</w:t>
      </w:r>
    </w:p>
    <w:p>
      <w:pPr>
        <w:spacing w:after="0" w:line="193" w:lineRule="exact"/>
        <w:rPr>
          <w:rFonts w:ascii="Arial" w:cs="Arial" w:eastAsia="Arial" w:hAnsi="Arial"/>
          <w:sz w:val="14"/>
          <w:szCs w:val="14"/>
          <w:color w:val="auto"/>
        </w:rPr>
      </w:pPr>
    </w:p>
    <w:p>
      <w:pPr>
        <w:ind w:left="660" w:right="20" w:hanging="328"/>
        <w:spacing w:after="0" w:line="273"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pre-tax amount of share-based compensation expense was $4.7 million and $3.9 million for the three months ended December 31, 2016 and 2015, respectively, and $19.3 million and $16.3 million for the twelve months ended December 31, 2016 and 2015, respectively.</w:t>
      </w:r>
    </w:p>
    <w:p>
      <w:pPr>
        <w:spacing w:after="0" w:line="133" w:lineRule="exact"/>
        <w:rPr>
          <w:rFonts w:ascii="Arial" w:cs="Arial" w:eastAsia="Arial" w:hAnsi="Arial"/>
          <w:sz w:val="14"/>
          <w:szCs w:val="14"/>
          <w:color w:val="auto"/>
        </w:rPr>
      </w:pPr>
    </w:p>
    <w:p>
      <w:pPr>
        <w:ind w:left="660" w:right="340" w:hanging="328"/>
        <w:spacing w:after="0" w:line="273"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pre-tax amount of intangible asset amortization expense attributable to World Fuel was $11.8 million and $8.4 million for the three months ended December 31, 2016 and 2015, respectively, and $38.6 million and $27.3 million for the twelve months ended December 31, 2016 and 2015, respectively.</w:t>
      </w:r>
    </w:p>
    <w:p>
      <w:pPr>
        <w:sectPr>
          <w:pgSz w:w="11900" w:h="16838" w:orient="portrait"/>
          <w:cols w:equalWidth="0" w:num="1">
            <w:col w:w="11400"/>
          </w:cols>
          <w:pgMar w:left="240" w:top="796"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SEGMENTS INFORMATION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 - 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6"/>
                <w:szCs w:val="16"/>
                <w:color w:val="auto"/>
              </w:rPr>
            </w:pPr>
          </w:p>
        </w:tc>
        <w:tc>
          <w:tcPr>
            <w:tcW w:w="218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For the Twelve Months Ended</w:t>
            </w:r>
          </w:p>
        </w:tc>
      </w:tr>
      <w:tr>
        <w:trPr>
          <w:trHeight w:val="276"/>
        </w:trPr>
        <w:tc>
          <w:tcPr>
            <w:tcW w:w="61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December 31,</w:t>
            </w:r>
          </w:p>
        </w:tc>
      </w:tr>
      <w:tr>
        <w:trPr>
          <w:trHeight w:val="264"/>
        </w:trPr>
        <w:tc>
          <w:tcPr>
            <w:tcW w:w="6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4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2015</w:t>
            </w:r>
          </w:p>
        </w:tc>
      </w:tr>
      <w:tr>
        <w:trPr>
          <w:trHeight w:val="250"/>
        </w:trPr>
        <w:tc>
          <w:tcPr>
            <w:tcW w:w="6280" w:type="dxa"/>
            <w:vAlign w:val="bottom"/>
            <w:gridSpan w:val="2"/>
          </w:tcPr>
          <w:p>
            <w:pPr>
              <w:ind w:left="180"/>
              <w:spacing w:after="0"/>
              <w:rPr>
                <w:sz w:val="20"/>
                <w:szCs w:val="20"/>
                <w:color w:val="auto"/>
              </w:rPr>
            </w:pPr>
            <w:r>
              <w:rPr>
                <w:rFonts w:ascii="Arial" w:cs="Arial" w:eastAsia="Arial" w:hAnsi="Arial"/>
                <w:sz w:val="14"/>
                <w:szCs w:val="14"/>
                <w:color w:val="auto"/>
              </w:rPr>
              <w:t>Aviation segment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3,104.2</w:t>
            </w:r>
          </w:p>
        </w:tc>
        <w:tc>
          <w:tcPr>
            <w:tcW w:w="14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2,662.2</w:t>
            </w:r>
          </w:p>
        </w:tc>
        <w:tc>
          <w:tcPr>
            <w:tcW w:w="1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10,914.4</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11,739.8</w:t>
            </w:r>
          </w:p>
        </w:tc>
      </w:tr>
      <w:tr>
        <w:trPr>
          <w:trHeight w:val="276"/>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Land segment</w:t>
            </w: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2,543.0</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2,218.4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8,918.8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9,274.3</w:t>
            </w:r>
          </w:p>
        </w:tc>
      </w:tr>
      <w:tr>
        <w:trPr>
          <w:trHeight w:val="264"/>
        </w:trPr>
        <w:tc>
          <w:tcPr>
            <w:tcW w:w="6280" w:type="dxa"/>
            <w:vAlign w:val="bottom"/>
            <w:gridSpan w:val="2"/>
          </w:tcPr>
          <w:p>
            <w:pPr>
              <w:ind w:left="180"/>
              <w:spacing w:after="0"/>
              <w:rPr>
                <w:sz w:val="20"/>
                <w:szCs w:val="20"/>
                <w:color w:val="auto"/>
              </w:rPr>
            </w:pPr>
            <w:r>
              <w:rPr>
                <w:rFonts w:ascii="Arial" w:cs="Arial" w:eastAsia="Arial" w:hAnsi="Arial"/>
                <w:sz w:val="14"/>
                <w:szCs w:val="14"/>
                <w:color w:val="auto"/>
              </w:rPr>
              <w:t>Marine segment</w:t>
            </w:r>
          </w:p>
        </w:tc>
        <w:tc>
          <w:tcPr>
            <w:tcW w:w="3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2,145.0</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1,853.0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7,182.5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9,367.2</w:t>
            </w:r>
          </w:p>
        </w:tc>
      </w:tr>
      <w:tr>
        <w:trPr>
          <w:trHeight w:val="256"/>
        </w:trPr>
        <w:tc>
          <w:tcPr>
            <w:tcW w:w="61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7,792.1</w:t>
            </w:r>
          </w:p>
        </w:tc>
        <w:tc>
          <w:tcPr>
            <w:tcW w:w="14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6,733.6</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27,015.8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30,381.4</w:t>
            </w:r>
          </w:p>
        </w:tc>
      </w:tr>
      <w:tr>
        <w:trPr>
          <w:trHeight w:val="278"/>
        </w:trPr>
        <w:tc>
          <w:tcPr>
            <w:tcW w:w="6280" w:type="dxa"/>
            <w:vAlign w:val="bottom"/>
            <w:gridSpan w:val="2"/>
          </w:tcPr>
          <w:p>
            <w:pPr>
              <w:ind w:left="40"/>
              <w:spacing w:after="0"/>
              <w:rPr>
                <w:sz w:val="20"/>
                <w:szCs w:val="20"/>
                <w:color w:val="auto"/>
              </w:rPr>
            </w:pPr>
            <w:r>
              <w:rPr>
                <w:rFonts w:ascii="Arial" w:cs="Arial" w:eastAsia="Arial" w:hAnsi="Arial"/>
                <w:sz w:val="14"/>
                <w:szCs w:val="14"/>
                <w:color w:val="auto"/>
              </w:rPr>
              <w:t>Gross profit:</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6"/>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102.0</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401.0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361.9</w:t>
            </w:r>
          </w:p>
        </w:tc>
      </w:tr>
      <w:tr>
        <w:trPr>
          <w:trHeight w:val="264"/>
        </w:trPr>
        <w:tc>
          <w:tcPr>
            <w:tcW w:w="6280" w:type="dxa"/>
            <w:vAlign w:val="bottom"/>
            <w:gridSpan w:val="2"/>
          </w:tcPr>
          <w:p>
            <w:pPr>
              <w:ind w:left="180"/>
              <w:spacing w:after="0"/>
              <w:rPr>
                <w:sz w:val="20"/>
                <w:szCs w:val="20"/>
                <w:color w:val="auto"/>
              </w:rPr>
            </w:pPr>
            <w:r>
              <w:rPr>
                <w:rFonts w:ascii="Arial" w:cs="Arial" w:eastAsia="Arial" w:hAnsi="Arial"/>
                <w:sz w:val="14"/>
                <w:szCs w:val="14"/>
                <w:color w:val="auto"/>
              </w:rPr>
              <w:t>Land segment</w:t>
            </w:r>
          </w:p>
        </w:tc>
        <w:tc>
          <w:tcPr>
            <w:tcW w:w="3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86.8</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96.1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348.5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309.5</w:t>
            </w:r>
          </w:p>
        </w:tc>
      </w:tr>
      <w:tr>
        <w:trPr>
          <w:trHeight w:val="27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33.5</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189.6</w:t>
            </w:r>
          </w:p>
        </w:tc>
      </w:tr>
      <w:tr>
        <w:trPr>
          <w:trHeight w:val="250"/>
        </w:trPr>
        <w:tc>
          <w:tcPr>
            <w:tcW w:w="6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222.3</w:t>
            </w:r>
          </w:p>
        </w:tc>
        <w:tc>
          <w:tcPr>
            <w:tcW w:w="14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230.2</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899.0</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861.0</w:t>
            </w:r>
          </w:p>
        </w:tc>
      </w:tr>
      <w:tr>
        <w:trPr>
          <w:trHeight w:val="290"/>
        </w:trPr>
        <w:tc>
          <w:tcPr>
            <w:tcW w:w="6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6280" w:type="dxa"/>
            <w:vAlign w:val="bottom"/>
            <w:gridSpan w:val="2"/>
          </w:tcPr>
          <w:p>
            <w:pPr>
              <w:ind w:left="180"/>
              <w:spacing w:after="0"/>
              <w:rPr>
                <w:sz w:val="20"/>
                <w:szCs w:val="20"/>
                <w:color w:val="auto"/>
              </w:rPr>
            </w:pPr>
            <w:r>
              <w:rPr>
                <w:rFonts w:ascii="Arial" w:cs="Arial" w:eastAsia="Arial" w:hAnsi="Arial"/>
                <w:sz w:val="14"/>
                <w:szCs w:val="14"/>
                <w:color w:val="auto"/>
              </w:rPr>
              <w:t>Aviation segment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36.7</w:t>
            </w:r>
          </w:p>
        </w:tc>
        <w:tc>
          <w:tcPr>
            <w:tcW w:w="14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160.5</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132.2</w:t>
            </w:r>
          </w:p>
        </w:tc>
      </w:tr>
      <w:tr>
        <w:trPr>
          <w:trHeight w:val="276"/>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Land segment</w:t>
            </w: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101.4</w:t>
            </w:r>
          </w:p>
        </w:tc>
      </w:tr>
      <w:tr>
        <w:trPr>
          <w:trHeight w:val="264"/>
        </w:trPr>
        <w:tc>
          <w:tcPr>
            <w:tcW w:w="6280" w:type="dxa"/>
            <w:vAlign w:val="bottom"/>
            <w:gridSpan w:val="2"/>
          </w:tcPr>
          <w:p>
            <w:pPr>
              <w:ind w:left="180"/>
              <w:spacing w:after="0"/>
              <w:rPr>
                <w:sz w:val="20"/>
                <w:szCs w:val="20"/>
                <w:color w:val="auto"/>
              </w:rPr>
            </w:pPr>
            <w:r>
              <w:rPr>
                <w:rFonts w:ascii="Arial" w:cs="Arial" w:eastAsia="Arial" w:hAnsi="Arial"/>
                <w:sz w:val="14"/>
                <w:szCs w:val="14"/>
                <w:color w:val="auto"/>
              </w:rPr>
              <w:t>Marine segment</w:t>
            </w:r>
          </w:p>
        </w:tc>
        <w:tc>
          <w:tcPr>
            <w:tcW w:w="3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73.0</w:t>
            </w:r>
          </w:p>
        </w:tc>
      </w:tr>
      <w:tr>
        <w:trPr>
          <w:trHeight w:val="256"/>
        </w:trPr>
        <w:tc>
          <w:tcPr>
            <w:tcW w:w="61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41.0</w:t>
            </w:r>
          </w:p>
        </w:tc>
        <w:tc>
          <w:tcPr>
            <w:tcW w:w="14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85.0</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261.5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306.5</w:t>
            </w:r>
          </w:p>
        </w:tc>
      </w:tr>
      <w:tr>
        <w:trPr>
          <w:trHeight w:val="264"/>
        </w:trPr>
        <w:tc>
          <w:tcPr>
            <w:tcW w:w="6280" w:type="dxa"/>
            <w:vAlign w:val="bottom"/>
            <w:gridSpan w:val="2"/>
          </w:tcPr>
          <w:p>
            <w:pPr>
              <w:ind w:left="180"/>
              <w:spacing w:after="0"/>
              <w:rPr>
                <w:sz w:val="20"/>
                <w:szCs w:val="20"/>
                <w:color w:val="auto"/>
              </w:rPr>
            </w:pPr>
            <w:r>
              <w:rPr>
                <w:rFonts w:ascii="Arial" w:cs="Arial" w:eastAsia="Arial" w:hAnsi="Arial"/>
                <w:sz w:val="14"/>
                <w:szCs w:val="14"/>
                <w:color w:val="auto"/>
              </w:rPr>
              <w:t>Corporate overhead - unallocated</w:t>
            </w:r>
          </w:p>
        </w:tc>
        <w:tc>
          <w:tcPr>
            <w:tcW w:w="3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(17.0)</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(60.9)</w:t>
            </w:r>
          </w:p>
        </w:tc>
      </w:tr>
      <w:tr>
        <w:trPr>
          <w:trHeight w:val="237"/>
        </w:trPr>
        <w:tc>
          <w:tcPr>
            <w:tcW w:w="616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245.7</w:t>
            </w: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VOLUME SUPPLEMENTAL INFORMATION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 - 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For the Three Months Ended</w:t>
            </w:r>
          </w:p>
        </w:tc>
        <w:tc>
          <w:tcPr>
            <w:tcW w:w="248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For the Twelve Months Ended</w:t>
            </w:r>
          </w:p>
        </w:tc>
      </w:tr>
      <w:tr>
        <w:trPr>
          <w:trHeight w:val="276"/>
        </w:trPr>
        <w:tc>
          <w:tcPr>
            <w:tcW w:w="6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61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Volume (Gallons):</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r>
      <w:tr>
        <w:trPr>
          <w:trHeight w:val="256"/>
        </w:trPr>
        <w:tc>
          <w:tcPr>
            <w:tcW w:w="62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Aviation Segment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1,884.4</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1,646.6</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7,126.9</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6,341.9</w:t>
            </w:r>
          </w:p>
        </w:tc>
      </w:tr>
      <w:tr>
        <w:trPr>
          <w:trHeight w:val="264"/>
        </w:trPr>
        <w:tc>
          <w:tcPr>
            <w:tcW w:w="6280" w:type="dxa"/>
            <w:vAlign w:val="bottom"/>
            <w:gridSpan w:val="2"/>
          </w:tcPr>
          <w:p>
            <w:pPr>
              <w:ind w:left="280"/>
              <w:spacing w:after="0"/>
              <w:rPr>
                <w:sz w:val="20"/>
                <w:szCs w:val="20"/>
                <w:color w:val="auto"/>
              </w:rPr>
            </w:pPr>
            <w:r>
              <w:rPr>
                <w:rFonts w:ascii="Arial" w:cs="Arial" w:eastAsia="Arial" w:hAnsi="Arial"/>
                <w:sz w:val="14"/>
                <w:szCs w:val="14"/>
                <w:color w:val="auto"/>
              </w:rPr>
              <w:t>Land Segment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1,487.3</w:t>
            </w:r>
          </w:p>
        </w:tc>
        <w:tc>
          <w:tcPr>
            <w:tcW w:w="12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1,382.1</w:t>
            </w:r>
          </w:p>
        </w:tc>
        <w:tc>
          <w:tcPr>
            <w:tcW w:w="1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5,366.0</w:t>
            </w:r>
          </w:p>
        </w:tc>
        <w:tc>
          <w:tcPr>
            <w:tcW w:w="12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4,932.7</w:t>
            </w:r>
          </w:p>
        </w:tc>
      </w:tr>
      <w:tr>
        <w:trPr>
          <w:trHeight w:val="270"/>
        </w:trPr>
        <w:tc>
          <w:tcPr>
            <w:tcW w:w="61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 xml:space="preserve">Marine Segment </w:t>
            </w:r>
            <w:r>
              <w:rPr>
                <w:rFonts w:ascii="Arial" w:cs="Arial" w:eastAsia="Arial" w:hAnsi="Arial"/>
                <w:sz w:val="8"/>
                <w:szCs w:val="8"/>
                <w:color w:val="auto"/>
              </w:rPr>
              <w:t>(1)</w:t>
            </w:r>
          </w:p>
        </w:tc>
        <w:tc>
          <w:tcPr>
            <w:tcW w:w="12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2,015.6</w:t>
            </w:r>
          </w:p>
        </w:tc>
        <w:tc>
          <w:tcPr>
            <w:tcW w:w="12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2,116.9</w:t>
            </w:r>
          </w:p>
        </w:tc>
        <w:tc>
          <w:tcPr>
            <w:tcW w:w="10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8,278.5</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8,619.0</w:t>
            </w:r>
          </w:p>
        </w:tc>
      </w:tr>
      <w:tr>
        <w:trPr>
          <w:trHeight w:val="237"/>
        </w:trPr>
        <w:tc>
          <w:tcPr>
            <w:tcW w:w="6280" w:type="dxa"/>
            <w:vAlign w:val="bottom"/>
            <w:gridSpan w:val="2"/>
          </w:tcPr>
          <w:p>
            <w:pPr>
              <w:ind w:left="280"/>
              <w:spacing w:after="0"/>
              <w:rPr>
                <w:sz w:val="20"/>
                <w:szCs w:val="20"/>
                <w:color w:val="auto"/>
              </w:rPr>
            </w:pPr>
            <w:r>
              <w:rPr>
                <w:rFonts w:ascii="Arial" w:cs="Arial" w:eastAsia="Arial" w:hAnsi="Arial"/>
                <w:sz w:val="14"/>
                <w:szCs w:val="14"/>
                <w:color w:val="auto"/>
              </w:rPr>
              <w:t>Consolidated Total</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5,387.4</w:t>
            </w:r>
          </w:p>
        </w:tc>
        <w:tc>
          <w:tcPr>
            <w:tcW w:w="120" w:type="dxa"/>
            <w:vAlign w:val="bottom"/>
          </w:tcPr>
          <w:p>
            <w:pPr>
              <w:spacing w:after="0"/>
              <w:rPr>
                <w:sz w:val="20"/>
                <w:szCs w:val="20"/>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5,145.5</w:t>
            </w:r>
          </w:p>
        </w:tc>
        <w:tc>
          <w:tcPr>
            <w:tcW w:w="100" w:type="dxa"/>
            <w:vAlign w:val="bottom"/>
          </w:tcPr>
          <w:p>
            <w:pPr>
              <w:spacing w:after="0"/>
              <w:rPr>
                <w:sz w:val="20"/>
                <w:szCs w:val="20"/>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20,771.3</w:t>
            </w:r>
          </w:p>
        </w:tc>
        <w:tc>
          <w:tcPr>
            <w:tcW w:w="120" w:type="dxa"/>
            <w:vAlign w:val="bottom"/>
          </w:tcPr>
          <w:p>
            <w:pPr>
              <w:spacing w:after="0"/>
              <w:rPr>
                <w:sz w:val="20"/>
                <w:szCs w:val="20"/>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19,893.7</w:t>
            </w:r>
          </w:p>
        </w:tc>
      </w:tr>
      <w:tr>
        <w:trPr>
          <w:trHeight w:val="20"/>
        </w:trPr>
        <w:tc>
          <w:tcPr>
            <w:tcW w:w="6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Converted from metric tons to gallons at a rate of 264 gallons per metric ton. Marine segment metric tons were 7.6 and 31.4 for the three and twelve months ended December 31, 2016.</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World Fuel Services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Ira M Birns, 305-428-8000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&amp;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Glenn Klevitz, 305-428-8000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Assistant Treasurer</w:t>
      </w:r>
    </w:p>
    <w:sectPr>
      <w:pgSz w:w="11900" w:h="16838" w:orient="portrait"/>
      <w:cols w:equalWidth="0" w:num="1">
        <w:col w:w="11400"/>
      </w:cols>
      <w:pgMar w:left="240" w:top="79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2019-12-05T13:52:33Z</dcterms:created>
  <dcterms:modified xsi:type="dcterms:W3CDTF">2019-12-05T13:52:33Z</dcterms:modified>
</cp:coreProperties>
</file>