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10, 2013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WORLD FUEL SERVICES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57" w:orient="portrait"/>
          <w:cols w:equalWidth="0" w:num="1">
            <w:col w:w="11420"/>
          </w:cols>
          <w:pgMar w:left="240" w:top="544" w:right="239" w:bottom="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1-9533</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57" w:orient="portrait"/>
          <w:cols w:equalWidth="0" w:num="3">
            <w:col w:w="4520" w:space="720"/>
            <w:col w:w="2960" w:space="720"/>
            <w:col w:w="2500"/>
          </w:cols>
          <w:pgMar w:left="240" w:top="544" w:right="23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9800 N.W. 41</w:t>
      </w:r>
      <w:r>
        <w:rPr>
          <w:rFonts w:ascii="Arial" w:cs="Arial" w:eastAsia="Arial" w:hAnsi="Arial"/>
          <w:sz w:val="11"/>
          <w:szCs w:val="11"/>
          <w:b w:val="1"/>
          <w:bCs w:val="1"/>
          <w:color w:val="auto"/>
        </w:rPr>
        <w:t>st</w:t>
      </w:r>
      <w:r>
        <w:rPr>
          <w:rFonts w:ascii="Arial" w:cs="Arial" w:eastAsia="Arial" w:hAnsi="Arial"/>
          <w:sz w:val="18"/>
          <w:szCs w:val="18"/>
          <w:b w:val="1"/>
          <w:bCs w:val="1"/>
          <w:color w:val="auto"/>
        </w:rPr>
        <w:t xml:space="preserve"> Street, Suite 400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Miami, Florida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57" w:orient="portrait"/>
          <w:cols w:equalWidth="0" w:num="2">
            <w:col w:w="7500" w:space="720"/>
            <w:col w:w="3200"/>
          </w:cols>
          <w:pgMar w:left="240" w:top="544"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00" w:hanging="168"/>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160" w:firstLine="648"/>
        <w:spacing w:after="0" w:line="255" w:lineRule="auto"/>
        <w:rPr>
          <w:sz w:val="20"/>
          <w:szCs w:val="20"/>
          <w:color w:val="auto"/>
        </w:rPr>
      </w:pPr>
      <w:r>
        <w:rPr>
          <w:rFonts w:ascii="Arial" w:cs="Arial" w:eastAsia="Arial" w:hAnsi="Arial"/>
          <w:sz w:val="18"/>
          <w:szCs w:val="18"/>
          <w:color w:val="auto"/>
        </w:rPr>
        <w:t>On October 10, 2013, World Fuel Services Corporation (“World Fuel”) amended and restated its existing third amended and restated credit agreement dated as of September 8, 2010 (as amended by that certain Amendment No. 1 to Credit Agreement dated July 28, 2011 and that certain Amendment No. 2 to Credit Agreement and Joinder Agreement dated as of April 10, 2012, the “Original Agreement”) pursuant to a Fourth Amended and Restated Credit Agreement (the “Restated Agreement”) among World Fuel, World Fuel Services Europe, Ltd. (“World Fuel Europe”), a subsidiary of World Fuel, and World Fuel Services (Singapore) Pte Ltd (“World Fuel Singapore”), a subsidiary of World Fuel, as borrowers, Bank of America, N.A., as administrative agent, and the financial institutions named therein as lenders.</w:t>
      </w:r>
    </w:p>
    <w:p>
      <w:pPr>
        <w:spacing w:after="0" w:line="193" w:lineRule="exact"/>
        <w:rPr>
          <w:sz w:val="24"/>
          <w:szCs w:val="24"/>
          <w:color w:val="auto"/>
        </w:rPr>
      </w:pPr>
    </w:p>
    <w:p>
      <w:pPr>
        <w:ind w:right="180" w:firstLine="648"/>
        <w:spacing w:after="0" w:line="312" w:lineRule="auto"/>
        <w:rPr>
          <w:sz w:val="20"/>
          <w:szCs w:val="20"/>
          <w:color w:val="auto"/>
        </w:rPr>
      </w:pPr>
      <w:r>
        <w:rPr>
          <w:rFonts w:ascii="Arial" w:cs="Arial" w:eastAsia="Arial" w:hAnsi="Arial"/>
          <w:sz w:val="16"/>
          <w:szCs w:val="16"/>
          <w:color w:val="auto"/>
        </w:rPr>
        <w:t>The Restated Agreement provides for a senior revolving credit and term loan facility in favor of World Fuel, World Fuel Europe and World Fuel Singapore that is guaranteed by World Fuel and certain of its U.S. subsidiaries and, on a limited basis, by certain of its foreign subsidiaries, including World Fuel Europe and World Fuel Singapore. In addition, the credit facility is secured by a pledge of capital stock of certain subsidiaries of World Fuel.</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amendments to the Original Agreement include the following:</w:t>
      </w:r>
    </w:p>
    <w:p>
      <w:pPr>
        <w:spacing w:after="0" w:line="225" w:lineRule="exact"/>
        <w:rPr>
          <w:sz w:val="24"/>
          <w:szCs w:val="24"/>
          <w:color w:val="auto"/>
        </w:rPr>
      </w:pPr>
    </w:p>
    <w:p>
      <w:pPr>
        <w:ind w:left="1300" w:right="40" w:hanging="320"/>
        <w:spacing w:after="0" w:line="277"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size of the revolving credit facility was increased to $1.1 billion (which, upon the request of World Fuel and subject to the satisfaction of certain conditions, may be increased by an additional amount of up to $150 million);</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maturity date of the revolving credit and term loan facility was extended to October 10, 2018;</w:t>
      </w:r>
    </w:p>
    <w:p>
      <w:pPr>
        <w:spacing w:after="0" w:line="225" w:lineRule="exact"/>
        <w:rPr>
          <w:rFonts w:ascii="Arial" w:cs="Arial" w:eastAsia="Arial" w:hAnsi="Arial"/>
          <w:sz w:val="18"/>
          <w:szCs w:val="18"/>
          <w:color w:val="auto"/>
        </w:rPr>
      </w:pPr>
    </w:p>
    <w:p>
      <w:pPr>
        <w:ind w:left="1300" w:right="120" w:hanging="320"/>
        <w:spacing w:after="0" w:line="264"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new pricing level 5 was added for a consolidated total leverage ratio of greater than or equal to 4.0 to 1.0, such that the applicable rate for commitment fees, Eurodollar rate loans, standby letter of credit fees, base rate loans and bankers’ acceptances are now based upon the following pricing grid:</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Rate</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Pricing</w:t>
            </w:r>
          </w:p>
        </w:tc>
        <w:tc>
          <w:tcPr>
            <w:tcW w:w="2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Consolidated Total</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Commitment</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Eurodollar Rate Loans/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Base Rate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Bankers’</w:t>
            </w:r>
          </w:p>
        </w:tc>
      </w:tr>
      <w:tr>
        <w:trPr>
          <w:trHeight w:val="171"/>
        </w:trPr>
        <w:tc>
          <w:tcPr>
            <w:tcW w:w="2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Level</w:t>
            </w:r>
          </w:p>
        </w:tc>
        <w:tc>
          <w:tcPr>
            <w:tcW w:w="280" w:type="dxa"/>
            <w:vAlign w:val="bottom"/>
            <w:tcBorders>
              <w:bottom w:val="single" w:sz="8" w:color="CCEEFF"/>
            </w:tcBorders>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w:t>
            </w:r>
          </w:p>
        </w:tc>
        <w:tc>
          <w:tcPr>
            <w:tcW w:w="28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Standby Letters of Credit</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Acceptances</w:t>
            </w:r>
          </w:p>
        </w:tc>
        <w:tc>
          <w:tcPr>
            <w:tcW w:w="160" w:type="dxa"/>
            <w:vAlign w:val="bottom"/>
            <w:tcBorders>
              <w:bottom w:val="single" w:sz="8" w:color="CCEEFF"/>
            </w:tcBorders>
          </w:tcPr>
          <w:p>
            <w:pPr>
              <w:spacing w:after="0"/>
              <w:rPr>
                <w:sz w:val="14"/>
                <w:szCs w:val="14"/>
                <w:color w:val="auto"/>
              </w:rPr>
            </w:pPr>
          </w:p>
        </w:tc>
      </w:tr>
      <w:tr>
        <w:trPr>
          <w:trHeight w:val="210"/>
        </w:trPr>
        <w:tc>
          <w:tcPr>
            <w:tcW w:w="212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&lt; 1.00:1</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bl>
    <w:p>
      <w:pPr>
        <w:sectPr>
          <w:pgSz w:w="11900" w:h="16857" w:orient="portrait"/>
          <w:cols w:equalWidth="0" w:num="1">
            <w:col w:w="11420"/>
          </w:cols>
          <w:pgMar w:left="240" w:top="544" w:right="239" w:bottom="0" w:gutter="0" w:footer="0" w:header="0"/>
          <w:type w:val="continuous"/>
        </w:sectPr>
      </w:pPr>
    </w:p>
    <w:bookmarkStart w:id="1" w:name="page2"/>
    <w:bookmarkEnd w:id="1"/>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jc w:val="right"/>
              <w:ind w:right="1690"/>
              <w:spacing w:after="0"/>
              <w:rPr>
                <w:sz w:val="20"/>
                <w:szCs w:val="20"/>
                <w:color w:val="auto"/>
              </w:rPr>
            </w:pPr>
            <w:r>
              <w:rPr>
                <w:rFonts w:ascii="Arial" w:cs="Arial" w:eastAsia="Arial" w:hAnsi="Arial"/>
                <w:sz w:val="18"/>
                <w:szCs w:val="18"/>
                <w:color w:val="auto"/>
              </w:rPr>
              <w:t>2</w:t>
            </w:r>
          </w:p>
        </w:tc>
        <w:tc>
          <w:tcPr>
            <w:tcW w:w="2320" w:type="dxa"/>
            <w:vAlign w:val="bottom"/>
            <w:gridSpan w:val="6"/>
          </w:tcPr>
          <w:p>
            <w:pPr>
              <w:jc w:val="center"/>
              <w:ind w:right="800"/>
              <w:spacing w:after="0"/>
              <w:rPr>
                <w:sz w:val="20"/>
                <w:szCs w:val="20"/>
                <w:color w:val="auto"/>
              </w:rPr>
            </w:pPr>
            <w:r>
              <w:rPr>
                <w:rFonts w:ascii="Arial" w:cs="Arial" w:eastAsia="Arial" w:hAnsi="Arial"/>
                <w:sz w:val="18"/>
                <w:szCs w:val="18"/>
                <w:color w:val="auto"/>
                <w:w w:val="91"/>
              </w:rPr>
              <w:t>&gt; 1.00:1 but &lt; 2.00:1</w:t>
            </w:r>
          </w:p>
        </w:tc>
        <w:tc>
          <w:tcPr>
            <w:tcW w:w="2200" w:type="dxa"/>
            <w:vAlign w:val="bottom"/>
          </w:tcPr>
          <w:p>
            <w:pPr>
              <w:jc w:val="right"/>
              <w:ind w:right="850"/>
              <w:spacing w:after="0"/>
              <w:rPr>
                <w:sz w:val="20"/>
                <w:szCs w:val="20"/>
                <w:color w:val="auto"/>
              </w:rPr>
            </w:pPr>
            <w:r>
              <w:rPr>
                <w:rFonts w:ascii="Arial" w:cs="Arial" w:eastAsia="Arial" w:hAnsi="Arial"/>
                <w:sz w:val="18"/>
                <w:szCs w:val="18"/>
                <w:color w:val="auto"/>
              </w:rPr>
              <w:t>0.25%</w:t>
            </w:r>
          </w:p>
        </w:tc>
        <w:tc>
          <w:tcPr>
            <w:tcW w:w="1760" w:type="dxa"/>
            <w:vAlign w:val="bottom"/>
          </w:tcPr>
          <w:p>
            <w:pPr>
              <w:jc w:val="right"/>
              <w:ind w:right="270"/>
              <w:spacing w:after="0"/>
              <w:rPr>
                <w:sz w:val="20"/>
                <w:szCs w:val="20"/>
                <w:color w:val="auto"/>
              </w:rPr>
            </w:pPr>
            <w:r>
              <w:rPr>
                <w:rFonts w:ascii="Arial" w:cs="Arial" w:eastAsia="Arial" w:hAnsi="Arial"/>
                <w:sz w:val="18"/>
                <w:szCs w:val="18"/>
                <w:color w:val="auto"/>
              </w:rPr>
              <w:t>2.00%</w:t>
            </w: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1.00%</w:t>
            </w: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
        </w:trPr>
        <w:tc>
          <w:tcPr>
            <w:tcW w:w="2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6"/>
        </w:trPr>
        <w:tc>
          <w:tcPr>
            <w:tcW w:w="2880" w:type="dxa"/>
            <w:vAlign w:val="bottom"/>
            <w:shd w:val="clear" w:color="auto" w:fill="CCEEFF"/>
          </w:tcPr>
          <w:p>
            <w:pPr>
              <w:jc w:val="right"/>
              <w:ind w:right="1690"/>
              <w:spacing w:after="0" w:line="176" w:lineRule="exact"/>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5"/>
                <w:szCs w:val="15"/>
                <w:color w:val="auto"/>
              </w:rPr>
            </w:pPr>
          </w:p>
        </w:tc>
        <w:tc>
          <w:tcPr>
            <w:tcW w:w="2300" w:type="dxa"/>
            <w:vAlign w:val="bottom"/>
            <w:gridSpan w:val="5"/>
            <w:shd w:val="clear" w:color="auto" w:fill="CCEEFF"/>
          </w:tcPr>
          <w:p>
            <w:pPr>
              <w:jc w:val="center"/>
              <w:ind w:right="820"/>
              <w:spacing w:after="0" w:line="176" w:lineRule="exact"/>
              <w:rPr>
                <w:sz w:val="20"/>
                <w:szCs w:val="20"/>
                <w:color w:val="auto"/>
              </w:rPr>
            </w:pPr>
            <w:r>
              <w:rPr>
                <w:rFonts w:ascii="Arial" w:cs="Arial" w:eastAsia="Arial" w:hAnsi="Arial"/>
                <w:sz w:val="18"/>
                <w:szCs w:val="18"/>
                <w:color w:val="auto"/>
                <w:w w:val="91"/>
              </w:rPr>
              <w:t>&gt;2.00:1 but &lt; 3.00:1</w:t>
            </w:r>
          </w:p>
        </w:tc>
        <w:tc>
          <w:tcPr>
            <w:tcW w:w="2200" w:type="dxa"/>
            <w:vAlign w:val="bottom"/>
            <w:shd w:val="clear" w:color="auto" w:fill="CCEEFF"/>
          </w:tcPr>
          <w:p>
            <w:pPr>
              <w:jc w:val="right"/>
              <w:ind w:right="850"/>
              <w:spacing w:after="0" w:line="176" w:lineRule="exact"/>
              <w:rPr>
                <w:sz w:val="20"/>
                <w:szCs w:val="20"/>
                <w:color w:val="auto"/>
              </w:rPr>
            </w:pPr>
            <w:r>
              <w:rPr>
                <w:rFonts w:ascii="Arial" w:cs="Arial" w:eastAsia="Arial" w:hAnsi="Arial"/>
                <w:sz w:val="18"/>
                <w:szCs w:val="18"/>
                <w:color w:val="auto"/>
              </w:rPr>
              <w:t>0.30%</w:t>
            </w:r>
          </w:p>
        </w:tc>
        <w:tc>
          <w:tcPr>
            <w:tcW w:w="176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2.25%</w:t>
            </w:r>
          </w:p>
        </w:tc>
        <w:tc>
          <w:tcPr>
            <w:tcW w:w="130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1.25%</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2.00%</w:t>
            </w:r>
          </w:p>
        </w:tc>
      </w:tr>
      <w:tr>
        <w:trPr>
          <w:trHeight w:val="21"/>
        </w:trPr>
        <w:tc>
          <w:tcPr>
            <w:tcW w:w="2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880" w:type="dxa"/>
            <w:vAlign w:val="bottom"/>
          </w:tcPr>
          <w:p>
            <w:pPr>
              <w:jc w:val="right"/>
              <w:ind w:right="1690"/>
              <w:spacing w:after="0" w:line="176" w:lineRule="exact"/>
              <w:rPr>
                <w:sz w:val="20"/>
                <w:szCs w:val="20"/>
                <w:color w:val="auto"/>
              </w:rPr>
            </w:pPr>
            <w:r>
              <w:rPr>
                <w:rFonts w:ascii="Arial" w:cs="Arial" w:eastAsia="Arial" w:hAnsi="Arial"/>
                <w:sz w:val="18"/>
                <w:szCs w:val="18"/>
                <w:color w:val="auto"/>
              </w:rPr>
              <w:t>4</w:t>
            </w:r>
          </w:p>
        </w:tc>
        <w:tc>
          <w:tcPr>
            <w:tcW w:w="2320" w:type="dxa"/>
            <w:vAlign w:val="bottom"/>
            <w:gridSpan w:val="6"/>
          </w:tcPr>
          <w:p>
            <w:pPr>
              <w:jc w:val="center"/>
              <w:ind w:right="800"/>
              <w:spacing w:after="0" w:line="176" w:lineRule="exact"/>
              <w:rPr>
                <w:sz w:val="20"/>
                <w:szCs w:val="20"/>
                <w:color w:val="auto"/>
              </w:rPr>
            </w:pPr>
            <w:r>
              <w:rPr>
                <w:rFonts w:ascii="Arial" w:cs="Arial" w:eastAsia="Arial" w:hAnsi="Arial"/>
                <w:sz w:val="18"/>
                <w:szCs w:val="18"/>
                <w:color w:val="auto"/>
                <w:w w:val="91"/>
              </w:rPr>
              <w:t>&gt; 3.00:1 but &lt; 4.00:1</w:t>
            </w:r>
          </w:p>
        </w:tc>
        <w:tc>
          <w:tcPr>
            <w:tcW w:w="2200" w:type="dxa"/>
            <w:vAlign w:val="bottom"/>
          </w:tcPr>
          <w:p>
            <w:pPr>
              <w:jc w:val="right"/>
              <w:ind w:right="850"/>
              <w:spacing w:after="0" w:line="176" w:lineRule="exact"/>
              <w:rPr>
                <w:sz w:val="20"/>
                <w:szCs w:val="20"/>
                <w:color w:val="auto"/>
              </w:rPr>
            </w:pPr>
            <w:r>
              <w:rPr>
                <w:rFonts w:ascii="Arial" w:cs="Arial" w:eastAsia="Arial" w:hAnsi="Arial"/>
                <w:sz w:val="18"/>
                <w:szCs w:val="18"/>
                <w:color w:val="auto"/>
              </w:rPr>
              <w:t>0.35%</w:t>
            </w:r>
          </w:p>
        </w:tc>
        <w:tc>
          <w:tcPr>
            <w:tcW w:w="176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2.50%</w:t>
            </w:r>
          </w:p>
        </w:tc>
        <w:tc>
          <w:tcPr>
            <w:tcW w:w="1300" w:type="dxa"/>
            <w:vAlign w:val="bottom"/>
          </w:tcPr>
          <w:p>
            <w:pPr>
              <w:jc w:val="right"/>
              <w:ind w:right="390"/>
              <w:spacing w:after="0" w:line="176" w:lineRule="exact"/>
              <w:rPr>
                <w:sz w:val="20"/>
                <w:szCs w:val="20"/>
                <w:color w:val="auto"/>
              </w:rPr>
            </w:pPr>
            <w:r>
              <w:rPr>
                <w:rFonts w:ascii="Arial" w:cs="Arial" w:eastAsia="Arial" w:hAnsi="Arial"/>
                <w:sz w:val="18"/>
                <w:szCs w:val="18"/>
                <w:color w:val="auto"/>
              </w:rPr>
              <w:t>1.50%</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2.25%</w:t>
            </w:r>
          </w:p>
        </w:tc>
      </w:tr>
      <w:tr>
        <w:trPr>
          <w:trHeight w:val="21"/>
        </w:trPr>
        <w:tc>
          <w:tcPr>
            <w:tcW w:w="2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6"/>
        </w:trPr>
        <w:tc>
          <w:tcPr>
            <w:tcW w:w="2880" w:type="dxa"/>
            <w:vAlign w:val="bottom"/>
            <w:shd w:val="clear" w:color="auto" w:fill="CCEEFF"/>
          </w:tcPr>
          <w:p>
            <w:pPr>
              <w:jc w:val="right"/>
              <w:ind w:right="1690"/>
              <w:spacing w:after="0" w:line="176" w:lineRule="exact"/>
              <w:rPr>
                <w:sz w:val="20"/>
                <w:szCs w:val="20"/>
                <w:color w:val="auto"/>
              </w:rPr>
            </w:pPr>
            <w:r>
              <w:rPr>
                <w:rFonts w:ascii="Arial" w:cs="Arial" w:eastAsia="Arial" w:hAnsi="Arial"/>
                <w:sz w:val="18"/>
                <w:szCs w:val="18"/>
                <w:color w:val="auto"/>
              </w:rPr>
              <w:t>5</w:t>
            </w:r>
          </w:p>
        </w:tc>
        <w:tc>
          <w:tcPr>
            <w:tcW w:w="2320" w:type="dxa"/>
            <w:vAlign w:val="bottom"/>
            <w:gridSpan w:val="6"/>
            <w:shd w:val="clear" w:color="auto" w:fill="CCEEFF"/>
          </w:tcPr>
          <w:p>
            <w:pPr>
              <w:jc w:val="center"/>
              <w:ind w:right="800"/>
              <w:spacing w:after="0" w:line="176" w:lineRule="exact"/>
              <w:rPr>
                <w:sz w:val="20"/>
                <w:szCs w:val="20"/>
                <w:color w:val="auto"/>
              </w:rPr>
            </w:pPr>
            <w:r>
              <w:rPr>
                <w:rFonts w:ascii="Arial" w:cs="Arial" w:eastAsia="Arial" w:hAnsi="Arial"/>
                <w:sz w:val="18"/>
                <w:szCs w:val="18"/>
                <w:color w:val="auto"/>
                <w:w w:val="91"/>
              </w:rPr>
              <w:t>&gt; 4.00:1</w:t>
            </w:r>
          </w:p>
        </w:tc>
        <w:tc>
          <w:tcPr>
            <w:tcW w:w="2200" w:type="dxa"/>
            <w:vAlign w:val="bottom"/>
            <w:shd w:val="clear" w:color="auto" w:fill="CCEEFF"/>
          </w:tcPr>
          <w:p>
            <w:pPr>
              <w:jc w:val="right"/>
              <w:ind w:right="850"/>
              <w:spacing w:after="0" w:line="176" w:lineRule="exact"/>
              <w:rPr>
                <w:sz w:val="20"/>
                <w:szCs w:val="20"/>
                <w:color w:val="auto"/>
              </w:rPr>
            </w:pPr>
            <w:r>
              <w:rPr>
                <w:rFonts w:ascii="Arial" w:cs="Arial" w:eastAsia="Arial" w:hAnsi="Arial"/>
                <w:sz w:val="18"/>
                <w:szCs w:val="18"/>
                <w:color w:val="auto"/>
              </w:rPr>
              <w:t>0.40%</w:t>
            </w:r>
          </w:p>
        </w:tc>
        <w:tc>
          <w:tcPr>
            <w:tcW w:w="176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2.75%</w:t>
            </w:r>
          </w:p>
        </w:tc>
        <w:tc>
          <w:tcPr>
            <w:tcW w:w="130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1.75%</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2.50%</w:t>
            </w:r>
          </w:p>
        </w:tc>
      </w:tr>
      <w:tr>
        <w:trPr>
          <w:trHeight w:val="21"/>
        </w:trPr>
        <w:tc>
          <w:tcPr>
            <w:tcW w:w="2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300" w:right="300" w:hanging="320"/>
        <w:spacing w:after="0" w:line="277"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covenant requiring World Fuel to maintain a consolidated total leverage ratio (a ratio of consolidated funded indebtedness to consolidated EBITDA) not exceeding 3.50 to 1.00 was increased to 4.50 to 1.00;</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20" w:hanging="320"/>
        <w:spacing w:after="0" w:line="308" w:lineRule="auto"/>
        <w:tabs>
          <w:tab w:leader="none" w:pos="1264" w:val="left"/>
        </w:tabs>
        <w:numPr>
          <w:ilvl w:val="0"/>
          <w:numId w:val="4"/>
        </w:numPr>
        <w:rPr>
          <w:rFonts w:ascii="Arial" w:cs="Arial" w:eastAsia="Arial" w:hAnsi="Arial"/>
          <w:sz w:val="17"/>
          <w:szCs w:val="17"/>
          <w:color w:val="auto"/>
        </w:rPr>
      </w:pPr>
      <w:r>
        <w:rPr>
          <w:rFonts w:ascii="Arial" w:cs="Arial" w:eastAsia="Arial" w:hAnsi="Arial"/>
          <w:sz w:val="17"/>
          <w:szCs w:val="17"/>
          <w:color w:val="auto"/>
        </w:rPr>
        <w:t>a new financial covenant was added requiring World Fuel to maintain a consolidated senior leverage ratio (a ratio of consolidated funded indebtedness exclusive of subordinated indebtedness to consolidated EBITDA) not exceeding 3.75 to 1.00; and</w:t>
      </w:r>
    </w:p>
    <w:p>
      <w:pPr>
        <w:spacing w:after="0" w:line="146" w:lineRule="exact"/>
        <w:rPr>
          <w:rFonts w:ascii="Arial" w:cs="Arial" w:eastAsia="Arial" w:hAnsi="Arial"/>
          <w:sz w:val="17"/>
          <w:szCs w:val="17"/>
          <w:color w:val="auto"/>
        </w:rPr>
      </w:pPr>
    </w:p>
    <w:p>
      <w:pPr>
        <w:ind w:left="1300" w:right="60" w:hanging="320"/>
        <w:spacing w:after="0" w:line="264" w:lineRule="auto"/>
        <w:tabs>
          <w:tab w:leader="none" w:pos="12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covenants were revised to provide that up to $100 million of outstanding face amount of standby letters of credit will be excluded from the calculation of consolidated funded indebtedness for purposes of the consolidated total leverage ratio and the consolidated senior leverage ratio.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Proceeds of the revolving credit and term loan facility may be used for working capital needs and general corporate purposes.</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above description of certain terms and conditions of the Restated Agreement is qualified in its entirety by reference to the full text of the Restated Agreement, a copy of which is filed as Exhibit 10.1 to this Current Report on Form 8-K and is incorporated herein by reference.</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Certain of the lenders party to the Restated Agreement and their respective affiliates have, from time to time, performed, and may in the future perform, various financial advisory, commercial banking and investment banking services for World Fuel, for which they received or will receive customary fees and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above in Item 1.01 of this Form 8-K is incorporated herein by reference.</w:t>
      </w:r>
    </w:p>
    <w:p>
      <w:pPr>
        <w:spacing w:after="0" w:line="22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On October 10, 2013, World Fuel issued a press release announcing the Restated Agreement. A copy of the press release is attached hereto as Exhibit 99.1.</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information in this Item 7.01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660" w:type="dxa"/>
            <w:vAlign w:val="bottom"/>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6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52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Fourth Amended and Restated Credit Agreement, dated as of October 10,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60" w:type="dxa"/>
            <w:vAlign w:val="bottom"/>
          </w:tcPr>
          <w:p>
            <w:pPr>
              <w:ind w:left="39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5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60" w:type="dxa"/>
            <w:vAlign w:val="bottom"/>
          </w:tcPr>
          <w:p>
            <w:pPr>
              <w:spacing w:after="0"/>
              <w:rPr>
                <w:sz w:val="20"/>
                <w:szCs w:val="20"/>
                <w:color w:val="auto"/>
              </w:rPr>
            </w:pPr>
            <w:r>
              <w:rPr>
                <w:rFonts w:ascii="Arial" w:cs="Arial" w:eastAsia="Arial" w:hAnsi="Arial"/>
                <w:sz w:val="18"/>
                <w:szCs w:val="18"/>
                <w:color w:val="auto"/>
                <w:w w:val="97"/>
              </w:rPr>
              <w:t>among World Fuel Services Corporation, World Fuel Services Europe, Ltd. and World Fuel Services (Singapore) Pte Ltd, as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borrowers, Bank of America, N.A., as administrative agent, and the financial institutions named therein as lenders.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Pr>
          <w:p>
            <w:pPr>
              <w:jc w:val="right"/>
              <w:ind w:right="519"/>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Press release, dated October 10,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60" w:type="dxa"/>
            <w:vAlign w:val="bottom"/>
          </w:tcPr>
          <w:p>
            <w:pPr>
              <w:ind w:left="39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5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-1306830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-1306830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11, 2013</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ectPr>
          <w:pgSz w:w="11900" w:h="16848" w:orient="portrait"/>
          <w:cols w:equalWidth="0" w:num="1">
            <w:col w:w="11460"/>
          </w:cols>
          <w:pgMar w:left="240" w:top="108" w:right="199" w:bottom="0" w:gutter="0" w:footer="0" w:header="0"/>
        </w:sectPr>
      </w:pPr>
    </w:p>
    <w:bookmarkStart w:id="2" w:name="page3"/>
    <w:bookmarkEnd w:id="2"/>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gridSpan w:val="3"/>
          </w:tcPr>
          <w:p>
            <w:pPr>
              <w:ind w:left="3300"/>
              <w:spacing w:after="0"/>
              <w:rPr>
                <w:sz w:val="20"/>
                <w:szCs w:val="20"/>
                <w:color w:val="auto"/>
              </w:rPr>
            </w:pPr>
            <w:r>
              <w:rPr>
                <w:rFonts w:ascii="Arial" w:cs="Arial" w:eastAsia="Arial" w:hAnsi="Arial"/>
                <w:sz w:val="18"/>
                <w:szCs w:val="18"/>
                <w:color w:val="auto"/>
              </w:rPr>
              <w:t>EXHIBIT INDEX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3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760" w:type="dxa"/>
            <w:vAlign w:val="bottom"/>
            <w:gridSpan w:val="2"/>
            <w:vMerge w:val="continue"/>
          </w:tcPr>
          <w:p>
            <w:pPr>
              <w:spacing w:after="0"/>
              <w:rPr>
                <w:sz w:val="24"/>
                <w:szCs w:val="24"/>
                <w:color w:val="auto"/>
              </w:rPr>
            </w:pPr>
          </w:p>
        </w:tc>
        <w:tc>
          <w:tcPr>
            <w:tcW w:w="3300" w:type="dxa"/>
            <w:vAlign w:val="bottom"/>
          </w:tcPr>
          <w:p>
            <w:pPr>
              <w:spacing w:after="0"/>
              <w:rPr>
                <w:sz w:val="24"/>
                <w:szCs w:val="24"/>
                <w:color w:val="auto"/>
              </w:rPr>
            </w:pPr>
          </w:p>
        </w:tc>
        <w:tc>
          <w:tcPr>
            <w:tcW w:w="636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tcPr>
          <w:p>
            <w:pPr>
              <w:spacing w:after="0"/>
              <w:rPr>
                <w:sz w:val="14"/>
                <w:szCs w:val="14"/>
                <w:color w:val="auto"/>
              </w:rPr>
            </w:pPr>
          </w:p>
        </w:tc>
        <w:tc>
          <w:tcPr>
            <w:tcW w:w="63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52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0"/>
              </w:rPr>
              <w:t>Fourth Amended and Restated Credit Agreement, dated as of October 10, 2013, among World Fuel Services Corporation, World Fuel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w w:val="93"/>
              </w:rPr>
              <w:t>Services Europe, Ltd. and World Fuel Services (Singapore) Pte Ltd, as borrowers, Bank of America, N.A., as administrative agent,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and the financial institutions named therein as lenders.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tcPr>
          <w:p>
            <w:pPr>
              <w:jc w:val="right"/>
              <w:ind w:right="519"/>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Press release, dated October 10,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2"/>
          </w:tcPr>
          <w:p>
            <w:pPr>
              <w:ind w:left="3900"/>
              <w:spacing w:after="0"/>
              <w:rPr>
                <w:sz w:val="20"/>
                <w:szCs w:val="20"/>
                <w:color w:val="auto"/>
              </w:rPr>
            </w:pPr>
            <w:r>
              <w:rPr>
                <w:rFonts w:ascii="Arial" w:cs="Arial" w:eastAsia="Arial" w:hAnsi="Arial"/>
                <w:sz w:val="18"/>
                <w:szCs w:val="18"/>
                <w:color w:val="auto"/>
              </w:rPr>
              <w:t>6</w:t>
            </w:r>
          </w:p>
        </w:tc>
        <w:tc>
          <w:tcPr>
            <w:tcW w:w="5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5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5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Deal: 98147GAD4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Revolver: 98147GAE2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Term Loan – US: 98147GAF9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Term Loan – Singapore: 98147GAG7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10,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Borrowing Agent and a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EUROPE, LTD.</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(SINGAPORE) PTE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as a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Swing Line Lender and L/C-BA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 SINGAPORE BRANCH,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Singapore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HSBC BANK USA, NATIONAL ASSOCIATION</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 and L/C-BA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ROYAL BANK OF SCOTLAND PLC, TD BANK, N.A.</w:t>
      </w:r>
      <w:r>
        <w:rPr>
          <w:rFonts w:ascii="Arial" w:cs="Arial" w:eastAsia="Arial" w:hAnsi="Arial"/>
          <w:sz w:val="18"/>
          <w:szCs w:val="18"/>
          <w:color w:val="auto"/>
        </w:rPr>
        <w: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Lenders Party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MERRILL LYNCH,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SECURITIES, LLC</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HSBC BANK USA, NATIONAL ASSOCIATION</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Joint Lead Arrangers and Joint Book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ARTICLE I.</w:t>
            </w:r>
          </w:p>
        </w:tc>
        <w:tc>
          <w:tcPr>
            <w:tcW w:w="9500" w:type="dxa"/>
            <w:vAlign w:val="bottom"/>
          </w:tcPr>
          <w:p>
            <w:pPr>
              <w:ind w:left="480"/>
              <w:spacing w:after="0"/>
              <w:rPr>
                <w:sz w:val="20"/>
                <w:szCs w:val="20"/>
                <w:color w:val="auto"/>
              </w:rPr>
            </w:pPr>
            <w:r>
              <w:rPr>
                <w:rFonts w:ascii="Arial" w:cs="Arial" w:eastAsia="Arial" w:hAnsi="Arial"/>
                <w:sz w:val="18"/>
                <w:szCs w:val="18"/>
                <w:color w:val="auto"/>
              </w:rPr>
              <w:t>DEFINITIONS AND ACCOUNTING TERMS</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20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9500" w:type="dxa"/>
            <w:vAlign w:val="bottom"/>
          </w:tcPr>
          <w:p>
            <w:pPr>
              <w:ind w:left="220"/>
              <w:spacing w:after="0"/>
              <w:rPr>
                <w:sz w:val="20"/>
                <w:szCs w:val="20"/>
                <w:color w:val="auto"/>
              </w:rPr>
            </w:pPr>
            <w:r>
              <w:rPr>
                <w:rFonts w:ascii="Arial" w:cs="Arial" w:eastAsia="Arial" w:hAnsi="Arial"/>
                <w:sz w:val="18"/>
                <w:szCs w:val="18"/>
                <w:color w:val="auto"/>
              </w:rPr>
              <w:t>Amendment and Restatement</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200" w:type="dxa"/>
            <w:vAlign w:val="bottom"/>
          </w:tcPr>
          <w:p>
            <w:pPr>
              <w:jc w:val="right"/>
              <w:ind w:right="250"/>
              <w:spacing w:after="0"/>
              <w:rPr>
                <w:sz w:val="20"/>
                <w:szCs w:val="20"/>
                <w:color w:val="auto"/>
              </w:rPr>
            </w:pPr>
            <w:r>
              <w:rPr>
                <w:rFonts w:ascii="Arial" w:cs="Arial" w:eastAsia="Arial" w:hAnsi="Arial"/>
                <w:sz w:val="18"/>
                <w:szCs w:val="18"/>
                <w:color w:val="auto"/>
              </w:rPr>
              <w:t>1.02</w:t>
            </w:r>
          </w:p>
        </w:tc>
        <w:tc>
          <w:tcPr>
            <w:tcW w:w="950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00" w:type="dxa"/>
            <w:vAlign w:val="bottom"/>
          </w:tcPr>
          <w:p>
            <w:pPr>
              <w:jc w:val="right"/>
              <w:ind w:right="250"/>
              <w:spacing w:after="0"/>
              <w:rPr>
                <w:sz w:val="20"/>
                <w:szCs w:val="20"/>
                <w:color w:val="auto"/>
              </w:rPr>
            </w:pPr>
            <w:r>
              <w:rPr>
                <w:rFonts w:ascii="Arial" w:cs="Arial" w:eastAsia="Arial" w:hAnsi="Arial"/>
                <w:sz w:val="18"/>
                <w:szCs w:val="18"/>
                <w:color w:val="auto"/>
              </w:rPr>
              <w:t>1.03</w:t>
            </w:r>
          </w:p>
        </w:tc>
        <w:tc>
          <w:tcPr>
            <w:tcW w:w="9500" w:type="dxa"/>
            <w:vAlign w:val="bottom"/>
          </w:tcPr>
          <w:p>
            <w:pPr>
              <w:ind w:left="220"/>
              <w:spacing w:after="0"/>
              <w:rPr>
                <w:sz w:val="20"/>
                <w:szCs w:val="20"/>
                <w:color w:val="auto"/>
              </w:rPr>
            </w:pPr>
            <w:r>
              <w:rPr>
                <w:rFonts w:ascii="Arial" w:cs="Arial" w:eastAsia="Arial" w:hAnsi="Arial"/>
                <w:sz w:val="18"/>
                <w:szCs w:val="18"/>
                <w:color w:val="auto"/>
              </w:rPr>
              <w:t>Other Interpretive Provisions</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9500" w:type="dxa"/>
            <w:vAlign w:val="bottom"/>
          </w:tcPr>
          <w:p>
            <w:pPr>
              <w:ind w:left="220"/>
              <w:spacing w:after="0"/>
              <w:rPr>
                <w:sz w:val="20"/>
                <w:szCs w:val="20"/>
                <w:color w:val="auto"/>
              </w:rPr>
            </w:pPr>
            <w:r>
              <w:rPr>
                <w:rFonts w:ascii="Arial" w:cs="Arial" w:eastAsia="Arial" w:hAnsi="Arial"/>
                <w:sz w:val="18"/>
                <w:szCs w:val="18"/>
                <w:color w:val="auto"/>
              </w:rPr>
              <w:t>Accounting Terms</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0" w:type="dxa"/>
            <w:vAlign w:val="bottom"/>
          </w:tcPr>
          <w:p>
            <w:pPr>
              <w:jc w:val="right"/>
              <w:ind w:right="250"/>
              <w:spacing w:after="0"/>
              <w:rPr>
                <w:sz w:val="20"/>
                <w:szCs w:val="20"/>
                <w:color w:val="auto"/>
              </w:rPr>
            </w:pPr>
            <w:r>
              <w:rPr>
                <w:rFonts w:ascii="Arial" w:cs="Arial" w:eastAsia="Arial" w:hAnsi="Arial"/>
                <w:sz w:val="18"/>
                <w:szCs w:val="18"/>
                <w:color w:val="auto"/>
              </w:rPr>
              <w:t>1.05</w:t>
            </w:r>
          </w:p>
        </w:tc>
        <w:tc>
          <w:tcPr>
            <w:tcW w:w="9500" w:type="dxa"/>
            <w:vAlign w:val="bottom"/>
          </w:tcPr>
          <w:p>
            <w:pPr>
              <w:ind w:left="220"/>
              <w:spacing w:after="0"/>
              <w:rPr>
                <w:sz w:val="20"/>
                <w:szCs w:val="20"/>
                <w:color w:val="auto"/>
              </w:rPr>
            </w:pPr>
            <w:r>
              <w:rPr>
                <w:rFonts w:ascii="Arial" w:cs="Arial" w:eastAsia="Arial" w:hAnsi="Arial"/>
                <w:sz w:val="18"/>
                <w:szCs w:val="18"/>
                <w:color w:val="auto"/>
              </w:rPr>
              <w:t>Rounding</w:t>
            </w: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00" w:type="dxa"/>
            <w:vAlign w:val="bottom"/>
          </w:tcPr>
          <w:p>
            <w:pPr>
              <w:jc w:val="right"/>
              <w:ind w:right="250"/>
              <w:spacing w:after="0"/>
              <w:rPr>
                <w:sz w:val="20"/>
                <w:szCs w:val="20"/>
                <w:color w:val="auto"/>
              </w:rPr>
            </w:pPr>
            <w:r>
              <w:rPr>
                <w:rFonts w:ascii="Arial" w:cs="Arial" w:eastAsia="Arial" w:hAnsi="Arial"/>
                <w:sz w:val="18"/>
                <w:szCs w:val="18"/>
                <w:color w:val="auto"/>
              </w:rPr>
              <w:t>1.06</w:t>
            </w:r>
          </w:p>
        </w:tc>
        <w:tc>
          <w:tcPr>
            <w:tcW w:w="9500" w:type="dxa"/>
            <w:vAlign w:val="bottom"/>
          </w:tcPr>
          <w:p>
            <w:pPr>
              <w:ind w:left="220"/>
              <w:spacing w:after="0"/>
              <w:rPr>
                <w:sz w:val="20"/>
                <w:szCs w:val="20"/>
                <w:color w:val="auto"/>
              </w:rPr>
            </w:pPr>
            <w:r>
              <w:rPr>
                <w:rFonts w:ascii="Arial" w:cs="Arial" w:eastAsia="Arial" w:hAnsi="Arial"/>
                <w:sz w:val="18"/>
                <w:szCs w:val="18"/>
                <w:color w:val="auto"/>
              </w:rPr>
              <w:t>Times of Day</w:t>
            </w: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00" w:type="dxa"/>
            <w:vAlign w:val="bottom"/>
          </w:tcPr>
          <w:p>
            <w:pPr>
              <w:jc w:val="right"/>
              <w:ind w:right="250"/>
              <w:spacing w:after="0"/>
              <w:rPr>
                <w:sz w:val="20"/>
                <w:szCs w:val="20"/>
                <w:color w:val="auto"/>
              </w:rPr>
            </w:pPr>
            <w:r>
              <w:rPr>
                <w:rFonts w:ascii="Arial" w:cs="Arial" w:eastAsia="Arial" w:hAnsi="Arial"/>
                <w:sz w:val="18"/>
                <w:szCs w:val="18"/>
                <w:color w:val="auto"/>
              </w:rPr>
              <w:t>1.07</w:t>
            </w:r>
          </w:p>
        </w:tc>
        <w:tc>
          <w:tcPr>
            <w:tcW w:w="9500" w:type="dxa"/>
            <w:vAlign w:val="bottom"/>
          </w:tcPr>
          <w:p>
            <w:pPr>
              <w:ind w:left="220"/>
              <w:spacing w:after="0"/>
              <w:rPr>
                <w:sz w:val="20"/>
                <w:szCs w:val="20"/>
                <w:color w:val="auto"/>
              </w:rPr>
            </w:pPr>
            <w:r>
              <w:rPr>
                <w:rFonts w:ascii="Arial" w:cs="Arial" w:eastAsia="Arial" w:hAnsi="Arial"/>
                <w:sz w:val="18"/>
                <w:szCs w:val="18"/>
                <w:color w:val="auto"/>
              </w:rPr>
              <w:t>Letter of Credit Amounts</w:t>
            </w: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200" w:type="dxa"/>
            <w:vAlign w:val="bottom"/>
          </w:tcPr>
          <w:p>
            <w:pPr>
              <w:jc w:val="right"/>
              <w:ind w:right="250"/>
              <w:spacing w:after="0"/>
              <w:rPr>
                <w:sz w:val="20"/>
                <w:szCs w:val="20"/>
                <w:color w:val="auto"/>
              </w:rPr>
            </w:pPr>
            <w:r>
              <w:rPr>
                <w:rFonts w:ascii="Arial" w:cs="Arial" w:eastAsia="Arial" w:hAnsi="Arial"/>
                <w:sz w:val="18"/>
                <w:szCs w:val="18"/>
                <w:color w:val="auto"/>
              </w:rPr>
              <w:t>1.08</w:t>
            </w:r>
          </w:p>
        </w:tc>
        <w:tc>
          <w:tcPr>
            <w:tcW w:w="9500" w:type="dxa"/>
            <w:vAlign w:val="bottom"/>
          </w:tcPr>
          <w:p>
            <w:pPr>
              <w:ind w:left="220"/>
              <w:spacing w:after="0"/>
              <w:rPr>
                <w:sz w:val="20"/>
                <w:szCs w:val="20"/>
                <w:color w:val="auto"/>
              </w:rPr>
            </w:pPr>
            <w:r>
              <w:rPr>
                <w:rFonts w:ascii="Arial" w:cs="Arial" w:eastAsia="Arial" w:hAnsi="Arial"/>
                <w:sz w:val="18"/>
                <w:szCs w:val="18"/>
                <w:color w:val="auto"/>
              </w:rPr>
              <w:t>Adjustments for Material Acquisitions and Dispositions</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ARTICLE II.</w:t>
            </w:r>
          </w:p>
        </w:tc>
        <w:tc>
          <w:tcPr>
            <w:tcW w:w="9500" w:type="dxa"/>
            <w:vAlign w:val="bottom"/>
          </w:tcPr>
          <w:p>
            <w:pPr>
              <w:ind w:left="480"/>
              <w:spacing w:after="0"/>
              <w:rPr>
                <w:sz w:val="20"/>
                <w:szCs w:val="20"/>
                <w:color w:val="auto"/>
              </w:rPr>
            </w:pPr>
            <w:r>
              <w:rPr>
                <w:rFonts w:ascii="Arial" w:cs="Arial" w:eastAsia="Arial" w:hAnsi="Arial"/>
                <w:sz w:val="18"/>
                <w:szCs w:val="18"/>
                <w:color w:val="auto"/>
              </w:rPr>
              <w:t>THE COMMITMENTS AND CREDIT EXTENSIONS</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8"/>
        </w:trPr>
        <w:tc>
          <w:tcPr>
            <w:tcW w:w="1200" w:type="dxa"/>
            <w:vAlign w:val="bottom"/>
          </w:tcPr>
          <w:p>
            <w:pPr>
              <w:jc w:val="right"/>
              <w:ind w:right="250"/>
              <w:spacing w:after="0"/>
              <w:rPr>
                <w:sz w:val="20"/>
                <w:szCs w:val="20"/>
                <w:color w:val="auto"/>
              </w:rPr>
            </w:pPr>
            <w:r>
              <w:rPr>
                <w:rFonts w:ascii="Arial" w:cs="Arial" w:eastAsia="Arial" w:hAnsi="Arial"/>
                <w:sz w:val="18"/>
                <w:szCs w:val="18"/>
                <w:color w:val="auto"/>
              </w:rPr>
              <w:t>2.01</w:t>
            </w:r>
          </w:p>
        </w:tc>
        <w:tc>
          <w:tcPr>
            <w:tcW w:w="9500" w:type="dxa"/>
            <w:vAlign w:val="bottom"/>
          </w:tcPr>
          <w:p>
            <w:pPr>
              <w:ind w:left="220"/>
              <w:spacing w:after="0"/>
              <w:rPr>
                <w:sz w:val="20"/>
                <w:szCs w:val="20"/>
                <w:color w:val="auto"/>
              </w:rPr>
            </w:pPr>
            <w:r>
              <w:rPr>
                <w:rFonts w:ascii="Arial" w:cs="Arial" w:eastAsia="Arial" w:hAnsi="Arial"/>
                <w:sz w:val="18"/>
                <w:szCs w:val="18"/>
                <w:color w:val="auto"/>
              </w:rPr>
              <w:t>Loans</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200" w:type="dxa"/>
            <w:vAlign w:val="bottom"/>
          </w:tcPr>
          <w:p>
            <w:pPr>
              <w:jc w:val="right"/>
              <w:ind w:right="250"/>
              <w:spacing w:after="0"/>
              <w:rPr>
                <w:sz w:val="20"/>
                <w:szCs w:val="20"/>
                <w:color w:val="auto"/>
              </w:rPr>
            </w:pPr>
            <w:r>
              <w:rPr>
                <w:rFonts w:ascii="Arial" w:cs="Arial" w:eastAsia="Arial" w:hAnsi="Arial"/>
                <w:sz w:val="18"/>
                <w:szCs w:val="18"/>
                <w:color w:val="auto"/>
              </w:rPr>
              <w:t>2.02</w:t>
            </w:r>
          </w:p>
        </w:tc>
        <w:tc>
          <w:tcPr>
            <w:tcW w:w="9500" w:type="dxa"/>
            <w:vAlign w:val="bottom"/>
          </w:tcPr>
          <w:p>
            <w:pPr>
              <w:ind w:left="220"/>
              <w:spacing w:after="0"/>
              <w:rPr>
                <w:sz w:val="20"/>
                <w:szCs w:val="20"/>
                <w:color w:val="auto"/>
              </w:rPr>
            </w:pPr>
            <w:r>
              <w:rPr>
                <w:rFonts w:ascii="Arial" w:cs="Arial" w:eastAsia="Arial" w:hAnsi="Arial"/>
                <w:sz w:val="18"/>
                <w:szCs w:val="18"/>
                <w:color w:val="auto"/>
              </w:rPr>
              <w:t>Borrowings, Conversions and Continuations of Loans</w:t>
            </w: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2.03</w:t>
            </w:r>
          </w:p>
        </w:tc>
        <w:tc>
          <w:tcPr>
            <w:tcW w:w="9460" w:type="dxa"/>
            <w:vAlign w:val="bottom"/>
          </w:tcPr>
          <w:p>
            <w:pPr>
              <w:ind w:left="180"/>
              <w:spacing w:after="0"/>
              <w:rPr>
                <w:sz w:val="20"/>
                <w:szCs w:val="20"/>
                <w:color w:val="auto"/>
              </w:rPr>
            </w:pPr>
            <w:r>
              <w:rPr>
                <w:rFonts w:ascii="Arial" w:cs="Arial" w:eastAsia="Arial" w:hAnsi="Arial"/>
                <w:sz w:val="18"/>
                <w:szCs w:val="18"/>
                <w:color w:val="auto"/>
              </w:rPr>
              <w:t>Letters of Credit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2.04</w:t>
            </w:r>
          </w:p>
        </w:tc>
        <w:tc>
          <w:tcPr>
            <w:tcW w:w="9460" w:type="dxa"/>
            <w:vAlign w:val="bottom"/>
          </w:tcPr>
          <w:p>
            <w:pPr>
              <w:ind w:left="180"/>
              <w:spacing w:after="0"/>
              <w:rPr>
                <w:sz w:val="20"/>
                <w:szCs w:val="20"/>
                <w:color w:val="auto"/>
              </w:rPr>
            </w:pPr>
            <w:r>
              <w:rPr>
                <w:rFonts w:ascii="Arial" w:cs="Arial" w:eastAsia="Arial" w:hAnsi="Arial"/>
                <w:sz w:val="18"/>
                <w:szCs w:val="18"/>
                <w:color w:val="auto"/>
              </w:rPr>
              <w:t>Swing Line Loans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2.05</w:t>
            </w:r>
          </w:p>
        </w:tc>
        <w:tc>
          <w:tcPr>
            <w:tcW w:w="9460" w:type="dxa"/>
            <w:vAlign w:val="bottom"/>
          </w:tcPr>
          <w:p>
            <w:pPr>
              <w:ind w:left="180"/>
              <w:spacing w:after="0"/>
              <w:rPr>
                <w:sz w:val="20"/>
                <w:szCs w:val="20"/>
                <w:color w:val="auto"/>
              </w:rPr>
            </w:pPr>
            <w:r>
              <w:rPr>
                <w:rFonts w:ascii="Arial" w:cs="Arial" w:eastAsia="Arial" w:hAnsi="Arial"/>
                <w:sz w:val="18"/>
                <w:szCs w:val="18"/>
                <w:color w:val="auto"/>
              </w:rPr>
              <w:t>Prepayments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2.06</w:t>
            </w:r>
          </w:p>
        </w:tc>
        <w:tc>
          <w:tcPr>
            <w:tcW w:w="9460" w:type="dxa"/>
            <w:vAlign w:val="bottom"/>
          </w:tcPr>
          <w:p>
            <w:pPr>
              <w:ind w:left="180"/>
              <w:spacing w:after="0"/>
              <w:rPr>
                <w:sz w:val="20"/>
                <w:szCs w:val="20"/>
                <w:color w:val="auto"/>
              </w:rPr>
            </w:pPr>
            <w:r>
              <w:rPr>
                <w:rFonts w:ascii="Arial" w:cs="Arial" w:eastAsia="Arial" w:hAnsi="Arial"/>
                <w:sz w:val="18"/>
                <w:szCs w:val="18"/>
                <w:color w:val="auto"/>
              </w:rPr>
              <w:t>Termination or Reduction of Commitments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2.07</w:t>
            </w:r>
          </w:p>
        </w:tc>
        <w:tc>
          <w:tcPr>
            <w:tcW w:w="9460" w:type="dxa"/>
            <w:vAlign w:val="bottom"/>
          </w:tcPr>
          <w:p>
            <w:pPr>
              <w:ind w:left="180"/>
              <w:spacing w:after="0"/>
              <w:rPr>
                <w:sz w:val="20"/>
                <w:szCs w:val="20"/>
                <w:color w:val="auto"/>
              </w:rPr>
            </w:pPr>
            <w:r>
              <w:rPr>
                <w:rFonts w:ascii="Arial" w:cs="Arial" w:eastAsia="Arial" w:hAnsi="Arial"/>
                <w:sz w:val="18"/>
                <w:szCs w:val="18"/>
                <w:color w:val="auto"/>
              </w:rPr>
              <w:t>Repayment of Loans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2.08</w:t>
            </w:r>
          </w:p>
        </w:tc>
        <w:tc>
          <w:tcPr>
            <w:tcW w:w="94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2.09</w:t>
            </w:r>
          </w:p>
        </w:tc>
        <w:tc>
          <w:tcPr>
            <w:tcW w:w="9460" w:type="dxa"/>
            <w:vAlign w:val="bottom"/>
          </w:tcPr>
          <w:p>
            <w:pPr>
              <w:ind w:left="180"/>
              <w:spacing w:after="0"/>
              <w:rPr>
                <w:sz w:val="20"/>
                <w:szCs w:val="20"/>
                <w:color w:val="auto"/>
              </w:rPr>
            </w:pPr>
            <w:r>
              <w:rPr>
                <w:rFonts w:ascii="Arial" w:cs="Arial" w:eastAsia="Arial" w:hAnsi="Arial"/>
                <w:sz w:val="18"/>
                <w:szCs w:val="18"/>
                <w:color w:val="auto"/>
              </w:rPr>
              <w:t>Fees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2.10</w:t>
            </w:r>
          </w:p>
        </w:tc>
        <w:tc>
          <w:tcPr>
            <w:tcW w:w="9460" w:type="dxa"/>
            <w:vAlign w:val="bottom"/>
          </w:tcPr>
          <w:p>
            <w:pPr>
              <w:ind w:left="18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2.11</w:t>
            </w:r>
          </w:p>
        </w:tc>
        <w:tc>
          <w:tcPr>
            <w:tcW w:w="9460" w:type="dxa"/>
            <w:vAlign w:val="bottom"/>
          </w:tcPr>
          <w:p>
            <w:pPr>
              <w:ind w:left="180"/>
              <w:spacing w:after="0"/>
              <w:rPr>
                <w:sz w:val="20"/>
                <w:szCs w:val="20"/>
                <w:color w:val="auto"/>
              </w:rPr>
            </w:pPr>
            <w:r>
              <w:rPr>
                <w:rFonts w:ascii="Arial" w:cs="Arial" w:eastAsia="Arial" w:hAnsi="Arial"/>
                <w:sz w:val="18"/>
                <w:szCs w:val="18"/>
                <w:color w:val="auto"/>
              </w:rPr>
              <w:t>Evidence of Debt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2.12</w:t>
            </w:r>
          </w:p>
        </w:tc>
        <w:tc>
          <w:tcPr>
            <w:tcW w:w="9460" w:type="dxa"/>
            <w:vAlign w:val="bottom"/>
          </w:tcPr>
          <w:p>
            <w:pPr>
              <w:ind w:left="180"/>
              <w:spacing w:after="0"/>
              <w:rPr>
                <w:sz w:val="20"/>
                <w:szCs w:val="20"/>
                <w:color w:val="auto"/>
              </w:rPr>
            </w:pPr>
            <w:r>
              <w:rPr>
                <w:rFonts w:ascii="Arial" w:cs="Arial" w:eastAsia="Arial" w:hAnsi="Arial"/>
                <w:sz w:val="18"/>
                <w:szCs w:val="18"/>
                <w:color w:val="auto"/>
              </w:rPr>
              <w:t>Payments Generally; Administrative Agent’s Clawback</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2.13</w:t>
            </w:r>
          </w:p>
        </w:tc>
        <w:tc>
          <w:tcPr>
            <w:tcW w:w="9460" w:type="dxa"/>
            <w:vAlign w:val="bottom"/>
          </w:tcPr>
          <w:p>
            <w:pPr>
              <w:ind w:left="180"/>
              <w:spacing w:after="0"/>
              <w:rPr>
                <w:sz w:val="20"/>
                <w:szCs w:val="20"/>
                <w:color w:val="auto"/>
              </w:rPr>
            </w:pPr>
            <w:r>
              <w:rPr>
                <w:rFonts w:ascii="Arial" w:cs="Arial" w:eastAsia="Arial" w:hAnsi="Arial"/>
                <w:sz w:val="18"/>
                <w:szCs w:val="18"/>
                <w:color w:val="auto"/>
              </w:rPr>
              <w:t>Sharing of Payments by Lenders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2.14</w:t>
            </w:r>
          </w:p>
        </w:tc>
        <w:tc>
          <w:tcPr>
            <w:tcW w:w="9460" w:type="dxa"/>
            <w:vAlign w:val="bottom"/>
          </w:tcPr>
          <w:p>
            <w:pPr>
              <w:ind w:left="180"/>
              <w:spacing w:after="0"/>
              <w:rPr>
                <w:sz w:val="20"/>
                <w:szCs w:val="20"/>
                <w:color w:val="auto"/>
              </w:rPr>
            </w:pPr>
            <w:r>
              <w:rPr>
                <w:rFonts w:ascii="Arial" w:cs="Arial" w:eastAsia="Arial" w:hAnsi="Arial"/>
                <w:sz w:val="18"/>
                <w:szCs w:val="18"/>
                <w:color w:val="auto"/>
              </w:rPr>
              <w:t>Increase in Commitments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2.15</w:t>
            </w:r>
          </w:p>
        </w:tc>
        <w:tc>
          <w:tcPr>
            <w:tcW w:w="9460" w:type="dxa"/>
            <w:vAlign w:val="bottom"/>
          </w:tcPr>
          <w:p>
            <w:pPr>
              <w:ind w:left="180"/>
              <w:spacing w:after="0"/>
              <w:rPr>
                <w:sz w:val="20"/>
                <w:szCs w:val="20"/>
                <w:color w:val="auto"/>
              </w:rPr>
            </w:pPr>
            <w:r>
              <w:rPr>
                <w:rFonts w:ascii="Arial" w:cs="Arial" w:eastAsia="Arial" w:hAnsi="Arial"/>
                <w:sz w:val="18"/>
                <w:szCs w:val="18"/>
                <w:color w:val="auto"/>
              </w:rPr>
              <w:t>Cash Collateral</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2.16</w:t>
            </w:r>
          </w:p>
        </w:tc>
        <w:tc>
          <w:tcPr>
            <w:tcW w:w="9460" w:type="dxa"/>
            <w:vAlign w:val="bottom"/>
          </w:tcPr>
          <w:p>
            <w:pPr>
              <w:ind w:left="180"/>
              <w:spacing w:after="0"/>
              <w:rPr>
                <w:sz w:val="20"/>
                <w:szCs w:val="20"/>
                <w:color w:val="auto"/>
              </w:rPr>
            </w:pPr>
            <w:r>
              <w:rPr>
                <w:rFonts w:ascii="Arial" w:cs="Arial" w:eastAsia="Arial" w:hAnsi="Arial"/>
                <w:sz w:val="18"/>
                <w:szCs w:val="18"/>
                <w:color w:val="auto"/>
              </w:rPr>
              <w:t>Defaulting Lenders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2.17</w:t>
            </w:r>
          </w:p>
        </w:tc>
        <w:tc>
          <w:tcPr>
            <w:tcW w:w="9460" w:type="dxa"/>
            <w:vAlign w:val="bottom"/>
          </w:tcPr>
          <w:p>
            <w:pPr>
              <w:ind w:left="180"/>
              <w:spacing w:after="0"/>
              <w:rPr>
                <w:sz w:val="20"/>
                <w:szCs w:val="20"/>
                <w:color w:val="auto"/>
              </w:rPr>
            </w:pPr>
            <w:r>
              <w:rPr>
                <w:rFonts w:ascii="Arial" w:cs="Arial" w:eastAsia="Arial" w:hAnsi="Arial"/>
                <w:sz w:val="18"/>
                <w:szCs w:val="18"/>
                <w:color w:val="auto"/>
              </w:rPr>
              <w:t>Joint and Several Obligations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30"/>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2.18</w:t>
            </w:r>
          </w:p>
        </w:tc>
        <w:tc>
          <w:tcPr>
            <w:tcW w:w="9460" w:type="dxa"/>
            <w:vAlign w:val="bottom"/>
          </w:tcPr>
          <w:p>
            <w:pPr>
              <w:ind w:left="180"/>
              <w:spacing w:after="0"/>
              <w:rPr>
                <w:sz w:val="20"/>
                <w:szCs w:val="20"/>
                <w:color w:val="auto"/>
              </w:rPr>
            </w:pPr>
            <w:r>
              <w:rPr>
                <w:rFonts w:ascii="Arial" w:cs="Arial" w:eastAsia="Arial" w:hAnsi="Arial"/>
                <w:sz w:val="18"/>
                <w:szCs w:val="18"/>
                <w:color w:val="auto"/>
              </w:rPr>
              <w:t>Borrowing Agent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432"/>
        </w:trPr>
        <w:tc>
          <w:tcPr>
            <w:tcW w:w="1240" w:type="dxa"/>
            <w:vAlign w:val="bottom"/>
          </w:tcPr>
          <w:p>
            <w:pPr>
              <w:spacing w:after="0"/>
              <w:rPr>
                <w:sz w:val="24"/>
                <w:szCs w:val="24"/>
                <w:color w:val="auto"/>
              </w:rPr>
            </w:pPr>
          </w:p>
        </w:tc>
        <w:tc>
          <w:tcPr>
            <w:tcW w:w="9460" w:type="dxa"/>
            <w:vAlign w:val="bottom"/>
          </w:tcPr>
          <w:p>
            <w:pPr>
              <w:jc w:val="center"/>
              <w:ind w:right="430"/>
              <w:spacing w:after="0"/>
              <w:rPr>
                <w:sz w:val="20"/>
                <w:szCs w:val="20"/>
                <w:color w:val="auto"/>
              </w:rPr>
            </w:pPr>
            <w:r>
              <w:rPr>
                <w:rFonts w:ascii="Arial" w:cs="Arial" w:eastAsia="Arial" w:hAnsi="Arial"/>
                <w:sz w:val="18"/>
                <w:szCs w:val="18"/>
                <w:color w:val="auto"/>
              </w:rPr>
              <w:t>i</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40" w:type="dxa"/>
            <w:vAlign w:val="bottom"/>
            <w:tcBorders>
              <w:bottom w:val="single" w:sz="8" w:color="010101"/>
            </w:tcBorders>
          </w:tcPr>
          <w:p>
            <w:pPr>
              <w:spacing w:after="0"/>
              <w:rPr>
                <w:sz w:val="11"/>
                <w:szCs w:val="11"/>
                <w:color w:val="auto"/>
              </w:rPr>
            </w:pPr>
          </w:p>
        </w:tc>
        <w:tc>
          <w:tcPr>
            <w:tcW w:w="94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1240" w:type="dxa"/>
            <w:vAlign w:val="bottom"/>
          </w:tcPr>
          <w:p>
            <w:pPr>
              <w:spacing w:after="0"/>
              <w:rPr>
                <w:sz w:val="24"/>
                <w:szCs w:val="24"/>
                <w:color w:val="auto"/>
              </w:rPr>
            </w:pPr>
          </w:p>
        </w:tc>
        <w:tc>
          <w:tcPr>
            <w:tcW w:w="9460" w:type="dxa"/>
            <w:vAlign w:val="bottom"/>
          </w:tcPr>
          <w:p>
            <w:pPr>
              <w:jc w:val="center"/>
              <w:ind w:right="41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460" w:type="dxa"/>
            <w:vAlign w:val="bottom"/>
          </w:tcPr>
          <w:p>
            <w:pPr>
              <w:jc w:val="center"/>
              <w:ind w:right="430"/>
              <w:spacing w:after="0"/>
              <w:rPr>
                <w:sz w:val="20"/>
                <w:szCs w:val="20"/>
                <w:color w:val="auto"/>
              </w:rPr>
            </w:pPr>
            <w:r>
              <w:rPr>
                <w:rFonts w:ascii="Arial" w:cs="Arial" w:eastAsia="Arial" w:hAnsi="Arial"/>
                <w:sz w:val="18"/>
                <w:szCs w:val="18"/>
                <w:color w:val="auto"/>
                <w:w w:val="91"/>
              </w:rPr>
              <w:t>(continued)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24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240" w:type="dxa"/>
            <w:vAlign w:val="bottom"/>
          </w:tcPr>
          <w:p>
            <w:pPr>
              <w:spacing w:after="0"/>
              <w:rPr>
                <w:sz w:val="20"/>
                <w:szCs w:val="20"/>
                <w:color w:val="auto"/>
              </w:rPr>
            </w:pPr>
            <w:r>
              <w:rPr>
                <w:rFonts w:ascii="Arial" w:cs="Arial" w:eastAsia="Arial" w:hAnsi="Arial"/>
                <w:sz w:val="18"/>
                <w:szCs w:val="18"/>
                <w:color w:val="auto"/>
              </w:rPr>
              <w:t>ARTICLE III.</w:t>
            </w:r>
          </w:p>
        </w:tc>
        <w:tc>
          <w:tcPr>
            <w:tcW w:w="9460" w:type="dxa"/>
            <w:vAlign w:val="bottom"/>
          </w:tcPr>
          <w:p>
            <w:pPr>
              <w:ind w:left="440"/>
              <w:spacing w:after="0"/>
              <w:rPr>
                <w:sz w:val="20"/>
                <w:szCs w:val="20"/>
                <w:color w:val="auto"/>
              </w:rPr>
            </w:pPr>
            <w:r>
              <w:rPr>
                <w:rFonts w:ascii="Arial" w:cs="Arial" w:eastAsia="Arial" w:hAnsi="Arial"/>
                <w:sz w:val="18"/>
                <w:szCs w:val="18"/>
                <w:color w:val="auto"/>
              </w:rPr>
              <w:t>TAXES, YIELD PROTECTION AND ILLEGALITY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418"/>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3.01</w:t>
            </w:r>
          </w:p>
        </w:tc>
        <w:tc>
          <w:tcPr>
            <w:tcW w:w="9460" w:type="dxa"/>
            <w:vAlign w:val="bottom"/>
          </w:tcPr>
          <w:p>
            <w:pPr>
              <w:ind w:left="180"/>
              <w:spacing w:after="0"/>
              <w:rPr>
                <w:sz w:val="20"/>
                <w:szCs w:val="20"/>
                <w:color w:val="auto"/>
              </w:rPr>
            </w:pPr>
            <w:r>
              <w:rPr>
                <w:rFonts w:ascii="Arial" w:cs="Arial" w:eastAsia="Arial" w:hAnsi="Arial"/>
                <w:sz w:val="18"/>
                <w:szCs w:val="18"/>
                <w:color w:val="auto"/>
              </w:rPr>
              <w:t>Taxes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3.02</w:t>
            </w:r>
          </w:p>
        </w:tc>
        <w:tc>
          <w:tcPr>
            <w:tcW w:w="9460" w:type="dxa"/>
            <w:vAlign w:val="bottom"/>
          </w:tcPr>
          <w:p>
            <w:pPr>
              <w:ind w:left="180"/>
              <w:spacing w:after="0"/>
              <w:rPr>
                <w:sz w:val="20"/>
                <w:szCs w:val="20"/>
                <w:color w:val="auto"/>
              </w:rPr>
            </w:pPr>
            <w:r>
              <w:rPr>
                <w:rFonts w:ascii="Arial" w:cs="Arial" w:eastAsia="Arial" w:hAnsi="Arial"/>
                <w:sz w:val="18"/>
                <w:szCs w:val="18"/>
                <w:color w:val="auto"/>
              </w:rPr>
              <w:t>Illegality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3.03</w:t>
            </w:r>
          </w:p>
        </w:tc>
        <w:tc>
          <w:tcPr>
            <w:tcW w:w="9460" w:type="dxa"/>
            <w:vAlign w:val="bottom"/>
          </w:tcPr>
          <w:p>
            <w:pPr>
              <w:ind w:left="180"/>
              <w:spacing w:after="0"/>
              <w:rPr>
                <w:sz w:val="20"/>
                <w:szCs w:val="20"/>
                <w:color w:val="auto"/>
              </w:rPr>
            </w:pPr>
            <w:r>
              <w:rPr>
                <w:rFonts w:ascii="Arial" w:cs="Arial" w:eastAsia="Arial" w:hAnsi="Arial"/>
                <w:sz w:val="18"/>
                <w:szCs w:val="18"/>
                <w:color w:val="auto"/>
              </w:rPr>
              <w:t>Inability to Determine Rates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3.04</w:t>
            </w:r>
          </w:p>
        </w:tc>
        <w:tc>
          <w:tcPr>
            <w:tcW w:w="9460" w:type="dxa"/>
            <w:vAlign w:val="bottom"/>
          </w:tcPr>
          <w:p>
            <w:pPr>
              <w:ind w:left="180"/>
              <w:spacing w:after="0"/>
              <w:rPr>
                <w:sz w:val="20"/>
                <w:szCs w:val="20"/>
                <w:color w:val="auto"/>
              </w:rPr>
            </w:pPr>
            <w:r>
              <w:rPr>
                <w:rFonts w:ascii="Arial" w:cs="Arial" w:eastAsia="Arial" w:hAnsi="Arial"/>
                <w:sz w:val="18"/>
                <w:szCs w:val="18"/>
                <w:color w:val="auto"/>
              </w:rPr>
              <w:t>Increased Costs; Reserves on Eurodollar Rate Loans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3.05</w:t>
            </w:r>
          </w:p>
        </w:tc>
        <w:tc>
          <w:tcPr>
            <w:tcW w:w="9460" w:type="dxa"/>
            <w:vAlign w:val="bottom"/>
          </w:tcPr>
          <w:p>
            <w:pPr>
              <w:ind w:left="180"/>
              <w:spacing w:after="0"/>
              <w:rPr>
                <w:sz w:val="20"/>
                <w:szCs w:val="20"/>
                <w:color w:val="auto"/>
              </w:rPr>
            </w:pPr>
            <w:r>
              <w:rPr>
                <w:rFonts w:ascii="Arial" w:cs="Arial" w:eastAsia="Arial" w:hAnsi="Arial"/>
                <w:sz w:val="18"/>
                <w:szCs w:val="18"/>
                <w:color w:val="auto"/>
              </w:rPr>
              <w:t>Compensation for Losses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3.06</w:t>
            </w:r>
          </w:p>
        </w:tc>
        <w:tc>
          <w:tcPr>
            <w:tcW w:w="9460" w:type="dxa"/>
            <w:vAlign w:val="bottom"/>
          </w:tcPr>
          <w:p>
            <w:pPr>
              <w:ind w:left="180"/>
              <w:spacing w:after="0"/>
              <w:rPr>
                <w:sz w:val="20"/>
                <w:szCs w:val="20"/>
                <w:color w:val="auto"/>
              </w:rPr>
            </w:pPr>
            <w:r>
              <w:rPr>
                <w:rFonts w:ascii="Arial" w:cs="Arial" w:eastAsia="Arial" w:hAnsi="Arial"/>
                <w:sz w:val="18"/>
                <w:szCs w:val="18"/>
                <w:color w:val="auto"/>
              </w:rPr>
              <w:t>Mitigation Obligations; Replacement of Lenders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30"/>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3.07</w:t>
            </w:r>
          </w:p>
        </w:tc>
        <w:tc>
          <w:tcPr>
            <w:tcW w:w="9460" w:type="dxa"/>
            <w:vAlign w:val="bottom"/>
          </w:tcPr>
          <w:p>
            <w:pPr>
              <w:ind w:left="180"/>
              <w:spacing w:after="0"/>
              <w:rPr>
                <w:sz w:val="20"/>
                <w:szCs w:val="20"/>
                <w:color w:val="auto"/>
              </w:rPr>
            </w:pPr>
            <w:r>
              <w:rPr>
                <w:rFonts w:ascii="Arial" w:cs="Arial" w:eastAsia="Arial" w:hAnsi="Arial"/>
                <w:sz w:val="18"/>
                <w:szCs w:val="18"/>
                <w:color w:val="auto"/>
              </w:rPr>
              <w:t>Survival</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ARTICLE IV.</w:t>
            </w:r>
          </w:p>
        </w:tc>
        <w:tc>
          <w:tcPr>
            <w:tcW w:w="9460" w:type="dxa"/>
            <w:vAlign w:val="bottom"/>
          </w:tcPr>
          <w:p>
            <w:pPr>
              <w:ind w:left="440"/>
              <w:spacing w:after="0"/>
              <w:rPr>
                <w:sz w:val="20"/>
                <w:szCs w:val="20"/>
                <w:color w:val="auto"/>
              </w:rPr>
            </w:pPr>
            <w:r>
              <w:rPr>
                <w:rFonts w:ascii="Arial" w:cs="Arial" w:eastAsia="Arial" w:hAnsi="Arial"/>
                <w:sz w:val="18"/>
                <w:szCs w:val="18"/>
                <w:color w:val="auto"/>
              </w:rPr>
              <w:t>CONDITIONS PRECEDENT TO CREDIT EXTENSIONS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418"/>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4.01</w:t>
            </w:r>
          </w:p>
        </w:tc>
        <w:tc>
          <w:tcPr>
            <w:tcW w:w="9460" w:type="dxa"/>
            <w:vAlign w:val="bottom"/>
          </w:tcPr>
          <w:p>
            <w:pPr>
              <w:ind w:left="180"/>
              <w:spacing w:after="0"/>
              <w:rPr>
                <w:sz w:val="20"/>
                <w:szCs w:val="20"/>
                <w:color w:val="auto"/>
              </w:rPr>
            </w:pPr>
            <w:r>
              <w:rPr>
                <w:rFonts w:ascii="Arial" w:cs="Arial" w:eastAsia="Arial" w:hAnsi="Arial"/>
                <w:sz w:val="18"/>
                <w:szCs w:val="18"/>
                <w:color w:val="auto"/>
              </w:rPr>
              <w:t>Conditions of Amendment and Restatement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30"/>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4.02</w:t>
            </w:r>
          </w:p>
        </w:tc>
        <w:tc>
          <w:tcPr>
            <w:tcW w:w="9460" w:type="dxa"/>
            <w:vAlign w:val="bottom"/>
          </w:tcPr>
          <w:p>
            <w:pPr>
              <w:ind w:left="180"/>
              <w:spacing w:after="0"/>
              <w:rPr>
                <w:sz w:val="20"/>
                <w:szCs w:val="20"/>
                <w:color w:val="auto"/>
              </w:rPr>
            </w:pPr>
            <w:r>
              <w:rPr>
                <w:rFonts w:ascii="Arial" w:cs="Arial" w:eastAsia="Arial" w:hAnsi="Arial"/>
                <w:sz w:val="18"/>
                <w:szCs w:val="18"/>
                <w:color w:val="auto"/>
              </w:rPr>
              <w:t>Conditions to all Credit Extensions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ARTICLE V.</w:t>
            </w:r>
          </w:p>
        </w:tc>
        <w:tc>
          <w:tcPr>
            <w:tcW w:w="9460" w:type="dxa"/>
            <w:vAlign w:val="bottom"/>
          </w:tcPr>
          <w:p>
            <w:pPr>
              <w:ind w:left="440"/>
              <w:spacing w:after="0"/>
              <w:rPr>
                <w:sz w:val="20"/>
                <w:szCs w:val="20"/>
                <w:color w:val="auto"/>
              </w:rPr>
            </w:pPr>
            <w:r>
              <w:rPr>
                <w:rFonts w:ascii="Arial" w:cs="Arial" w:eastAsia="Arial" w:hAnsi="Arial"/>
                <w:sz w:val="18"/>
                <w:szCs w:val="18"/>
                <w:color w:val="auto"/>
              </w:rPr>
              <w:t>REPRESENTATIONS AND WARRANTIES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418"/>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5.01</w:t>
            </w:r>
          </w:p>
        </w:tc>
        <w:tc>
          <w:tcPr>
            <w:tcW w:w="9460" w:type="dxa"/>
            <w:vAlign w:val="bottom"/>
          </w:tcPr>
          <w:p>
            <w:pPr>
              <w:ind w:left="180"/>
              <w:spacing w:after="0"/>
              <w:rPr>
                <w:sz w:val="20"/>
                <w:szCs w:val="20"/>
                <w:color w:val="auto"/>
              </w:rPr>
            </w:pPr>
            <w:r>
              <w:rPr>
                <w:rFonts w:ascii="Arial" w:cs="Arial" w:eastAsia="Arial" w:hAnsi="Arial"/>
                <w:sz w:val="18"/>
                <w:szCs w:val="18"/>
                <w:color w:val="auto"/>
              </w:rPr>
              <w:t>Existence, Qualification and Power</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5.02</w:t>
            </w:r>
          </w:p>
        </w:tc>
        <w:tc>
          <w:tcPr>
            <w:tcW w:w="9460" w:type="dxa"/>
            <w:vAlign w:val="bottom"/>
          </w:tcPr>
          <w:p>
            <w:pPr>
              <w:ind w:left="180"/>
              <w:spacing w:after="0"/>
              <w:rPr>
                <w:sz w:val="20"/>
                <w:szCs w:val="20"/>
                <w:color w:val="auto"/>
              </w:rPr>
            </w:pPr>
            <w:r>
              <w:rPr>
                <w:rFonts w:ascii="Arial" w:cs="Arial" w:eastAsia="Arial" w:hAnsi="Arial"/>
                <w:sz w:val="18"/>
                <w:szCs w:val="18"/>
                <w:color w:val="auto"/>
              </w:rPr>
              <w:t>Authorization; No Contravention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5.03</w:t>
            </w:r>
          </w:p>
        </w:tc>
        <w:tc>
          <w:tcPr>
            <w:tcW w:w="9460" w:type="dxa"/>
            <w:vAlign w:val="bottom"/>
          </w:tcPr>
          <w:p>
            <w:pPr>
              <w:ind w:left="180"/>
              <w:spacing w:after="0"/>
              <w:rPr>
                <w:sz w:val="20"/>
                <w:szCs w:val="20"/>
                <w:color w:val="auto"/>
              </w:rPr>
            </w:pPr>
            <w:r>
              <w:rPr>
                <w:rFonts w:ascii="Arial" w:cs="Arial" w:eastAsia="Arial" w:hAnsi="Arial"/>
                <w:sz w:val="18"/>
                <w:szCs w:val="18"/>
                <w:color w:val="auto"/>
              </w:rPr>
              <w:t>Governmental Authorization; Other Consents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5.04</w:t>
            </w:r>
          </w:p>
        </w:tc>
        <w:tc>
          <w:tcPr>
            <w:tcW w:w="9460" w:type="dxa"/>
            <w:vAlign w:val="bottom"/>
          </w:tcPr>
          <w:p>
            <w:pPr>
              <w:ind w:left="180"/>
              <w:spacing w:after="0"/>
              <w:rPr>
                <w:sz w:val="20"/>
                <w:szCs w:val="20"/>
                <w:color w:val="auto"/>
              </w:rPr>
            </w:pPr>
            <w:r>
              <w:rPr>
                <w:rFonts w:ascii="Arial" w:cs="Arial" w:eastAsia="Arial" w:hAnsi="Arial"/>
                <w:sz w:val="18"/>
                <w:szCs w:val="18"/>
                <w:color w:val="auto"/>
              </w:rPr>
              <w:t>Binding Effect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5.05</w:t>
            </w:r>
          </w:p>
        </w:tc>
        <w:tc>
          <w:tcPr>
            <w:tcW w:w="9460" w:type="dxa"/>
            <w:vAlign w:val="bottom"/>
          </w:tcPr>
          <w:p>
            <w:pPr>
              <w:ind w:left="180"/>
              <w:spacing w:after="0"/>
              <w:rPr>
                <w:sz w:val="20"/>
                <w:szCs w:val="20"/>
                <w:color w:val="auto"/>
              </w:rPr>
            </w:pPr>
            <w:r>
              <w:rPr>
                <w:rFonts w:ascii="Arial" w:cs="Arial" w:eastAsia="Arial" w:hAnsi="Arial"/>
                <w:sz w:val="18"/>
                <w:szCs w:val="18"/>
                <w:color w:val="auto"/>
              </w:rPr>
              <w:t>Financial Statements; No Material Adverse Effect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5.06</w:t>
            </w:r>
          </w:p>
        </w:tc>
        <w:tc>
          <w:tcPr>
            <w:tcW w:w="9460" w:type="dxa"/>
            <w:vAlign w:val="bottom"/>
          </w:tcPr>
          <w:p>
            <w:pPr>
              <w:ind w:left="180"/>
              <w:spacing w:after="0"/>
              <w:rPr>
                <w:sz w:val="20"/>
                <w:szCs w:val="20"/>
                <w:color w:val="auto"/>
              </w:rPr>
            </w:pPr>
            <w:r>
              <w:rPr>
                <w:rFonts w:ascii="Arial" w:cs="Arial" w:eastAsia="Arial" w:hAnsi="Arial"/>
                <w:sz w:val="18"/>
                <w:szCs w:val="18"/>
                <w:color w:val="auto"/>
              </w:rPr>
              <w:t>Litigation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5.07</w:t>
            </w:r>
          </w:p>
        </w:tc>
        <w:tc>
          <w:tcPr>
            <w:tcW w:w="9460" w:type="dxa"/>
            <w:vAlign w:val="bottom"/>
          </w:tcPr>
          <w:p>
            <w:pPr>
              <w:ind w:left="180"/>
              <w:spacing w:after="0"/>
              <w:rPr>
                <w:sz w:val="20"/>
                <w:szCs w:val="20"/>
                <w:color w:val="auto"/>
              </w:rPr>
            </w:pPr>
            <w:r>
              <w:rPr>
                <w:rFonts w:ascii="Arial" w:cs="Arial" w:eastAsia="Arial" w:hAnsi="Arial"/>
                <w:sz w:val="18"/>
                <w:szCs w:val="18"/>
                <w:color w:val="auto"/>
              </w:rPr>
              <w:t>No Default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5.08</w:t>
            </w:r>
          </w:p>
        </w:tc>
        <w:tc>
          <w:tcPr>
            <w:tcW w:w="9460" w:type="dxa"/>
            <w:vAlign w:val="bottom"/>
          </w:tcPr>
          <w:p>
            <w:pPr>
              <w:ind w:left="180"/>
              <w:spacing w:after="0"/>
              <w:rPr>
                <w:sz w:val="20"/>
                <w:szCs w:val="20"/>
                <w:color w:val="auto"/>
              </w:rPr>
            </w:pPr>
            <w:r>
              <w:rPr>
                <w:rFonts w:ascii="Arial" w:cs="Arial" w:eastAsia="Arial" w:hAnsi="Arial"/>
                <w:sz w:val="18"/>
                <w:szCs w:val="18"/>
                <w:color w:val="auto"/>
              </w:rPr>
              <w:t>Ownership of Property; Liens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5.09</w:t>
            </w:r>
          </w:p>
        </w:tc>
        <w:tc>
          <w:tcPr>
            <w:tcW w:w="9460" w:type="dxa"/>
            <w:vAlign w:val="bottom"/>
          </w:tcPr>
          <w:p>
            <w:pPr>
              <w:ind w:left="180"/>
              <w:spacing w:after="0"/>
              <w:rPr>
                <w:sz w:val="20"/>
                <w:szCs w:val="20"/>
                <w:color w:val="auto"/>
              </w:rPr>
            </w:pPr>
            <w:r>
              <w:rPr>
                <w:rFonts w:ascii="Arial" w:cs="Arial" w:eastAsia="Arial" w:hAnsi="Arial"/>
                <w:sz w:val="18"/>
                <w:szCs w:val="18"/>
                <w:color w:val="auto"/>
              </w:rPr>
              <w:t>Environmental Compliance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5.10</w:t>
            </w:r>
          </w:p>
        </w:tc>
        <w:tc>
          <w:tcPr>
            <w:tcW w:w="94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5.11</w:t>
            </w:r>
          </w:p>
        </w:tc>
        <w:tc>
          <w:tcPr>
            <w:tcW w:w="9460" w:type="dxa"/>
            <w:vAlign w:val="bottom"/>
          </w:tcPr>
          <w:p>
            <w:pPr>
              <w:ind w:left="180"/>
              <w:spacing w:after="0"/>
              <w:rPr>
                <w:sz w:val="20"/>
                <w:szCs w:val="20"/>
                <w:color w:val="auto"/>
              </w:rPr>
            </w:pPr>
            <w:r>
              <w:rPr>
                <w:rFonts w:ascii="Arial" w:cs="Arial" w:eastAsia="Arial" w:hAnsi="Arial"/>
                <w:sz w:val="18"/>
                <w:szCs w:val="18"/>
                <w:color w:val="auto"/>
              </w:rPr>
              <w:t>Taxes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5.12</w:t>
            </w:r>
          </w:p>
        </w:tc>
        <w:tc>
          <w:tcPr>
            <w:tcW w:w="9460" w:type="dxa"/>
            <w:vAlign w:val="bottom"/>
          </w:tcPr>
          <w:p>
            <w:pPr>
              <w:ind w:left="180"/>
              <w:spacing w:after="0"/>
              <w:rPr>
                <w:sz w:val="20"/>
                <w:szCs w:val="20"/>
                <w:color w:val="auto"/>
              </w:rPr>
            </w:pPr>
            <w:r>
              <w:rPr>
                <w:rFonts w:ascii="Arial" w:cs="Arial" w:eastAsia="Arial" w:hAnsi="Arial"/>
                <w:sz w:val="18"/>
                <w:szCs w:val="18"/>
                <w:color w:val="auto"/>
              </w:rPr>
              <w:t>ERISA Compliance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5.13</w:t>
            </w:r>
          </w:p>
        </w:tc>
        <w:tc>
          <w:tcPr>
            <w:tcW w:w="9460" w:type="dxa"/>
            <w:vAlign w:val="bottom"/>
          </w:tcPr>
          <w:p>
            <w:pPr>
              <w:ind w:left="180"/>
              <w:spacing w:after="0"/>
              <w:rPr>
                <w:sz w:val="20"/>
                <w:szCs w:val="20"/>
                <w:color w:val="auto"/>
              </w:rPr>
            </w:pPr>
            <w:r>
              <w:rPr>
                <w:rFonts w:ascii="Arial" w:cs="Arial" w:eastAsia="Arial" w:hAnsi="Arial"/>
                <w:sz w:val="18"/>
                <w:szCs w:val="18"/>
                <w:color w:val="auto"/>
              </w:rPr>
              <w:t>Subsidiaries; Equity Interests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5.14</w:t>
            </w:r>
          </w:p>
        </w:tc>
        <w:tc>
          <w:tcPr>
            <w:tcW w:w="9460" w:type="dxa"/>
            <w:vAlign w:val="bottom"/>
          </w:tcPr>
          <w:p>
            <w:pPr>
              <w:ind w:left="180"/>
              <w:spacing w:after="0"/>
              <w:rPr>
                <w:sz w:val="20"/>
                <w:szCs w:val="20"/>
                <w:color w:val="auto"/>
              </w:rPr>
            </w:pPr>
            <w:r>
              <w:rPr>
                <w:rFonts w:ascii="Arial" w:cs="Arial" w:eastAsia="Arial" w:hAnsi="Arial"/>
                <w:sz w:val="18"/>
                <w:szCs w:val="18"/>
                <w:color w:val="auto"/>
              </w:rPr>
              <w:t>Margin Regulations; Investment Company Act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5.15</w:t>
            </w:r>
          </w:p>
        </w:tc>
        <w:tc>
          <w:tcPr>
            <w:tcW w:w="9460" w:type="dxa"/>
            <w:vAlign w:val="bottom"/>
          </w:tcPr>
          <w:p>
            <w:pPr>
              <w:ind w:left="180"/>
              <w:spacing w:after="0"/>
              <w:rPr>
                <w:sz w:val="20"/>
                <w:szCs w:val="20"/>
                <w:color w:val="auto"/>
              </w:rPr>
            </w:pPr>
            <w:r>
              <w:rPr>
                <w:rFonts w:ascii="Arial" w:cs="Arial" w:eastAsia="Arial" w:hAnsi="Arial"/>
                <w:sz w:val="18"/>
                <w:szCs w:val="18"/>
                <w:color w:val="auto"/>
              </w:rPr>
              <w:t>Disclosure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5.16</w:t>
            </w:r>
          </w:p>
        </w:tc>
        <w:tc>
          <w:tcPr>
            <w:tcW w:w="9460" w:type="dxa"/>
            <w:vAlign w:val="bottom"/>
          </w:tcPr>
          <w:p>
            <w:pPr>
              <w:ind w:left="180"/>
              <w:spacing w:after="0"/>
              <w:rPr>
                <w:sz w:val="20"/>
                <w:szCs w:val="20"/>
                <w:color w:val="auto"/>
              </w:rPr>
            </w:pPr>
            <w:r>
              <w:rPr>
                <w:rFonts w:ascii="Arial" w:cs="Arial" w:eastAsia="Arial" w:hAnsi="Arial"/>
                <w:sz w:val="18"/>
                <w:szCs w:val="18"/>
                <w:color w:val="auto"/>
              </w:rPr>
              <w:t>Compliance with Laws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30"/>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5.17</w:t>
            </w:r>
          </w:p>
        </w:tc>
        <w:tc>
          <w:tcPr>
            <w:tcW w:w="9460" w:type="dxa"/>
            <w:vAlign w:val="bottom"/>
          </w:tcPr>
          <w:p>
            <w:pPr>
              <w:ind w:left="180"/>
              <w:spacing w:after="0"/>
              <w:rPr>
                <w:sz w:val="20"/>
                <w:szCs w:val="20"/>
                <w:color w:val="auto"/>
              </w:rPr>
            </w:pPr>
            <w:r>
              <w:rPr>
                <w:rFonts w:ascii="Arial" w:cs="Arial" w:eastAsia="Arial" w:hAnsi="Arial"/>
                <w:sz w:val="18"/>
                <w:szCs w:val="18"/>
                <w:color w:val="auto"/>
              </w:rPr>
              <w:t>Intellectual Property; Licenses, Etc.</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432"/>
        </w:trPr>
        <w:tc>
          <w:tcPr>
            <w:tcW w:w="1240" w:type="dxa"/>
            <w:vAlign w:val="bottom"/>
          </w:tcPr>
          <w:p>
            <w:pPr>
              <w:spacing w:after="0"/>
              <w:rPr>
                <w:sz w:val="24"/>
                <w:szCs w:val="24"/>
                <w:color w:val="auto"/>
              </w:rPr>
            </w:pPr>
          </w:p>
        </w:tc>
        <w:tc>
          <w:tcPr>
            <w:tcW w:w="9460" w:type="dxa"/>
            <w:vAlign w:val="bottom"/>
          </w:tcPr>
          <w:p>
            <w:pPr>
              <w:jc w:val="center"/>
              <w:ind w:right="430"/>
              <w:spacing w:after="0"/>
              <w:rPr>
                <w:sz w:val="20"/>
                <w:szCs w:val="20"/>
                <w:color w:val="auto"/>
              </w:rPr>
            </w:pPr>
            <w:r>
              <w:rPr>
                <w:rFonts w:ascii="Arial" w:cs="Arial" w:eastAsia="Arial" w:hAnsi="Arial"/>
                <w:sz w:val="18"/>
                <w:szCs w:val="18"/>
                <w:color w:val="auto"/>
              </w:rPr>
              <w:t>ii</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40" w:type="dxa"/>
            <w:vAlign w:val="bottom"/>
            <w:tcBorders>
              <w:bottom w:val="single" w:sz="8" w:color="010101"/>
            </w:tcBorders>
          </w:tcPr>
          <w:p>
            <w:pPr>
              <w:spacing w:after="0"/>
              <w:rPr>
                <w:sz w:val="11"/>
                <w:szCs w:val="11"/>
                <w:color w:val="auto"/>
              </w:rPr>
            </w:pPr>
          </w:p>
        </w:tc>
        <w:tc>
          <w:tcPr>
            <w:tcW w:w="946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1240" w:type="dxa"/>
            <w:vAlign w:val="bottom"/>
          </w:tcPr>
          <w:p>
            <w:pPr>
              <w:spacing w:after="0"/>
              <w:rPr>
                <w:sz w:val="24"/>
                <w:szCs w:val="24"/>
                <w:color w:val="auto"/>
              </w:rPr>
            </w:pPr>
          </w:p>
        </w:tc>
        <w:tc>
          <w:tcPr>
            <w:tcW w:w="9460" w:type="dxa"/>
            <w:vAlign w:val="bottom"/>
          </w:tcPr>
          <w:p>
            <w:pPr>
              <w:jc w:val="center"/>
              <w:ind w:right="41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460" w:type="dxa"/>
            <w:vAlign w:val="bottom"/>
          </w:tcPr>
          <w:p>
            <w:pPr>
              <w:jc w:val="center"/>
              <w:ind w:right="430"/>
              <w:spacing w:after="0"/>
              <w:rPr>
                <w:sz w:val="20"/>
                <w:szCs w:val="20"/>
                <w:color w:val="auto"/>
              </w:rPr>
            </w:pPr>
            <w:r>
              <w:rPr>
                <w:rFonts w:ascii="Arial" w:cs="Arial" w:eastAsia="Arial" w:hAnsi="Arial"/>
                <w:sz w:val="18"/>
                <w:szCs w:val="18"/>
                <w:color w:val="auto"/>
                <w:w w:val="91"/>
              </w:rPr>
              <w:t>(continued)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24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1"/>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5.18</w:t>
            </w:r>
          </w:p>
        </w:tc>
        <w:tc>
          <w:tcPr>
            <w:tcW w:w="9460" w:type="dxa"/>
            <w:vAlign w:val="bottom"/>
          </w:tcPr>
          <w:p>
            <w:pPr>
              <w:ind w:left="180"/>
              <w:spacing w:after="0"/>
              <w:rPr>
                <w:sz w:val="20"/>
                <w:szCs w:val="20"/>
                <w:color w:val="auto"/>
              </w:rPr>
            </w:pPr>
            <w:r>
              <w:rPr>
                <w:rFonts w:ascii="Arial" w:cs="Arial" w:eastAsia="Arial" w:hAnsi="Arial"/>
                <w:sz w:val="18"/>
                <w:szCs w:val="18"/>
                <w:color w:val="auto"/>
              </w:rPr>
              <w:t>Solvency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5.19</w:t>
            </w:r>
          </w:p>
        </w:tc>
        <w:tc>
          <w:tcPr>
            <w:tcW w:w="9460" w:type="dxa"/>
            <w:vAlign w:val="bottom"/>
          </w:tcPr>
          <w:p>
            <w:pPr>
              <w:ind w:left="180"/>
              <w:spacing w:after="0"/>
              <w:rPr>
                <w:sz w:val="20"/>
                <w:szCs w:val="20"/>
                <w:color w:val="auto"/>
              </w:rPr>
            </w:pPr>
            <w:r>
              <w:rPr>
                <w:rFonts w:ascii="Arial" w:cs="Arial" w:eastAsia="Arial" w:hAnsi="Arial"/>
                <w:sz w:val="18"/>
                <w:szCs w:val="18"/>
                <w:color w:val="auto"/>
              </w:rPr>
              <w:t>No Burdensome Agreements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30"/>
        </w:trPr>
        <w:tc>
          <w:tcPr>
            <w:tcW w:w="1240" w:type="dxa"/>
            <w:vAlign w:val="bottom"/>
          </w:tcPr>
          <w:p>
            <w:pPr>
              <w:jc w:val="right"/>
              <w:ind w:right="290"/>
              <w:spacing w:after="0"/>
              <w:rPr>
                <w:sz w:val="20"/>
                <w:szCs w:val="20"/>
                <w:color w:val="auto"/>
              </w:rPr>
            </w:pPr>
            <w:r>
              <w:rPr>
                <w:rFonts w:ascii="Arial" w:cs="Arial" w:eastAsia="Arial" w:hAnsi="Arial"/>
                <w:sz w:val="18"/>
                <w:szCs w:val="18"/>
                <w:color w:val="auto"/>
              </w:rPr>
              <w:t>5.20</w:t>
            </w:r>
          </w:p>
        </w:tc>
        <w:tc>
          <w:tcPr>
            <w:tcW w:w="9460" w:type="dxa"/>
            <w:vAlign w:val="bottom"/>
          </w:tcPr>
          <w:p>
            <w:pPr>
              <w:ind w:left="180"/>
              <w:spacing w:after="0"/>
              <w:rPr>
                <w:sz w:val="20"/>
                <w:szCs w:val="20"/>
                <w:color w:val="auto"/>
              </w:rPr>
            </w:pPr>
            <w:r>
              <w:rPr>
                <w:rFonts w:ascii="Arial" w:cs="Arial" w:eastAsia="Arial" w:hAnsi="Arial"/>
                <w:sz w:val="18"/>
                <w:szCs w:val="18"/>
                <w:color w:val="auto"/>
              </w:rPr>
              <w:t>OFAC</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ARTICLE VI.</w:t>
            </w:r>
          </w:p>
        </w:tc>
        <w:tc>
          <w:tcPr>
            <w:tcW w:w="9460" w:type="dxa"/>
            <w:vAlign w:val="bottom"/>
          </w:tcPr>
          <w:p>
            <w:pPr>
              <w:ind w:left="440"/>
              <w:spacing w:after="0"/>
              <w:rPr>
                <w:sz w:val="20"/>
                <w:szCs w:val="20"/>
                <w:color w:val="auto"/>
              </w:rPr>
            </w:pPr>
            <w:r>
              <w:rPr>
                <w:rFonts w:ascii="Arial" w:cs="Arial" w:eastAsia="Arial" w:hAnsi="Arial"/>
                <w:sz w:val="18"/>
                <w:szCs w:val="18"/>
                <w:color w:val="auto"/>
              </w:rPr>
              <w:t>AFFIRMATIVE COVENANTS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-7771130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-7771130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-1725295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-1725295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6.01</w:t>
            </w:r>
          </w:p>
        </w:tc>
        <w:tc>
          <w:tcPr>
            <w:tcW w:w="9400" w:type="dxa"/>
            <w:vAlign w:val="bottom"/>
          </w:tcPr>
          <w:p>
            <w:pPr>
              <w:ind w:left="120"/>
              <w:spacing w:after="0"/>
              <w:rPr>
                <w:sz w:val="20"/>
                <w:szCs w:val="20"/>
                <w:color w:val="auto"/>
              </w:rPr>
            </w:pPr>
            <w:r>
              <w:rPr>
                <w:rFonts w:ascii="Arial" w:cs="Arial" w:eastAsia="Arial" w:hAnsi="Arial"/>
                <w:sz w:val="18"/>
                <w:szCs w:val="18"/>
                <w:color w:val="auto"/>
              </w:rPr>
              <w:t>Financial Statements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6.02</w:t>
            </w:r>
          </w:p>
        </w:tc>
        <w:tc>
          <w:tcPr>
            <w:tcW w:w="9400" w:type="dxa"/>
            <w:vAlign w:val="bottom"/>
          </w:tcPr>
          <w:p>
            <w:pPr>
              <w:ind w:left="120"/>
              <w:spacing w:after="0"/>
              <w:rPr>
                <w:sz w:val="20"/>
                <w:szCs w:val="20"/>
                <w:color w:val="auto"/>
              </w:rPr>
            </w:pPr>
            <w:r>
              <w:rPr>
                <w:rFonts w:ascii="Arial" w:cs="Arial" w:eastAsia="Arial" w:hAnsi="Arial"/>
                <w:sz w:val="18"/>
                <w:szCs w:val="18"/>
                <w:color w:val="auto"/>
              </w:rPr>
              <w:t>Certificates; Other Information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6.03</w:t>
            </w:r>
          </w:p>
        </w:tc>
        <w:tc>
          <w:tcPr>
            <w:tcW w:w="9400" w:type="dxa"/>
            <w:vAlign w:val="bottom"/>
          </w:tcPr>
          <w:p>
            <w:pPr>
              <w:ind w:left="120"/>
              <w:spacing w:after="0"/>
              <w:rPr>
                <w:sz w:val="20"/>
                <w:szCs w:val="20"/>
                <w:color w:val="auto"/>
              </w:rPr>
            </w:pPr>
            <w:r>
              <w:rPr>
                <w:rFonts w:ascii="Arial" w:cs="Arial" w:eastAsia="Arial" w:hAnsi="Arial"/>
                <w:sz w:val="18"/>
                <w:szCs w:val="18"/>
                <w:color w:val="auto"/>
              </w:rPr>
              <w:t>Notices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6.04</w:t>
            </w:r>
          </w:p>
        </w:tc>
        <w:tc>
          <w:tcPr>
            <w:tcW w:w="9400" w:type="dxa"/>
            <w:vAlign w:val="bottom"/>
          </w:tcPr>
          <w:p>
            <w:pPr>
              <w:ind w:left="120"/>
              <w:spacing w:after="0"/>
              <w:rPr>
                <w:sz w:val="20"/>
                <w:szCs w:val="20"/>
                <w:color w:val="auto"/>
              </w:rPr>
            </w:pPr>
            <w:r>
              <w:rPr>
                <w:rFonts w:ascii="Arial" w:cs="Arial" w:eastAsia="Arial" w:hAnsi="Arial"/>
                <w:sz w:val="18"/>
                <w:szCs w:val="18"/>
                <w:color w:val="auto"/>
              </w:rPr>
              <w:t>Payment of Obligations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6.05</w:t>
            </w:r>
          </w:p>
        </w:tc>
        <w:tc>
          <w:tcPr>
            <w:tcW w:w="9400" w:type="dxa"/>
            <w:vAlign w:val="bottom"/>
          </w:tcPr>
          <w:p>
            <w:pPr>
              <w:ind w:left="120"/>
              <w:spacing w:after="0"/>
              <w:rPr>
                <w:sz w:val="20"/>
                <w:szCs w:val="20"/>
                <w:color w:val="auto"/>
              </w:rPr>
            </w:pPr>
            <w:r>
              <w:rPr>
                <w:rFonts w:ascii="Arial" w:cs="Arial" w:eastAsia="Arial" w:hAnsi="Arial"/>
                <w:sz w:val="18"/>
                <w:szCs w:val="18"/>
                <w:color w:val="auto"/>
              </w:rPr>
              <w:t>Preservation of Existence, Etc.</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6.06</w:t>
            </w:r>
          </w:p>
        </w:tc>
        <w:tc>
          <w:tcPr>
            <w:tcW w:w="9400" w:type="dxa"/>
            <w:vAlign w:val="bottom"/>
          </w:tcPr>
          <w:p>
            <w:pPr>
              <w:ind w:left="120"/>
              <w:spacing w:after="0"/>
              <w:rPr>
                <w:sz w:val="20"/>
                <w:szCs w:val="20"/>
                <w:color w:val="auto"/>
              </w:rPr>
            </w:pPr>
            <w:r>
              <w:rPr>
                <w:rFonts w:ascii="Arial" w:cs="Arial" w:eastAsia="Arial" w:hAnsi="Arial"/>
                <w:sz w:val="18"/>
                <w:szCs w:val="18"/>
                <w:color w:val="auto"/>
              </w:rPr>
              <w:t>Maintenance of Properties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6.07</w:t>
            </w:r>
          </w:p>
        </w:tc>
        <w:tc>
          <w:tcPr>
            <w:tcW w:w="9400" w:type="dxa"/>
            <w:vAlign w:val="bottom"/>
          </w:tcPr>
          <w:p>
            <w:pPr>
              <w:ind w:left="120"/>
              <w:spacing w:after="0"/>
              <w:rPr>
                <w:sz w:val="20"/>
                <w:szCs w:val="20"/>
                <w:color w:val="auto"/>
              </w:rPr>
            </w:pPr>
            <w:r>
              <w:rPr>
                <w:rFonts w:ascii="Arial" w:cs="Arial" w:eastAsia="Arial" w:hAnsi="Arial"/>
                <w:sz w:val="18"/>
                <w:szCs w:val="18"/>
                <w:color w:val="auto"/>
              </w:rPr>
              <w:t>Maintenance of Insurance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6.08</w:t>
            </w:r>
          </w:p>
        </w:tc>
        <w:tc>
          <w:tcPr>
            <w:tcW w:w="9400" w:type="dxa"/>
            <w:vAlign w:val="bottom"/>
          </w:tcPr>
          <w:p>
            <w:pPr>
              <w:ind w:left="120"/>
              <w:spacing w:after="0"/>
              <w:rPr>
                <w:sz w:val="20"/>
                <w:szCs w:val="20"/>
                <w:color w:val="auto"/>
              </w:rPr>
            </w:pPr>
            <w:r>
              <w:rPr>
                <w:rFonts w:ascii="Arial" w:cs="Arial" w:eastAsia="Arial" w:hAnsi="Arial"/>
                <w:sz w:val="18"/>
                <w:szCs w:val="18"/>
                <w:color w:val="auto"/>
              </w:rPr>
              <w:t>Compliance with Laws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6.09</w:t>
            </w:r>
          </w:p>
        </w:tc>
        <w:tc>
          <w:tcPr>
            <w:tcW w:w="9400" w:type="dxa"/>
            <w:vAlign w:val="bottom"/>
          </w:tcPr>
          <w:p>
            <w:pPr>
              <w:ind w:left="120"/>
              <w:spacing w:after="0"/>
              <w:rPr>
                <w:sz w:val="20"/>
                <w:szCs w:val="20"/>
                <w:color w:val="auto"/>
              </w:rPr>
            </w:pPr>
            <w:r>
              <w:rPr>
                <w:rFonts w:ascii="Arial" w:cs="Arial" w:eastAsia="Arial" w:hAnsi="Arial"/>
                <w:sz w:val="18"/>
                <w:szCs w:val="18"/>
                <w:color w:val="auto"/>
              </w:rPr>
              <w:t>Books and Records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6.10</w:t>
            </w:r>
          </w:p>
        </w:tc>
        <w:tc>
          <w:tcPr>
            <w:tcW w:w="9400" w:type="dxa"/>
            <w:vAlign w:val="bottom"/>
          </w:tcPr>
          <w:p>
            <w:pPr>
              <w:ind w:left="120"/>
              <w:spacing w:after="0"/>
              <w:rPr>
                <w:sz w:val="20"/>
                <w:szCs w:val="20"/>
                <w:color w:val="auto"/>
              </w:rPr>
            </w:pPr>
            <w:r>
              <w:rPr>
                <w:rFonts w:ascii="Arial" w:cs="Arial" w:eastAsia="Arial" w:hAnsi="Arial"/>
                <w:sz w:val="18"/>
                <w:szCs w:val="18"/>
                <w:color w:val="auto"/>
              </w:rPr>
              <w:t>Inspection Rights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6.11</w:t>
            </w:r>
          </w:p>
        </w:tc>
        <w:tc>
          <w:tcPr>
            <w:tcW w:w="940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6.12</w:t>
            </w:r>
          </w:p>
        </w:tc>
        <w:tc>
          <w:tcPr>
            <w:tcW w:w="9400" w:type="dxa"/>
            <w:vAlign w:val="bottom"/>
          </w:tcPr>
          <w:p>
            <w:pPr>
              <w:ind w:left="120"/>
              <w:spacing w:after="0"/>
              <w:rPr>
                <w:sz w:val="20"/>
                <w:szCs w:val="20"/>
                <w:color w:val="auto"/>
              </w:rPr>
            </w:pPr>
            <w:r>
              <w:rPr>
                <w:rFonts w:ascii="Arial" w:cs="Arial" w:eastAsia="Arial" w:hAnsi="Arial"/>
                <w:sz w:val="18"/>
                <w:szCs w:val="18"/>
                <w:color w:val="auto"/>
              </w:rPr>
              <w:t>Additional Guarantors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6.13</w:t>
            </w:r>
          </w:p>
        </w:tc>
        <w:tc>
          <w:tcPr>
            <w:tcW w:w="9400" w:type="dxa"/>
            <w:vAlign w:val="bottom"/>
          </w:tcPr>
          <w:p>
            <w:pPr>
              <w:ind w:left="120"/>
              <w:spacing w:after="0"/>
              <w:rPr>
                <w:sz w:val="20"/>
                <w:szCs w:val="20"/>
                <w:color w:val="auto"/>
              </w:rPr>
            </w:pPr>
            <w:r>
              <w:rPr>
                <w:rFonts w:ascii="Arial" w:cs="Arial" w:eastAsia="Arial" w:hAnsi="Arial"/>
                <w:sz w:val="18"/>
                <w:szCs w:val="18"/>
                <w:color w:val="auto"/>
              </w:rPr>
              <w:t>Compliance with Environmental Laws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6.14</w:t>
            </w:r>
          </w:p>
        </w:tc>
        <w:tc>
          <w:tcPr>
            <w:tcW w:w="9400" w:type="dxa"/>
            <w:vAlign w:val="bottom"/>
          </w:tcPr>
          <w:p>
            <w:pPr>
              <w:ind w:left="120"/>
              <w:spacing w:after="0"/>
              <w:rPr>
                <w:sz w:val="20"/>
                <w:szCs w:val="20"/>
                <w:color w:val="auto"/>
              </w:rPr>
            </w:pPr>
            <w:r>
              <w:rPr>
                <w:rFonts w:ascii="Arial" w:cs="Arial" w:eastAsia="Arial" w:hAnsi="Arial"/>
                <w:sz w:val="18"/>
                <w:szCs w:val="18"/>
                <w:color w:val="auto"/>
              </w:rPr>
              <w:t>Further Assurances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6.15</w:t>
            </w:r>
          </w:p>
        </w:tc>
        <w:tc>
          <w:tcPr>
            <w:tcW w:w="9400" w:type="dxa"/>
            <w:vAlign w:val="bottom"/>
          </w:tcPr>
          <w:p>
            <w:pPr>
              <w:ind w:left="120"/>
              <w:spacing w:after="0"/>
              <w:rPr>
                <w:sz w:val="20"/>
                <w:szCs w:val="20"/>
                <w:color w:val="auto"/>
              </w:rPr>
            </w:pPr>
            <w:r>
              <w:rPr>
                <w:rFonts w:ascii="Arial" w:cs="Arial" w:eastAsia="Arial" w:hAnsi="Arial"/>
                <w:sz w:val="18"/>
                <w:szCs w:val="18"/>
                <w:color w:val="auto"/>
              </w:rPr>
              <w:t>Material Contracts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30"/>
        </w:trPr>
        <w:tc>
          <w:tcPr>
            <w:tcW w:w="1300" w:type="dxa"/>
            <w:vAlign w:val="bottom"/>
          </w:tcPr>
          <w:p>
            <w:pPr>
              <w:ind w:left="540"/>
              <w:spacing w:after="0"/>
              <w:rPr>
                <w:sz w:val="20"/>
                <w:szCs w:val="20"/>
                <w:color w:val="auto"/>
              </w:rPr>
            </w:pPr>
            <w:r>
              <w:rPr>
                <w:rFonts w:ascii="Arial" w:cs="Arial" w:eastAsia="Arial" w:hAnsi="Arial"/>
                <w:sz w:val="18"/>
                <w:szCs w:val="18"/>
                <w:color w:val="auto"/>
              </w:rPr>
              <w:t>6.16</w:t>
            </w:r>
          </w:p>
        </w:tc>
        <w:tc>
          <w:tcPr>
            <w:tcW w:w="9400" w:type="dxa"/>
            <w:vAlign w:val="bottom"/>
          </w:tcPr>
          <w:p>
            <w:pPr>
              <w:ind w:left="120"/>
              <w:spacing w:after="0"/>
              <w:rPr>
                <w:sz w:val="20"/>
                <w:szCs w:val="20"/>
                <w:color w:val="auto"/>
              </w:rPr>
            </w:pPr>
            <w:r>
              <w:rPr>
                <w:rFonts w:ascii="Arial" w:cs="Arial" w:eastAsia="Arial" w:hAnsi="Arial"/>
                <w:sz w:val="18"/>
                <w:szCs w:val="18"/>
                <w:color w:val="auto"/>
              </w:rPr>
              <w:t>BSA Provision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ARTICLE VII.</w:t>
            </w:r>
          </w:p>
        </w:tc>
        <w:tc>
          <w:tcPr>
            <w:tcW w:w="9400" w:type="dxa"/>
            <w:vAlign w:val="bottom"/>
          </w:tcPr>
          <w:p>
            <w:pPr>
              <w:ind w:left="380"/>
              <w:spacing w:after="0"/>
              <w:rPr>
                <w:sz w:val="20"/>
                <w:szCs w:val="20"/>
                <w:color w:val="auto"/>
              </w:rPr>
            </w:pPr>
            <w:r>
              <w:rPr>
                <w:rFonts w:ascii="Arial" w:cs="Arial" w:eastAsia="Arial" w:hAnsi="Arial"/>
                <w:sz w:val="18"/>
                <w:szCs w:val="18"/>
                <w:color w:val="auto"/>
              </w:rPr>
              <w:t>NEGATIVE COVENANTS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418"/>
        </w:trPr>
        <w:tc>
          <w:tcPr>
            <w:tcW w:w="1300" w:type="dxa"/>
            <w:vAlign w:val="bottom"/>
          </w:tcPr>
          <w:p>
            <w:pPr>
              <w:ind w:left="540"/>
              <w:spacing w:after="0"/>
              <w:rPr>
                <w:sz w:val="20"/>
                <w:szCs w:val="20"/>
                <w:color w:val="auto"/>
              </w:rPr>
            </w:pPr>
            <w:r>
              <w:rPr>
                <w:rFonts w:ascii="Arial" w:cs="Arial" w:eastAsia="Arial" w:hAnsi="Arial"/>
                <w:sz w:val="18"/>
                <w:szCs w:val="18"/>
                <w:color w:val="auto"/>
              </w:rPr>
              <w:t>7.01</w:t>
            </w:r>
          </w:p>
        </w:tc>
        <w:tc>
          <w:tcPr>
            <w:tcW w:w="9400" w:type="dxa"/>
            <w:vAlign w:val="bottom"/>
          </w:tcPr>
          <w:p>
            <w:pPr>
              <w:ind w:left="120"/>
              <w:spacing w:after="0"/>
              <w:rPr>
                <w:sz w:val="20"/>
                <w:szCs w:val="20"/>
                <w:color w:val="auto"/>
              </w:rPr>
            </w:pPr>
            <w:r>
              <w:rPr>
                <w:rFonts w:ascii="Arial" w:cs="Arial" w:eastAsia="Arial" w:hAnsi="Arial"/>
                <w:sz w:val="18"/>
                <w:szCs w:val="18"/>
                <w:color w:val="auto"/>
              </w:rPr>
              <w:t>Liens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7.02</w:t>
            </w:r>
          </w:p>
        </w:tc>
        <w:tc>
          <w:tcPr>
            <w:tcW w:w="940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7.03</w:t>
            </w:r>
          </w:p>
        </w:tc>
        <w:tc>
          <w:tcPr>
            <w:tcW w:w="9400" w:type="dxa"/>
            <w:vAlign w:val="bottom"/>
          </w:tcPr>
          <w:p>
            <w:pPr>
              <w:ind w:left="120"/>
              <w:spacing w:after="0"/>
              <w:rPr>
                <w:sz w:val="20"/>
                <w:szCs w:val="20"/>
                <w:color w:val="auto"/>
              </w:rPr>
            </w:pPr>
            <w:r>
              <w:rPr>
                <w:rFonts w:ascii="Arial" w:cs="Arial" w:eastAsia="Arial" w:hAnsi="Arial"/>
                <w:sz w:val="18"/>
                <w:szCs w:val="18"/>
                <w:color w:val="auto"/>
              </w:rPr>
              <w:t>Indebtedness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7.04</w:t>
            </w:r>
          </w:p>
        </w:tc>
        <w:tc>
          <w:tcPr>
            <w:tcW w:w="9400" w:type="dxa"/>
            <w:vAlign w:val="bottom"/>
          </w:tcPr>
          <w:p>
            <w:pPr>
              <w:ind w:left="120"/>
              <w:spacing w:after="0"/>
              <w:rPr>
                <w:sz w:val="20"/>
                <w:szCs w:val="20"/>
                <w:color w:val="auto"/>
              </w:rPr>
            </w:pPr>
            <w:r>
              <w:rPr>
                <w:rFonts w:ascii="Arial" w:cs="Arial" w:eastAsia="Arial" w:hAnsi="Arial"/>
                <w:sz w:val="18"/>
                <w:szCs w:val="18"/>
                <w:color w:val="auto"/>
              </w:rPr>
              <w:t>Fundamental Changes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7.05</w:t>
            </w:r>
          </w:p>
        </w:tc>
        <w:tc>
          <w:tcPr>
            <w:tcW w:w="9400" w:type="dxa"/>
            <w:vAlign w:val="bottom"/>
          </w:tcPr>
          <w:p>
            <w:pPr>
              <w:ind w:left="120"/>
              <w:spacing w:after="0"/>
              <w:rPr>
                <w:sz w:val="20"/>
                <w:szCs w:val="20"/>
                <w:color w:val="auto"/>
              </w:rPr>
            </w:pPr>
            <w:r>
              <w:rPr>
                <w:rFonts w:ascii="Arial" w:cs="Arial" w:eastAsia="Arial" w:hAnsi="Arial"/>
                <w:sz w:val="18"/>
                <w:szCs w:val="18"/>
                <w:color w:val="auto"/>
              </w:rPr>
              <w:t>Dispositions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7.06</w:t>
            </w:r>
          </w:p>
        </w:tc>
        <w:tc>
          <w:tcPr>
            <w:tcW w:w="9400" w:type="dxa"/>
            <w:vAlign w:val="bottom"/>
          </w:tcPr>
          <w:p>
            <w:pPr>
              <w:ind w:left="120"/>
              <w:spacing w:after="0"/>
              <w:rPr>
                <w:sz w:val="20"/>
                <w:szCs w:val="20"/>
                <w:color w:val="auto"/>
              </w:rPr>
            </w:pPr>
            <w:r>
              <w:rPr>
                <w:rFonts w:ascii="Arial" w:cs="Arial" w:eastAsia="Arial" w:hAnsi="Arial"/>
                <w:sz w:val="18"/>
                <w:szCs w:val="18"/>
                <w:color w:val="auto"/>
              </w:rPr>
              <w:t>Restricted Payments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7.07</w:t>
            </w:r>
          </w:p>
        </w:tc>
        <w:tc>
          <w:tcPr>
            <w:tcW w:w="9400" w:type="dxa"/>
            <w:vAlign w:val="bottom"/>
          </w:tcPr>
          <w:p>
            <w:pPr>
              <w:ind w:left="120"/>
              <w:spacing w:after="0"/>
              <w:rPr>
                <w:sz w:val="20"/>
                <w:szCs w:val="20"/>
                <w:color w:val="auto"/>
              </w:rPr>
            </w:pPr>
            <w:r>
              <w:rPr>
                <w:rFonts w:ascii="Arial" w:cs="Arial" w:eastAsia="Arial" w:hAnsi="Arial"/>
                <w:sz w:val="18"/>
                <w:szCs w:val="18"/>
                <w:color w:val="auto"/>
              </w:rPr>
              <w:t>Change in Nature of Business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30"/>
        </w:trPr>
        <w:tc>
          <w:tcPr>
            <w:tcW w:w="1300" w:type="dxa"/>
            <w:vAlign w:val="bottom"/>
          </w:tcPr>
          <w:p>
            <w:pPr>
              <w:ind w:left="540"/>
              <w:spacing w:after="0"/>
              <w:rPr>
                <w:sz w:val="20"/>
                <w:szCs w:val="20"/>
                <w:color w:val="auto"/>
              </w:rPr>
            </w:pPr>
            <w:r>
              <w:rPr>
                <w:rFonts w:ascii="Arial" w:cs="Arial" w:eastAsia="Arial" w:hAnsi="Arial"/>
                <w:sz w:val="18"/>
                <w:szCs w:val="18"/>
                <w:color w:val="auto"/>
              </w:rPr>
              <w:t>7.08</w:t>
            </w:r>
          </w:p>
        </w:tc>
        <w:tc>
          <w:tcPr>
            <w:tcW w:w="9400" w:type="dxa"/>
            <w:vAlign w:val="bottom"/>
          </w:tcPr>
          <w:p>
            <w:pPr>
              <w:ind w:left="120"/>
              <w:spacing w:after="0"/>
              <w:rPr>
                <w:sz w:val="20"/>
                <w:szCs w:val="20"/>
                <w:color w:val="auto"/>
              </w:rPr>
            </w:pPr>
            <w:r>
              <w:rPr>
                <w:rFonts w:ascii="Arial" w:cs="Arial" w:eastAsia="Arial" w:hAnsi="Arial"/>
                <w:sz w:val="18"/>
                <w:szCs w:val="18"/>
                <w:color w:val="auto"/>
              </w:rPr>
              <w:t>Transactions with Affiliates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432"/>
        </w:trPr>
        <w:tc>
          <w:tcPr>
            <w:tcW w:w="1300" w:type="dxa"/>
            <w:vAlign w:val="bottom"/>
          </w:tcPr>
          <w:p>
            <w:pPr>
              <w:spacing w:after="0"/>
              <w:rPr>
                <w:sz w:val="24"/>
                <w:szCs w:val="24"/>
                <w:color w:val="auto"/>
              </w:rPr>
            </w:pPr>
          </w:p>
        </w:tc>
        <w:tc>
          <w:tcPr>
            <w:tcW w:w="9400" w:type="dxa"/>
            <w:vAlign w:val="bottom"/>
          </w:tcPr>
          <w:p>
            <w:pPr>
              <w:jc w:val="center"/>
              <w:ind w:right="490"/>
              <w:spacing w:after="0"/>
              <w:rPr>
                <w:sz w:val="20"/>
                <w:szCs w:val="20"/>
                <w:color w:val="auto"/>
              </w:rPr>
            </w:pPr>
            <w:r>
              <w:rPr>
                <w:rFonts w:ascii="Arial" w:cs="Arial" w:eastAsia="Arial" w:hAnsi="Arial"/>
                <w:sz w:val="18"/>
                <w:szCs w:val="18"/>
                <w:color w:val="auto"/>
              </w:rPr>
              <w:t>iii</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940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6"/>
        </w:trPr>
        <w:tc>
          <w:tcPr>
            <w:tcW w:w="1300" w:type="dxa"/>
            <w:vAlign w:val="bottom"/>
          </w:tcPr>
          <w:p>
            <w:pPr>
              <w:spacing w:after="0"/>
              <w:rPr>
                <w:sz w:val="24"/>
                <w:szCs w:val="24"/>
                <w:color w:val="auto"/>
              </w:rPr>
            </w:pPr>
          </w:p>
        </w:tc>
        <w:tc>
          <w:tcPr>
            <w:tcW w:w="9400" w:type="dxa"/>
            <w:vAlign w:val="bottom"/>
          </w:tcPr>
          <w:p>
            <w:pPr>
              <w:jc w:val="center"/>
              <w:ind w:right="47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9400" w:type="dxa"/>
            <w:vAlign w:val="bottom"/>
          </w:tcPr>
          <w:p>
            <w:pPr>
              <w:jc w:val="center"/>
              <w:ind w:right="490"/>
              <w:spacing w:after="0"/>
              <w:rPr>
                <w:sz w:val="20"/>
                <w:szCs w:val="20"/>
                <w:color w:val="auto"/>
              </w:rPr>
            </w:pPr>
            <w:r>
              <w:rPr>
                <w:rFonts w:ascii="Arial" w:cs="Arial" w:eastAsia="Arial" w:hAnsi="Arial"/>
                <w:sz w:val="18"/>
                <w:szCs w:val="18"/>
                <w:color w:val="auto"/>
                <w:w w:val="91"/>
              </w:rPr>
              <w:t>(continued)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300" w:type="dxa"/>
            <w:vAlign w:val="bottom"/>
          </w:tcPr>
          <w:p>
            <w:pPr>
              <w:spacing w:after="0"/>
              <w:rPr>
                <w:sz w:val="24"/>
                <w:szCs w:val="24"/>
                <w:color w:val="auto"/>
              </w:rPr>
            </w:pPr>
          </w:p>
        </w:tc>
        <w:tc>
          <w:tcPr>
            <w:tcW w:w="9400" w:type="dxa"/>
            <w:vAlign w:val="bottom"/>
          </w:tcPr>
          <w:p>
            <w:pPr>
              <w:spacing w:after="0"/>
              <w:rPr>
                <w:sz w:val="24"/>
                <w:szCs w:val="24"/>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1"/>
        </w:trPr>
        <w:tc>
          <w:tcPr>
            <w:tcW w:w="1300" w:type="dxa"/>
            <w:vAlign w:val="bottom"/>
          </w:tcPr>
          <w:p>
            <w:pPr>
              <w:ind w:left="540"/>
              <w:spacing w:after="0"/>
              <w:rPr>
                <w:sz w:val="20"/>
                <w:szCs w:val="20"/>
                <w:color w:val="auto"/>
              </w:rPr>
            </w:pPr>
            <w:r>
              <w:rPr>
                <w:rFonts w:ascii="Arial" w:cs="Arial" w:eastAsia="Arial" w:hAnsi="Arial"/>
                <w:sz w:val="18"/>
                <w:szCs w:val="18"/>
                <w:color w:val="auto"/>
              </w:rPr>
              <w:t>7.09</w:t>
            </w:r>
          </w:p>
        </w:tc>
        <w:tc>
          <w:tcPr>
            <w:tcW w:w="9400" w:type="dxa"/>
            <w:vAlign w:val="bottom"/>
          </w:tcPr>
          <w:p>
            <w:pPr>
              <w:ind w:left="120"/>
              <w:spacing w:after="0"/>
              <w:rPr>
                <w:sz w:val="20"/>
                <w:szCs w:val="20"/>
                <w:color w:val="auto"/>
              </w:rPr>
            </w:pPr>
            <w:r>
              <w:rPr>
                <w:rFonts w:ascii="Arial" w:cs="Arial" w:eastAsia="Arial" w:hAnsi="Arial"/>
                <w:sz w:val="18"/>
                <w:szCs w:val="18"/>
                <w:color w:val="auto"/>
              </w:rPr>
              <w:t>Burdensome Agreements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7.10</w:t>
            </w:r>
          </w:p>
        </w:tc>
        <w:tc>
          <w:tcPr>
            <w:tcW w:w="9400" w:type="dxa"/>
            <w:vAlign w:val="bottom"/>
          </w:tcPr>
          <w:p>
            <w:pPr>
              <w:ind w:left="120"/>
              <w:spacing w:after="0"/>
              <w:rPr>
                <w:sz w:val="20"/>
                <w:szCs w:val="20"/>
                <w:color w:val="auto"/>
              </w:rPr>
            </w:pPr>
            <w:r>
              <w:rPr>
                <w:rFonts w:ascii="Arial" w:cs="Arial" w:eastAsia="Arial" w:hAnsi="Arial"/>
                <w:sz w:val="18"/>
                <w:szCs w:val="18"/>
                <w:color w:val="auto"/>
              </w:rPr>
              <w:t>Use of Proceeds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7.11</w:t>
            </w:r>
          </w:p>
        </w:tc>
        <w:tc>
          <w:tcPr>
            <w:tcW w:w="9400" w:type="dxa"/>
            <w:vAlign w:val="bottom"/>
          </w:tcPr>
          <w:p>
            <w:pPr>
              <w:ind w:left="120"/>
              <w:spacing w:after="0"/>
              <w:rPr>
                <w:sz w:val="20"/>
                <w:szCs w:val="20"/>
                <w:color w:val="auto"/>
              </w:rPr>
            </w:pPr>
            <w:r>
              <w:rPr>
                <w:rFonts w:ascii="Arial" w:cs="Arial" w:eastAsia="Arial" w:hAnsi="Arial"/>
                <w:sz w:val="18"/>
                <w:szCs w:val="18"/>
                <w:color w:val="auto"/>
              </w:rPr>
              <w:t>Financial Covenants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7.12</w:t>
            </w:r>
          </w:p>
        </w:tc>
        <w:tc>
          <w:tcPr>
            <w:tcW w:w="9400" w:type="dxa"/>
            <w:vAlign w:val="bottom"/>
          </w:tcPr>
          <w:p>
            <w:pPr>
              <w:ind w:left="120"/>
              <w:spacing w:after="0"/>
              <w:rPr>
                <w:sz w:val="20"/>
                <w:szCs w:val="20"/>
                <w:color w:val="auto"/>
              </w:rPr>
            </w:pPr>
            <w:r>
              <w:rPr>
                <w:rFonts w:ascii="Arial" w:cs="Arial" w:eastAsia="Arial" w:hAnsi="Arial"/>
                <w:sz w:val="18"/>
                <w:szCs w:val="18"/>
                <w:color w:val="auto"/>
              </w:rPr>
              <w:t>Amendments of Organization Documents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7.13</w:t>
            </w:r>
          </w:p>
        </w:tc>
        <w:tc>
          <w:tcPr>
            <w:tcW w:w="9400" w:type="dxa"/>
            <w:vAlign w:val="bottom"/>
          </w:tcPr>
          <w:p>
            <w:pPr>
              <w:ind w:left="120"/>
              <w:spacing w:after="0"/>
              <w:rPr>
                <w:sz w:val="20"/>
                <w:szCs w:val="20"/>
                <w:color w:val="auto"/>
              </w:rPr>
            </w:pPr>
            <w:r>
              <w:rPr>
                <w:rFonts w:ascii="Arial" w:cs="Arial" w:eastAsia="Arial" w:hAnsi="Arial"/>
                <w:sz w:val="18"/>
                <w:szCs w:val="18"/>
                <w:color w:val="auto"/>
              </w:rPr>
              <w:t>Inactive Subsidiaries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7.14</w:t>
            </w:r>
          </w:p>
        </w:tc>
        <w:tc>
          <w:tcPr>
            <w:tcW w:w="9400" w:type="dxa"/>
            <w:vAlign w:val="bottom"/>
          </w:tcPr>
          <w:p>
            <w:pPr>
              <w:ind w:left="120"/>
              <w:spacing w:after="0"/>
              <w:rPr>
                <w:sz w:val="20"/>
                <w:szCs w:val="20"/>
                <w:color w:val="auto"/>
              </w:rPr>
            </w:pPr>
            <w:r>
              <w:rPr>
                <w:rFonts w:ascii="Arial" w:cs="Arial" w:eastAsia="Arial" w:hAnsi="Arial"/>
                <w:sz w:val="18"/>
                <w:szCs w:val="18"/>
                <w:color w:val="auto"/>
              </w:rPr>
              <w:t>Amendments of Approved Convertible Debt Documents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30"/>
        </w:trPr>
        <w:tc>
          <w:tcPr>
            <w:tcW w:w="1300" w:type="dxa"/>
            <w:vAlign w:val="bottom"/>
          </w:tcPr>
          <w:p>
            <w:pPr>
              <w:ind w:left="540"/>
              <w:spacing w:after="0"/>
              <w:rPr>
                <w:sz w:val="20"/>
                <w:szCs w:val="20"/>
                <w:color w:val="auto"/>
              </w:rPr>
            </w:pPr>
            <w:r>
              <w:rPr>
                <w:rFonts w:ascii="Arial" w:cs="Arial" w:eastAsia="Arial" w:hAnsi="Arial"/>
                <w:sz w:val="18"/>
                <w:szCs w:val="18"/>
                <w:color w:val="auto"/>
              </w:rPr>
              <w:t>7.15</w:t>
            </w:r>
          </w:p>
        </w:tc>
        <w:tc>
          <w:tcPr>
            <w:tcW w:w="9400" w:type="dxa"/>
            <w:vAlign w:val="bottom"/>
          </w:tcPr>
          <w:p>
            <w:pPr>
              <w:ind w:left="120"/>
              <w:spacing w:after="0"/>
              <w:rPr>
                <w:sz w:val="20"/>
                <w:szCs w:val="20"/>
                <w:color w:val="auto"/>
              </w:rPr>
            </w:pPr>
            <w:r>
              <w:rPr>
                <w:rFonts w:ascii="Arial" w:cs="Arial" w:eastAsia="Arial" w:hAnsi="Arial"/>
                <w:sz w:val="18"/>
                <w:szCs w:val="18"/>
                <w:color w:val="auto"/>
              </w:rPr>
              <w:t>Sanctions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ARTICLE VIII.</w:t>
            </w:r>
          </w:p>
        </w:tc>
        <w:tc>
          <w:tcPr>
            <w:tcW w:w="9400" w:type="dxa"/>
            <w:vAlign w:val="bottom"/>
          </w:tcPr>
          <w:p>
            <w:pPr>
              <w:ind w:left="380"/>
              <w:spacing w:after="0"/>
              <w:rPr>
                <w:sz w:val="20"/>
                <w:szCs w:val="20"/>
                <w:color w:val="auto"/>
              </w:rPr>
            </w:pPr>
            <w:r>
              <w:rPr>
                <w:rFonts w:ascii="Arial" w:cs="Arial" w:eastAsia="Arial" w:hAnsi="Arial"/>
                <w:sz w:val="18"/>
                <w:szCs w:val="18"/>
                <w:color w:val="auto"/>
              </w:rPr>
              <w:t>EVENTS OF DEFAULT AND REMEDIES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418"/>
        </w:trPr>
        <w:tc>
          <w:tcPr>
            <w:tcW w:w="1300" w:type="dxa"/>
            <w:vAlign w:val="bottom"/>
          </w:tcPr>
          <w:p>
            <w:pPr>
              <w:ind w:left="540"/>
              <w:spacing w:after="0"/>
              <w:rPr>
                <w:sz w:val="20"/>
                <w:szCs w:val="20"/>
                <w:color w:val="auto"/>
              </w:rPr>
            </w:pPr>
            <w:r>
              <w:rPr>
                <w:rFonts w:ascii="Arial" w:cs="Arial" w:eastAsia="Arial" w:hAnsi="Arial"/>
                <w:sz w:val="18"/>
                <w:szCs w:val="18"/>
                <w:color w:val="auto"/>
              </w:rPr>
              <w:t>8.01</w:t>
            </w:r>
          </w:p>
        </w:tc>
        <w:tc>
          <w:tcPr>
            <w:tcW w:w="940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8.02</w:t>
            </w:r>
          </w:p>
        </w:tc>
        <w:tc>
          <w:tcPr>
            <w:tcW w:w="9400" w:type="dxa"/>
            <w:vAlign w:val="bottom"/>
          </w:tcPr>
          <w:p>
            <w:pPr>
              <w:ind w:left="120"/>
              <w:spacing w:after="0"/>
              <w:rPr>
                <w:sz w:val="20"/>
                <w:szCs w:val="20"/>
                <w:color w:val="auto"/>
              </w:rPr>
            </w:pPr>
            <w:r>
              <w:rPr>
                <w:rFonts w:ascii="Arial" w:cs="Arial" w:eastAsia="Arial" w:hAnsi="Arial"/>
                <w:sz w:val="18"/>
                <w:szCs w:val="18"/>
                <w:color w:val="auto"/>
              </w:rPr>
              <w:t>Remedies Upon Event of Default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30"/>
        </w:trPr>
        <w:tc>
          <w:tcPr>
            <w:tcW w:w="1300" w:type="dxa"/>
            <w:vAlign w:val="bottom"/>
          </w:tcPr>
          <w:p>
            <w:pPr>
              <w:ind w:left="540"/>
              <w:spacing w:after="0"/>
              <w:rPr>
                <w:sz w:val="20"/>
                <w:szCs w:val="20"/>
                <w:color w:val="auto"/>
              </w:rPr>
            </w:pPr>
            <w:r>
              <w:rPr>
                <w:rFonts w:ascii="Arial" w:cs="Arial" w:eastAsia="Arial" w:hAnsi="Arial"/>
                <w:sz w:val="18"/>
                <w:szCs w:val="18"/>
                <w:color w:val="auto"/>
              </w:rPr>
              <w:t>8.03</w:t>
            </w:r>
          </w:p>
        </w:tc>
        <w:tc>
          <w:tcPr>
            <w:tcW w:w="9400" w:type="dxa"/>
            <w:vAlign w:val="bottom"/>
          </w:tcPr>
          <w:p>
            <w:pPr>
              <w:ind w:left="120"/>
              <w:spacing w:after="0"/>
              <w:rPr>
                <w:sz w:val="20"/>
                <w:szCs w:val="20"/>
                <w:color w:val="auto"/>
              </w:rPr>
            </w:pPr>
            <w:r>
              <w:rPr>
                <w:rFonts w:ascii="Arial" w:cs="Arial" w:eastAsia="Arial" w:hAnsi="Arial"/>
                <w:sz w:val="18"/>
                <w:szCs w:val="18"/>
                <w:color w:val="auto"/>
              </w:rPr>
              <w:t>Application of Funds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ARTICLE IX.</w:t>
            </w:r>
          </w:p>
        </w:tc>
        <w:tc>
          <w:tcPr>
            <w:tcW w:w="9400" w:type="dxa"/>
            <w:vAlign w:val="bottom"/>
          </w:tcPr>
          <w:p>
            <w:pPr>
              <w:ind w:left="380"/>
              <w:spacing w:after="0"/>
              <w:rPr>
                <w:sz w:val="20"/>
                <w:szCs w:val="20"/>
                <w:color w:val="auto"/>
              </w:rPr>
            </w:pPr>
            <w:r>
              <w:rPr>
                <w:rFonts w:ascii="Arial" w:cs="Arial" w:eastAsia="Arial" w:hAnsi="Arial"/>
                <w:sz w:val="18"/>
                <w:szCs w:val="18"/>
                <w:color w:val="auto"/>
              </w:rPr>
              <w:t>ADMINISTRATIVE AGENT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418"/>
        </w:trPr>
        <w:tc>
          <w:tcPr>
            <w:tcW w:w="1300" w:type="dxa"/>
            <w:vAlign w:val="bottom"/>
          </w:tcPr>
          <w:p>
            <w:pPr>
              <w:ind w:left="540"/>
              <w:spacing w:after="0"/>
              <w:rPr>
                <w:sz w:val="20"/>
                <w:szCs w:val="20"/>
                <w:color w:val="auto"/>
              </w:rPr>
            </w:pPr>
            <w:r>
              <w:rPr>
                <w:rFonts w:ascii="Arial" w:cs="Arial" w:eastAsia="Arial" w:hAnsi="Arial"/>
                <w:sz w:val="18"/>
                <w:szCs w:val="18"/>
                <w:color w:val="auto"/>
              </w:rPr>
              <w:t>9.01</w:t>
            </w:r>
          </w:p>
        </w:tc>
        <w:tc>
          <w:tcPr>
            <w:tcW w:w="9400" w:type="dxa"/>
            <w:vAlign w:val="bottom"/>
          </w:tcPr>
          <w:p>
            <w:pPr>
              <w:ind w:left="120"/>
              <w:spacing w:after="0"/>
              <w:rPr>
                <w:sz w:val="20"/>
                <w:szCs w:val="20"/>
                <w:color w:val="auto"/>
              </w:rPr>
            </w:pPr>
            <w:r>
              <w:rPr>
                <w:rFonts w:ascii="Arial" w:cs="Arial" w:eastAsia="Arial" w:hAnsi="Arial"/>
                <w:sz w:val="18"/>
                <w:szCs w:val="18"/>
                <w:color w:val="auto"/>
              </w:rPr>
              <w:t>Appointment and Authority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9.02</w:t>
            </w:r>
          </w:p>
        </w:tc>
        <w:tc>
          <w:tcPr>
            <w:tcW w:w="9400" w:type="dxa"/>
            <w:vAlign w:val="bottom"/>
          </w:tcPr>
          <w:p>
            <w:pPr>
              <w:ind w:left="120"/>
              <w:spacing w:after="0"/>
              <w:rPr>
                <w:sz w:val="20"/>
                <w:szCs w:val="20"/>
                <w:color w:val="auto"/>
              </w:rPr>
            </w:pPr>
            <w:r>
              <w:rPr>
                <w:rFonts w:ascii="Arial" w:cs="Arial" w:eastAsia="Arial" w:hAnsi="Arial"/>
                <w:sz w:val="18"/>
                <w:szCs w:val="18"/>
                <w:color w:val="auto"/>
              </w:rPr>
              <w:t>Rights as a Lender</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9.03</w:t>
            </w:r>
          </w:p>
        </w:tc>
        <w:tc>
          <w:tcPr>
            <w:tcW w:w="9400" w:type="dxa"/>
            <w:vAlign w:val="bottom"/>
          </w:tcPr>
          <w:p>
            <w:pPr>
              <w:ind w:left="120"/>
              <w:spacing w:after="0"/>
              <w:rPr>
                <w:sz w:val="20"/>
                <w:szCs w:val="20"/>
                <w:color w:val="auto"/>
              </w:rPr>
            </w:pPr>
            <w:r>
              <w:rPr>
                <w:rFonts w:ascii="Arial" w:cs="Arial" w:eastAsia="Arial" w:hAnsi="Arial"/>
                <w:sz w:val="18"/>
                <w:szCs w:val="18"/>
                <w:color w:val="auto"/>
              </w:rPr>
              <w:t>Exculpatory Provisions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9.04</w:t>
            </w:r>
          </w:p>
        </w:tc>
        <w:tc>
          <w:tcPr>
            <w:tcW w:w="9400" w:type="dxa"/>
            <w:vAlign w:val="bottom"/>
          </w:tcPr>
          <w:p>
            <w:pPr>
              <w:ind w:left="120"/>
              <w:spacing w:after="0"/>
              <w:rPr>
                <w:sz w:val="20"/>
                <w:szCs w:val="20"/>
                <w:color w:val="auto"/>
              </w:rPr>
            </w:pPr>
            <w:r>
              <w:rPr>
                <w:rFonts w:ascii="Arial" w:cs="Arial" w:eastAsia="Arial" w:hAnsi="Arial"/>
                <w:sz w:val="18"/>
                <w:szCs w:val="18"/>
                <w:color w:val="auto"/>
              </w:rPr>
              <w:t>Reliance by Administrative Agent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9.05</w:t>
            </w:r>
          </w:p>
        </w:tc>
        <w:tc>
          <w:tcPr>
            <w:tcW w:w="9400" w:type="dxa"/>
            <w:vAlign w:val="bottom"/>
          </w:tcPr>
          <w:p>
            <w:pPr>
              <w:ind w:left="120"/>
              <w:spacing w:after="0"/>
              <w:rPr>
                <w:sz w:val="20"/>
                <w:szCs w:val="20"/>
                <w:color w:val="auto"/>
              </w:rPr>
            </w:pPr>
            <w:r>
              <w:rPr>
                <w:rFonts w:ascii="Arial" w:cs="Arial" w:eastAsia="Arial" w:hAnsi="Arial"/>
                <w:sz w:val="18"/>
                <w:szCs w:val="18"/>
                <w:color w:val="auto"/>
              </w:rPr>
              <w:t>Delegation of Duties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9.06</w:t>
            </w:r>
          </w:p>
        </w:tc>
        <w:tc>
          <w:tcPr>
            <w:tcW w:w="9400" w:type="dxa"/>
            <w:vAlign w:val="bottom"/>
          </w:tcPr>
          <w:p>
            <w:pPr>
              <w:ind w:left="120"/>
              <w:spacing w:after="0"/>
              <w:rPr>
                <w:sz w:val="20"/>
                <w:szCs w:val="20"/>
                <w:color w:val="auto"/>
              </w:rPr>
            </w:pPr>
            <w:r>
              <w:rPr>
                <w:rFonts w:ascii="Arial" w:cs="Arial" w:eastAsia="Arial" w:hAnsi="Arial"/>
                <w:sz w:val="18"/>
                <w:szCs w:val="18"/>
                <w:color w:val="auto"/>
              </w:rPr>
              <w:t>Resignation of Administrative Agent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9.07</w:t>
            </w:r>
          </w:p>
        </w:tc>
        <w:tc>
          <w:tcPr>
            <w:tcW w:w="9400" w:type="dxa"/>
            <w:vAlign w:val="bottom"/>
          </w:tcPr>
          <w:p>
            <w:pPr>
              <w:ind w:left="120"/>
              <w:spacing w:after="0"/>
              <w:rPr>
                <w:sz w:val="20"/>
                <w:szCs w:val="20"/>
                <w:color w:val="auto"/>
              </w:rPr>
            </w:pPr>
            <w:r>
              <w:rPr>
                <w:rFonts w:ascii="Arial" w:cs="Arial" w:eastAsia="Arial" w:hAnsi="Arial"/>
                <w:sz w:val="18"/>
                <w:szCs w:val="18"/>
                <w:color w:val="auto"/>
              </w:rPr>
              <w:t>Non-Reliance on Administrative Agent and Other Lenders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9.08</w:t>
            </w:r>
          </w:p>
        </w:tc>
        <w:tc>
          <w:tcPr>
            <w:tcW w:w="9400" w:type="dxa"/>
            <w:vAlign w:val="bottom"/>
          </w:tcPr>
          <w:p>
            <w:pPr>
              <w:ind w:left="120"/>
              <w:spacing w:after="0"/>
              <w:rPr>
                <w:sz w:val="20"/>
                <w:szCs w:val="20"/>
                <w:color w:val="auto"/>
              </w:rPr>
            </w:pPr>
            <w:r>
              <w:rPr>
                <w:rFonts w:ascii="Arial" w:cs="Arial" w:eastAsia="Arial" w:hAnsi="Arial"/>
                <w:sz w:val="18"/>
                <w:szCs w:val="18"/>
                <w:color w:val="auto"/>
              </w:rPr>
              <w:t>No Other Duties, Etc.</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9.09</w:t>
            </w:r>
          </w:p>
        </w:tc>
        <w:tc>
          <w:tcPr>
            <w:tcW w:w="9400" w:type="dxa"/>
            <w:vAlign w:val="bottom"/>
          </w:tcPr>
          <w:p>
            <w:pPr>
              <w:ind w:left="120"/>
              <w:spacing w:after="0"/>
              <w:rPr>
                <w:sz w:val="20"/>
                <w:szCs w:val="20"/>
                <w:color w:val="auto"/>
              </w:rPr>
            </w:pPr>
            <w:r>
              <w:rPr>
                <w:rFonts w:ascii="Arial" w:cs="Arial" w:eastAsia="Arial" w:hAnsi="Arial"/>
                <w:sz w:val="18"/>
                <w:szCs w:val="18"/>
                <w:color w:val="auto"/>
              </w:rPr>
              <w:t>Administrative Agent May File Proofs of Claim</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9.10</w:t>
            </w:r>
          </w:p>
        </w:tc>
        <w:tc>
          <w:tcPr>
            <w:tcW w:w="9400" w:type="dxa"/>
            <w:vAlign w:val="bottom"/>
          </w:tcPr>
          <w:p>
            <w:pPr>
              <w:ind w:left="120"/>
              <w:spacing w:after="0"/>
              <w:rPr>
                <w:sz w:val="20"/>
                <w:szCs w:val="20"/>
                <w:color w:val="auto"/>
              </w:rPr>
            </w:pPr>
            <w:r>
              <w:rPr>
                <w:rFonts w:ascii="Arial" w:cs="Arial" w:eastAsia="Arial" w:hAnsi="Arial"/>
                <w:sz w:val="18"/>
                <w:szCs w:val="18"/>
                <w:color w:val="auto"/>
              </w:rPr>
              <w:t>Collateral and Guaranty Matters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30"/>
        </w:trPr>
        <w:tc>
          <w:tcPr>
            <w:tcW w:w="1300" w:type="dxa"/>
            <w:vAlign w:val="bottom"/>
          </w:tcPr>
          <w:p>
            <w:pPr>
              <w:ind w:left="540"/>
              <w:spacing w:after="0"/>
              <w:rPr>
                <w:sz w:val="20"/>
                <w:szCs w:val="20"/>
                <w:color w:val="auto"/>
              </w:rPr>
            </w:pPr>
            <w:r>
              <w:rPr>
                <w:rFonts w:ascii="Arial" w:cs="Arial" w:eastAsia="Arial" w:hAnsi="Arial"/>
                <w:sz w:val="18"/>
                <w:szCs w:val="18"/>
                <w:color w:val="auto"/>
              </w:rPr>
              <w:t>9.11</w:t>
            </w:r>
          </w:p>
        </w:tc>
        <w:tc>
          <w:tcPr>
            <w:tcW w:w="9400" w:type="dxa"/>
            <w:vAlign w:val="bottom"/>
          </w:tcPr>
          <w:p>
            <w:pPr>
              <w:ind w:left="120"/>
              <w:spacing w:after="0"/>
              <w:rPr>
                <w:sz w:val="20"/>
                <w:szCs w:val="20"/>
                <w:color w:val="auto"/>
              </w:rPr>
            </w:pPr>
            <w:r>
              <w:rPr>
                <w:rFonts w:ascii="Arial" w:cs="Arial" w:eastAsia="Arial" w:hAnsi="Arial"/>
                <w:sz w:val="18"/>
                <w:szCs w:val="18"/>
                <w:color w:val="auto"/>
              </w:rPr>
              <w:t>Secured Cash Management Agreements and Secured Hedge Agreements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ARTICLE X.</w:t>
            </w:r>
          </w:p>
        </w:tc>
        <w:tc>
          <w:tcPr>
            <w:tcW w:w="9400" w:type="dxa"/>
            <w:vAlign w:val="bottom"/>
          </w:tcPr>
          <w:p>
            <w:pPr>
              <w:ind w:left="380"/>
              <w:spacing w:after="0"/>
              <w:rPr>
                <w:sz w:val="20"/>
                <w:szCs w:val="20"/>
                <w:color w:val="auto"/>
              </w:rPr>
            </w:pPr>
            <w:r>
              <w:rPr>
                <w:rFonts w:ascii="Arial" w:cs="Arial" w:eastAsia="Arial" w:hAnsi="Arial"/>
                <w:sz w:val="18"/>
                <w:szCs w:val="18"/>
                <w:color w:val="auto"/>
              </w:rPr>
              <w:t>MISCELLANEOUS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r>
      <w:tr>
        <w:trPr>
          <w:trHeight w:val="418"/>
        </w:trPr>
        <w:tc>
          <w:tcPr>
            <w:tcW w:w="1300" w:type="dxa"/>
            <w:vAlign w:val="bottom"/>
          </w:tcPr>
          <w:p>
            <w:pPr>
              <w:ind w:left="540"/>
              <w:spacing w:after="0"/>
              <w:rPr>
                <w:sz w:val="20"/>
                <w:szCs w:val="20"/>
                <w:color w:val="auto"/>
              </w:rPr>
            </w:pPr>
            <w:r>
              <w:rPr>
                <w:rFonts w:ascii="Arial" w:cs="Arial" w:eastAsia="Arial" w:hAnsi="Arial"/>
                <w:sz w:val="18"/>
                <w:szCs w:val="18"/>
                <w:color w:val="auto"/>
              </w:rPr>
              <w:t>10.01</w:t>
            </w:r>
          </w:p>
        </w:tc>
        <w:tc>
          <w:tcPr>
            <w:tcW w:w="9400" w:type="dxa"/>
            <w:vAlign w:val="bottom"/>
          </w:tcPr>
          <w:p>
            <w:pPr>
              <w:ind w:left="120"/>
              <w:spacing w:after="0"/>
              <w:rPr>
                <w:sz w:val="20"/>
                <w:szCs w:val="20"/>
                <w:color w:val="auto"/>
              </w:rPr>
            </w:pPr>
            <w:r>
              <w:rPr>
                <w:rFonts w:ascii="Arial" w:cs="Arial" w:eastAsia="Arial" w:hAnsi="Arial"/>
                <w:sz w:val="18"/>
                <w:szCs w:val="18"/>
                <w:color w:val="auto"/>
              </w:rPr>
              <w:t>Amendments, Etc.</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10.02</w:t>
            </w:r>
          </w:p>
        </w:tc>
        <w:tc>
          <w:tcPr>
            <w:tcW w:w="9400" w:type="dxa"/>
            <w:vAlign w:val="bottom"/>
          </w:tcPr>
          <w:p>
            <w:pPr>
              <w:ind w:left="120"/>
              <w:spacing w:after="0"/>
              <w:rPr>
                <w:sz w:val="20"/>
                <w:szCs w:val="20"/>
                <w:color w:val="auto"/>
              </w:rPr>
            </w:pPr>
            <w:r>
              <w:rPr>
                <w:rFonts w:ascii="Arial" w:cs="Arial" w:eastAsia="Arial" w:hAnsi="Arial"/>
                <w:sz w:val="18"/>
                <w:szCs w:val="18"/>
                <w:color w:val="auto"/>
              </w:rPr>
              <w:t>Notices; Effectiveness; Electronic Communication</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10.03</w:t>
            </w:r>
          </w:p>
        </w:tc>
        <w:tc>
          <w:tcPr>
            <w:tcW w:w="9400" w:type="dxa"/>
            <w:vAlign w:val="bottom"/>
          </w:tcPr>
          <w:p>
            <w:pPr>
              <w:ind w:left="120"/>
              <w:spacing w:after="0"/>
              <w:rPr>
                <w:sz w:val="20"/>
                <w:szCs w:val="20"/>
                <w:color w:val="auto"/>
              </w:rPr>
            </w:pPr>
            <w:r>
              <w:rPr>
                <w:rFonts w:ascii="Arial" w:cs="Arial" w:eastAsia="Arial" w:hAnsi="Arial"/>
                <w:sz w:val="18"/>
                <w:szCs w:val="18"/>
                <w:color w:val="auto"/>
              </w:rPr>
              <w:t>No Waiver; Cumulative Remedies; Enforcement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r>
      <w:tr>
        <w:trPr>
          <w:trHeight w:val="216"/>
        </w:trPr>
        <w:tc>
          <w:tcPr>
            <w:tcW w:w="1300" w:type="dxa"/>
            <w:vAlign w:val="bottom"/>
          </w:tcPr>
          <w:p>
            <w:pPr>
              <w:ind w:left="540"/>
              <w:spacing w:after="0"/>
              <w:rPr>
                <w:sz w:val="20"/>
                <w:szCs w:val="20"/>
                <w:color w:val="auto"/>
              </w:rPr>
            </w:pPr>
            <w:r>
              <w:rPr>
                <w:rFonts w:ascii="Arial" w:cs="Arial" w:eastAsia="Arial" w:hAnsi="Arial"/>
                <w:sz w:val="18"/>
                <w:szCs w:val="18"/>
                <w:color w:val="auto"/>
              </w:rPr>
              <w:t>10.04</w:t>
            </w:r>
          </w:p>
        </w:tc>
        <w:tc>
          <w:tcPr>
            <w:tcW w:w="9400" w:type="dxa"/>
            <w:vAlign w:val="bottom"/>
          </w:tcPr>
          <w:p>
            <w:pPr>
              <w:ind w:left="120"/>
              <w:spacing w:after="0"/>
              <w:rPr>
                <w:sz w:val="20"/>
                <w:szCs w:val="20"/>
                <w:color w:val="auto"/>
              </w:rPr>
            </w:pPr>
            <w:r>
              <w:rPr>
                <w:rFonts w:ascii="Arial" w:cs="Arial" w:eastAsia="Arial" w:hAnsi="Arial"/>
                <w:sz w:val="18"/>
                <w:szCs w:val="18"/>
                <w:color w:val="auto"/>
              </w:rPr>
              <w:t>Expenses; Indemnity; Damage Waiver</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30"/>
        </w:trPr>
        <w:tc>
          <w:tcPr>
            <w:tcW w:w="1300" w:type="dxa"/>
            <w:vAlign w:val="bottom"/>
          </w:tcPr>
          <w:p>
            <w:pPr>
              <w:ind w:left="540"/>
              <w:spacing w:after="0"/>
              <w:rPr>
                <w:sz w:val="20"/>
                <w:szCs w:val="20"/>
                <w:color w:val="auto"/>
              </w:rPr>
            </w:pPr>
            <w:r>
              <w:rPr>
                <w:rFonts w:ascii="Arial" w:cs="Arial" w:eastAsia="Arial" w:hAnsi="Arial"/>
                <w:sz w:val="18"/>
                <w:szCs w:val="18"/>
                <w:color w:val="auto"/>
              </w:rPr>
              <w:t>10.05</w:t>
            </w:r>
          </w:p>
        </w:tc>
        <w:tc>
          <w:tcPr>
            <w:tcW w:w="9400" w:type="dxa"/>
            <w:vAlign w:val="bottom"/>
          </w:tcPr>
          <w:p>
            <w:pPr>
              <w:ind w:left="120"/>
              <w:spacing w:after="0"/>
              <w:rPr>
                <w:sz w:val="20"/>
                <w:szCs w:val="20"/>
                <w:color w:val="auto"/>
              </w:rPr>
            </w:pPr>
            <w:r>
              <w:rPr>
                <w:rFonts w:ascii="Arial" w:cs="Arial" w:eastAsia="Arial" w:hAnsi="Arial"/>
                <w:sz w:val="18"/>
                <w:szCs w:val="18"/>
                <w:color w:val="auto"/>
              </w:rPr>
              <w:t>Payments Set Aside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-5841365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-5841365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54" w:gutter="0" w:footer="0" w:header="0"/>
        </w:sectPr>
      </w:pPr>
    </w:p>
    <w:bookmarkStart w:id="6" w:name="page7"/>
    <w:bookmarkEnd w:id="6"/>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411"/>
        </w:trPr>
        <w:tc>
          <w:tcPr>
            <w:tcW w:w="1260" w:type="dxa"/>
            <w:vAlign w:val="bottom"/>
          </w:tcPr>
          <w:p>
            <w:pPr>
              <w:ind w:left="540"/>
              <w:spacing w:after="0"/>
              <w:rPr>
                <w:sz w:val="20"/>
                <w:szCs w:val="20"/>
                <w:color w:val="auto"/>
              </w:rPr>
            </w:pPr>
            <w:r>
              <w:rPr>
                <w:rFonts w:ascii="Arial" w:cs="Arial" w:eastAsia="Arial" w:hAnsi="Arial"/>
                <w:sz w:val="18"/>
                <w:szCs w:val="18"/>
                <w:color w:val="auto"/>
              </w:rPr>
              <w:t>10.06</w:t>
            </w:r>
          </w:p>
        </w:tc>
        <w:tc>
          <w:tcPr>
            <w:tcW w:w="944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10.07</w:t>
            </w:r>
          </w:p>
        </w:tc>
        <w:tc>
          <w:tcPr>
            <w:tcW w:w="9440" w:type="dxa"/>
            <w:vAlign w:val="bottom"/>
          </w:tcPr>
          <w:p>
            <w:pPr>
              <w:ind w:left="160"/>
              <w:spacing w:after="0"/>
              <w:rPr>
                <w:sz w:val="20"/>
                <w:szCs w:val="20"/>
                <w:color w:val="auto"/>
              </w:rPr>
            </w:pPr>
            <w:r>
              <w:rPr>
                <w:rFonts w:ascii="Arial" w:cs="Arial" w:eastAsia="Arial" w:hAnsi="Arial"/>
                <w:sz w:val="18"/>
                <w:szCs w:val="18"/>
                <w:color w:val="auto"/>
              </w:rPr>
              <w:t>Treatment of Certain Information; Confidentiality</w:t>
            </w: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10.08</w:t>
            </w:r>
          </w:p>
        </w:tc>
        <w:tc>
          <w:tcPr>
            <w:tcW w:w="9440" w:type="dxa"/>
            <w:vAlign w:val="bottom"/>
          </w:tcPr>
          <w:p>
            <w:pPr>
              <w:ind w:left="160"/>
              <w:spacing w:after="0"/>
              <w:rPr>
                <w:sz w:val="20"/>
                <w:szCs w:val="20"/>
                <w:color w:val="auto"/>
              </w:rPr>
            </w:pPr>
            <w:r>
              <w:rPr>
                <w:rFonts w:ascii="Arial" w:cs="Arial" w:eastAsia="Arial" w:hAnsi="Arial"/>
                <w:sz w:val="18"/>
                <w:szCs w:val="18"/>
                <w:color w:val="auto"/>
              </w:rPr>
              <w:t>Right of Setoff</w:t>
            </w: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10.09</w:t>
            </w:r>
          </w:p>
        </w:tc>
        <w:tc>
          <w:tcPr>
            <w:tcW w:w="9440" w:type="dxa"/>
            <w:vAlign w:val="bottom"/>
          </w:tcPr>
          <w:p>
            <w:pPr>
              <w:ind w:left="160"/>
              <w:spacing w:after="0"/>
              <w:rPr>
                <w:sz w:val="20"/>
                <w:szCs w:val="20"/>
                <w:color w:val="auto"/>
              </w:rPr>
            </w:pPr>
            <w:r>
              <w:rPr>
                <w:rFonts w:ascii="Arial" w:cs="Arial" w:eastAsia="Arial" w:hAnsi="Arial"/>
                <w:sz w:val="18"/>
                <w:szCs w:val="18"/>
                <w:color w:val="auto"/>
              </w:rPr>
              <w:t>Interest Rate Limitation</w:t>
            </w:r>
          </w:p>
        </w:tc>
        <w:tc>
          <w:tcPr>
            <w:tcW w:w="7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10.10</w:t>
            </w:r>
          </w:p>
        </w:tc>
        <w:tc>
          <w:tcPr>
            <w:tcW w:w="9440" w:type="dxa"/>
            <w:vAlign w:val="bottom"/>
          </w:tcPr>
          <w:p>
            <w:pPr>
              <w:ind w:left="160"/>
              <w:spacing w:after="0"/>
              <w:rPr>
                <w:sz w:val="20"/>
                <w:szCs w:val="20"/>
                <w:color w:val="auto"/>
              </w:rPr>
            </w:pPr>
            <w:r>
              <w:rPr>
                <w:rFonts w:ascii="Arial" w:cs="Arial" w:eastAsia="Arial" w:hAnsi="Arial"/>
                <w:sz w:val="18"/>
                <w:szCs w:val="18"/>
                <w:color w:val="auto"/>
              </w:rPr>
              <w:t>Counterparts; Integration; Effectiveness</w:t>
            </w:r>
          </w:p>
        </w:tc>
        <w:tc>
          <w:tcPr>
            <w:tcW w:w="7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10.11</w:t>
            </w:r>
          </w:p>
        </w:tc>
        <w:tc>
          <w:tcPr>
            <w:tcW w:w="9440" w:type="dxa"/>
            <w:vAlign w:val="bottom"/>
          </w:tcPr>
          <w:p>
            <w:pPr>
              <w:ind w:left="160"/>
              <w:spacing w:after="0"/>
              <w:rPr>
                <w:sz w:val="20"/>
                <w:szCs w:val="20"/>
                <w:color w:val="auto"/>
              </w:rPr>
            </w:pPr>
            <w:r>
              <w:rPr>
                <w:rFonts w:ascii="Arial" w:cs="Arial" w:eastAsia="Arial" w:hAnsi="Arial"/>
                <w:sz w:val="18"/>
                <w:szCs w:val="18"/>
                <w:color w:val="auto"/>
              </w:rPr>
              <w:t>Survival of Representations and Warranties</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10.12</w:t>
            </w:r>
          </w:p>
        </w:tc>
        <w:tc>
          <w:tcPr>
            <w:tcW w:w="944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10.13</w:t>
            </w:r>
          </w:p>
        </w:tc>
        <w:tc>
          <w:tcPr>
            <w:tcW w:w="9440" w:type="dxa"/>
            <w:vAlign w:val="bottom"/>
          </w:tcPr>
          <w:p>
            <w:pPr>
              <w:ind w:left="160"/>
              <w:spacing w:after="0"/>
              <w:rPr>
                <w:sz w:val="20"/>
                <w:szCs w:val="20"/>
                <w:color w:val="auto"/>
              </w:rPr>
            </w:pPr>
            <w:r>
              <w:rPr>
                <w:rFonts w:ascii="Arial" w:cs="Arial" w:eastAsia="Arial" w:hAnsi="Arial"/>
                <w:sz w:val="18"/>
                <w:szCs w:val="18"/>
                <w:color w:val="auto"/>
              </w:rPr>
              <w:t>Replacement of Lenders</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10.14</w:t>
            </w:r>
          </w:p>
        </w:tc>
        <w:tc>
          <w:tcPr>
            <w:tcW w:w="9440" w:type="dxa"/>
            <w:vAlign w:val="bottom"/>
          </w:tcPr>
          <w:p>
            <w:pPr>
              <w:ind w:left="160"/>
              <w:spacing w:after="0"/>
              <w:rPr>
                <w:sz w:val="20"/>
                <w:szCs w:val="20"/>
                <w:color w:val="auto"/>
              </w:rPr>
            </w:pPr>
            <w:r>
              <w:rPr>
                <w:rFonts w:ascii="Arial" w:cs="Arial" w:eastAsia="Arial" w:hAnsi="Arial"/>
                <w:sz w:val="18"/>
                <w:szCs w:val="18"/>
                <w:color w:val="auto"/>
              </w:rPr>
              <w:t>Governing Law; Jurisdiction; Etc.</w:t>
            </w: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10.15</w:t>
            </w:r>
          </w:p>
        </w:tc>
        <w:tc>
          <w:tcPr>
            <w:tcW w:w="9440" w:type="dxa"/>
            <w:vAlign w:val="bottom"/>
          </w:tcPr>
          <w:p>
            <w:pPr>
              <w:ind w:left="160"/>
              <w:spacing w:after="0"/>
              <w:rPr>
                <w:sz w:val="20"/>
                <w:szCs w:val="20"/>
                <w:color w:val="auto"/>
              </w:rPr>
            </w:pPr>
            <w:r>
              <w:rPr>
                <w:rFonts w:ascii="Arial" w:cs="Arial" w:eastAsia="Arial" w:hAnsi="Arial"/>
                <w:sz w:val="18"/>
                <w:szCs w:val="18"/>
                <w:color w:val="auto"/>
              </w:rPr>
              <w:t>No Advisory or Fiduciary Responsibility</w:t>
            </w: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10.16</w:t>
            </w:r>
          </w:p>
        </w:tc>
        <w:tc>
          <w:tcPr>
            <w:tcW w:w="9440" w:type="dxa"/>
            <w:vAlign w:val="bottom"/>
          </w:tcPr>
          <w:p>
            <w:pPr>
              <w:ind w:left="160"/>
              <w:spacing w:after="0"/>
              <w:rPr>
                <w:sz w:val="20"/>
                <w:szCs w:val="20"/>
                <w:color w:val="auto"/>
              </w:rPr>
            </w:pPr>
            <w:r>
              <w:rPr>
                <w:rFonts w:ascii="Arial" w:cs="Arial" w:eastAsia="Arial" w:hAnsi="Arial"/>
                <w:sz w:val="18"/>
                <w:szCs w:val="18"/>
                <w:color w:val="auto"/>
              </w:rPr>
              <w:t>Electronic Execution of Assignments and Certain Other Documents</w:t>
            </w: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1260" w:type="dxa"/>
            <w:vAlign w:val="bottom"/>
          </w:tcPr>
          <w:p>
            <w:pPr>
              <w:ind w:left="540"/>
              <w:spacing w:after="0"/>
              <w:rPr>
                <w:sz w:val="20"/>
                <w:szCs w:val="20"/>
                <w:color w:val="auto"/>
              </w:rPr>
            </w:pPr>
            <w:r>
              <w:rPr>
                <w:rFonts w:ascii="Arial" w:cs="Arial" w:eastAsia="Arial" w:hAnsi="Arial"/>
                <w:sz w:val="18"/>
                <w:szCs w:val="18"/>
                <w:color w:val="auto"/>
              </w:rPr>
              <w:t>10.17</w:t>
            </w:r>
          </w:p>
        </w:tc>
        <w:tc>
          <w:tcPr>
            <w:tcW w:w="9440" w:type="dxa"/>
            <w:vAlign w:val="bottom"/>
          </w:tcPr>
          <w:p>
            <w:pPr>
              <w:ind w:left="160"/>
              <w:spacing w:after="0"/>
              <w:rPr>
                <w:sz w:val="20"/>
                <w:szCs w:val="20"/>
                <w:color w:val="auto"/>
              </w:rPr>
            </w:pPr>
            <w:r>
              <w:rPr>
                <w:rFonts w:ascii="Arial" w:cs="Arial" w:eastAsia="Arial" w:hAnsi="Arial"/>
                <w:sz w:val="18"/>
                <w:szCs w:val="18"/>
                <w:color w:val="auto"/>
              </w:rPr>
              <w:t>USA PATRIOT Act</w:t>
            </w: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18"/>
        </w:trPr>
        <w:tc>
          <w:tcPr>
            <w:tcW w:w="126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9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1.02</w:t>
            </w:r>
          </w:p>
        </w:tc>
        <w:tc>
          <w:tcPr>
            <w:tcW w:w="9440" w:type="dxa"/>
            <w:vAlign w:val="bottom"/>
          </w:tcPr>
          <w:p>
            <w:pPr>
              <w:ind w:left="460"/>
              <w:spacing w:after="0"/>
              <w:rPr>
                <w:sz w:val="20"/>
                <w:szCs w:val="20"/>
                <w:color w:val="auto"/>
              </w:rPr>
            </w:pPr>
            <w:r>
              <w:rPr>
                <w:rFonts w:ascii="Arial" w:cs="Arial" w:eastAsia="Arial" w:hAnsi="Arial"/>
                <w:sz w:val="18"/>
                <w:szCs w:val="18"/>
                <w:color w:val="auto"/>
              </w:rPr>
              <w:t>Existing Letters of Credit</w:t>
            </w:r>
          </w:p>
        </w:tc>
        <w:tc>
          <w:tcPr>
            <w:tcW w:w="720" w:type="dxa"/>
            <w:vAlign w:val="bottom"/>
          </w:tcPr>
          <w:p>
            <w:pPr>
              <w:spacing w:after="0"/>
              <w:rPr>
                <w:sz w:val="18"/>
                <w:szCs w:val="18"/>
                <w:color w:val="auto"/>
              </w:rPr>
            </w:pP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2.01</w:t>
            </w:r>
          </w:p>
        </w:tc>
        <w:tc>
          <w:tcPr>
            <w:tcW w:w="9440" w:type="dxa"/>
            <w:vAlign w:val="bottom"/>
          </w:tcPr>
          <w:p>
            <w:pPr>
              <w:ind w:left="460"/>
              <w:spacing w:after="0"/>
              <w:rPr>
                <w:sz w:val="20"/>
                <w:szCs w:val="20"/>
                <w:color w:val="auto"/>
              </w:rPr>
            </w:pPr>
            <w:r>
              <w:rPr>
                <w:rFonts w:ascii="Arial" w:cs="Arial" w:eastAsia="Arial" w:hAnsi="Arial"/>
                <w:sz w:val="18"/>
                <w:szCs w:val="18"/>
                <w:color w:val="auto"/>
              </w:rPr>
              <w:t>Commitments; Applicable Revolving Percentages and Pro Rata Term Shares</w:t>
            </w:r>
          </w:p>
        </w:tc>
        <w:tc>
          <w:tcPr>
            <w:tcW w:w="720" w:type="dxa"/>
            <w:vAlign w:val="bottom"/>
          </w:tcPr>
          <w:p>
            <w:pPr>
              <w:spacing w:after="0"/>
              <w:rPr>
                <w:sz w:val="18"/>
                <w:szCs w:val="18"/>
                <w:color w:val="auto"/>
              </w:rPr>
            </w:pP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5.12(c)</w:t>
            </w:r>
          </w:p>
        </w:tc>
        <w:tc>
          <w:tcPr>
            <w:tcW w:w="9440" w:type="dxa"/>
            <w:vAlign w:val="bottom"/>
          </w:tcPr>
          <w:p>
            <w:pPr>
              <w:ind w:left="460"/>
              <w:spacing w:after="0"/>
              <w:rPr>
                <w:sz w:val="20"/>
                <w:szCs w:val="20"/>
                <w:color w:val="auto"/>
              </w:rPr>
            </w:pPr>
            <w:r>
              <w:rPr>
                <w:rFonts w:ascii="Arial" w:cs="Arial" w:eastAsia="Arial" w:hAnsi="Arial"/>
                <w:sz w:val="18"/>
                <w:szCs w:val="18"/>
                <w:color w:val="auto"/>
              </w:rPr>
              <w:t>Pension Plans</w:t>
            </w:r>
          </w:p>
        </w:tc>
        <w:tc>
          <w:tcPr>
            <w:tcW w:w="720" w:type="dxa"/>
            <w:vAlign w:val="bottom"/>
          </w:tcPr>
          <w:p>
            <w:pPr>
              <w:spacing w:after="0"/>
              <w:rPr>
                <w:sz w:val="18"/>
                <w:szCs w:val="18"/>
                <w:color w:val="auto"/>
              </w:rPr>
            </w:pP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5.13</w:t>
            </w:r>
          </w:p>
        </w:tc>
        <w:tc>
          <w:tcPr>
            <w:tcW w:w="9440" w:type="dxa"/>
            <w:vAlign w:val="bottom"/>
          </w:tcPr>
          <w:p>
            <w:pPr>
              <w:ind w:left="460"/>
              <w:spacing w:after="0"/>
              <w:rPr>
                <w:sz w:val="20"/>
                <w:szCs w:val="20"/>
                <w:color w:val="auto"/>
              </w:rPr>
            </w:pPr>
            <w:r>
              <w:rPr>
                <w:rFonts w:ascii="Arial" w:cs="Arial" w:eastAsia="Arial" w:hAnsi="Arial"/>
                <w:sz w:val="18"/>
                <w:szCs w:val="18"/>
                <w:color w:val="auto"/>
              </w:rPr>
              <w:t>Subsidiaries and Other Equity Investments; Loan Parties</w:t>
            </w:r>
          </w:p>
        </w:tc>
        <w:tc>
          <w:tcPr>
            <w:tcW w:w="720" w:type="dxa"/>
            <w:vAlign w:val="bottom"/>
          </w:tcPr>
          <w:p>
            <w:pPr>
              <w:spacing w:after="0"/>
              <w:rPr>
                <w:sz w:val="18"/>
                <w:szCs w:val="18"/>
                <w:color w:val="auto"/>
              </w:rPr>
            </w:pP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7.01</w:t>
            </w:r>
          </w:p>
        </w:tc>
        <w:tc>
          <w:tcPr>
            <w:tcW w:w="9440" w:type="dxa"/>
            <w:vAlign w:val="bottom"/>
          </w:tcPr>
          <w:p>
            <w:pPr>
              <w:ind w:left="460"/>
              <w:spacing w:after="0"/>
              <w:rPr>
                <w:sz w:val="20"/>
                <w:szCs w:val="20"/>
                <w:color w:val="auto"/>
              </w:rPr>
            </w:pPr>
            <w:r>
              <w:rPr>
                <w:rFonts w:ascii="Arial" w:cs="Arial" w:eastAsia="Arial" w:hAnsi="Arial"/>
                <w:sz w:val="18"/>
                <w:szCs w:val="18"/>
                <w:color w:val="auto"/>
              </w:rPr>
              <w:t>Existing Liens</w:t>
            </w:r>
          </w:p>
        </w:tc>
        <w:tc>
          <w:tcPr>
            <w:tcW w:w="720" w:type="dxa"/>
            <w:vAlign w:val="bottom"/>
          </w:tcPr>
          <w:p>
            <w:pPr>
              <w:spacing w:after="0"/>
              <w:rPr>
                <w:sz w:val="18"/>
                <w:szCs w:val="18"/>
                <w:color w:val="auto"/>
              </w:rPr>
            </w:pPr>
          </w:p>
        </w:tc>
      </w:tr>
      <w:tr>
        <w:trPr>
          <w:trHeight w:val="216"/>
        </w:trPr>
        <w:tc>
          <w:tcPr>
            <w:tcW w:w="1260" w:type="dxa"/>
            <w:vAlign w:val="bottom"/>
          </w:tcPr>
          <w:p>
            <w:pPr>
              <w:ind w:left="540"/>
              <w:spacing w:after="0"/>
              <w:rPr>
                <w:sz w:val="20"/>
                <w:szCs w:val="20"/>
                <w:color w:val="auto"/>
              </w:rPr>
            </w:pPr>
            <w:r>
              <w:rPr>
                <w:rFonts w:ascii="Arial" w:cs="Arial" w:eastAsia="Arial" w:hAnsi="Arial"/>
                <w:sz w:val="18"/>
                <w:szCs w:val="18"/>
                <w:color w:val="auto"/>
              </w:rPr>
              <w:t>7.03</w:t>
            </w:r>
          </w:p>
        </w:tc>
        <w:tc>
          <w:tcPr>
            <w:tcW w:w="9440" w:type="dxa"/>
            <w:vAlign w:val="bottom"/>
          </w:tcPr>
          <w:p>
            <w:pPr>
              <w:ind w:left="460"/>
              <w:spacing w:after="0"/>
              <w:rPr>
                <w:sz w:val="20"/>
                <w:szCs w:val="20"/>
                <w:color w:val="auto"/>
              </w:rPr>
            </w:pPr>
            <w:r>
              <w:rPr>
                <w:rFonts w:ascii="Arial" w:cs="Arial" w:eastAsia="Arial" w:hAnsi="Arial"/>
                <w:sz w:val="18"/>
                <w:szCs w:val="18"/>
                <w:color w:val="auto"/>
              </w:rPr>
              <w:t>Existing Indebtedness</w:t>
            </w:r>
          </w:p>
        </w:tc>
        <w:tc>
          <w:tcPr>
            <w:tcW w:w="720" w:type="dxa"/>
            <w:vAlign w:val="bottom"/>
          </w:tcPr>
          <w:p>
            <w:pPr>
              <w:spacing w:after="0"/>
              <w:rPr>
                <w:sz w:val="18"/>
                <w:szCs w:val="18"/>
                <w:color w:val="auto"/>
              </w:rPr>
            </w:pPr>
          </w:p>
        </w:tc>
      </w:tr>
      <w:tr>
        <w:trPr>
          <w:trHeight w:val="230"/>
        </w:trPr>
        <w:tc>
          <w:tcPr>
            <w:tcW w:w="1260" w:type="dxa"/>
            <w:vAlign w:val="bottom"/>
          </w:tcPr>
          <w:p>
            <w:pPr>
              <w:ind w:left="540"/>
              <w:spacing w:after="0"/>
              <w:rPr>
                <w:sz w:val="20"/>
                <w:szCs w:val="20"/>
                <w:color w:val="auto"/>
              </w:rPr>
            </w:pPr>
            <w:r>
              <w:rPr>
                <w:rFonts w:ascii="Arial" w:cs="Arial" w:eastAsia="Arial" w:hAnsi="Arial"/>
                <w:sz w:val="18"/>
                <w:szCs w:val="18"/>
                <w:color w:val="auto"/>
              </w:rPr>
              <w:t>10.02</w:t>
            </w:r>
          </w:p>
        </w:tc>
        <w:tc>
          <w:tcPr>
            <w:tcW w:w="9440" w:type="dxa"/>
            <w:vAlign w:val="bottom"/>
          </w:tcPr>
          <w:p>
            <w:pPr>
              <w:ind w:left="460"/>
              <w:spacing w:after="0"/>
              <w:rPr>
                <w:sz w:val="20"/>
                <w:szCs w:val="20"/>
                <w:color w:val="auto"/>
              </w:rPr>
            </w:pPr>
            <w:r>
              <w:rPr>
                <w:rFonts w:ascii="Arial" w:cs="Arial" w:eastAsia="Arial" w:hAnsi="Arial"/>
                <w:sz w:val="18"/>
                <w:szCs w:val="18"/>
                <w:color w:val="auto"/>
              </w:rPr>
              <w:t>Administrative Agent’s Office, Certain Addresses for Notices</w:t>
            </w:r>
          </w:p>
        </w:tc>
        <w:tc>
          <w:tcPr>
            <w:tcW w:w="72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Form of</w:t>
      </w:r>
    </w:p>
    <w:p>
      <w:pPr>
        <w:spacing w:after="0" w:line="9"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Committed Loan Notice for Revolving Loans and Domestic Term Loans</w:t>
      </w:r>
    </w:p>
    <w:p>
      <w:pPr>
        <w:spacing w:after="0" w:line="9" w:lineRule="exact"/>
        <w:rPr>
          <w:sz w:val="20"/>
          <w:szCs w:val="20"/>
          <w:color w:val="auto"/>
        </w:rPr>
      </w:pPr>
    </w:p>
    <w:p>
      <w:pPr>
        <w:ind w:left="540"/>
        <w:spacing w:after="0"/>
        <w:tabs>
          <w:tab w:leader="none" w:pos="14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6"/>
          <w:szCs w:val="16"/>
          <w:color w:val="auto"/>
        </w:rPr>
        <w:t>Committed Loan Notice for Singapore Term Loans</w:t>
      </w:r>
    </w:p>
    <w:p>
      <w:pPr>
        <w:spacing w:after="0" w:line="9" w:lineRule="exact"/>
        <w:rPr>
          <w:sz w:val="20"/>
          <w:szCs w:val="20"/>
          <w:color w:val="auto"/>
        </w:rPr>
      </w:pPr>
    </w:p>
    <w:p>
      <w:pPr>
        <w:ind w:left="1420" w:hanging="872"/>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Swing Line Loan Notice</w:t>
      </w:r>
    </w:p>
    <w:p>
      <w:pPr>
        <w:spacing w:after="0" w:line="9" w:lineRule="exact"/>
        <w:rPr>
          <w:sz w:val="20"/>
          <w:szCs w:val="20"/>
          <w:color w:val="auto"/>
        </w:rPr>
      </w:pPr>
    </w:p>
    <w:p>
      <w:pPr>
        <w:ind w:left="1420" w:hanging="872"/>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Bankers’ Acceptance Request</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D-1</w:t>
      </w:r>
      <w:r>
        <w:rPr>
          <w:rFonts w:ascii="Arial" w:cs="Arial" w:eastAsia="Arial" w:hAnsi="Arial"/>
          <w:sz w:val="17"/>
          <w:szCs w:val="17"/>
          <w:color w:val="auto"/>
        </w:rPr>
        <w:t>Revolving Note</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D-2</w:t>
      </w:r>
      <w:r>
        <w:rPr>
          <w:rFonts w:ascii="Arial" w:cs="Arial" w:eastAsia="Arial" w:hAnsi="Arial"/>
          <w:sz w:val="16"/>
          <w:szCs w:val="16"/>
          <w:color w:val="auto"/>
        </w:rPr>
        <w:t>Domestic Term Loan Note</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D-3</w:t>
      </w:r>
      <w:r>
        <w:rPr>
          <w:rFonts w:ascii="Arial" w:cs="Arial" w:eastAsia="Arial" w:hAnsi="Arial"/>
          <w:sz w:val="16"/>
          <w:szCs w:val="16"/>
          <w:color w:val="auto"/>
        </w:rPr>
        <w:t>Singapore Term Loan Note</w:t>
      </w:r>
    </w:p>
    <w:p>
      <w:pPr>
        <w:spacing w:after="0" w:line="9" w:lineRule="exact"/>
        <w:rPr>
          <w:sz w:val="20"/>
          <w:szCs w:val="20"/>
          <w:color w:val="auto"/>
        </w:rPr>
      </w:pPr>
    </w:p>
    <w:p>
      <w:pPr>
        <w:ind w:left="1420" w:hanging="872"/>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1420" w:hanging="872"/>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9" w:lineRule="exact"/>
        <w:rPr>
          <w:sz w:val="20"/>
          <w:szCs w:val="20"/>
          <w:color w:val="auto"/>
        </w:rPr>
      </w:pPr>
    </w:p>
    <w:p>
      <w:pPr>
        <w:ind w:left="1420" w:hanging="872"/>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Administrative Questionnaire</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H</w:t>
      </w:r>
      <w:r>
        <w:rPr>
          <w:rFonts w:ascii="Arial" w:cs="Arial" w:eastAsia="Arial" w:hAnsi="Arial"/>
          <w:sz w:val="16"/>
          <w:szCs w:val="16"/>
          <w:color w:val="auto"/>
        </w:rPr>
        <w:t>Guaranty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2" w:lineRule="exact"/>
        <w:rPr>
          <w:sz w:val="20"/>
          <w:szCs w:val="20"/>
          <w:color w:val="auto"/>
        </w:rPr>
      </w:pPr>
    </w:p>
    <w:p>
      <w:pPr>
        <w:ind w:left="1092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6797040</wp:posOffset>
            </wp:positionH>
            <wp:positionV relativeFrom="paragraph">
              <wp:posOffset>6350</wp:posOffset>
            </wp:positionV>
            <wp:extent cx="4546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06" w:lineRule="exact"/>
        <w:rPr>
          <w:sz w:val="20"/>
          <w:szCs w:val="20"/>
          <w:color w:val="auto"/>
        </w:rPr>
      </w:pPr>
    </w:p>
    <w:p>
      <w:pPr>
        <w:ind w:left="1420" w:hanging="872"/>
        <w:spacing w:after="0"/>
        <w:tabs>
          <w:tab w:leader="none" w:pos="1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23" w:lineRule="exact"/>
        <w:rPr>
          <w:sz w:val="20"/>
          <w:szCs w:val="20"/>
          <w:color w:val="auto"/>
        </w:rPr>
      </w:pPr>
    </w:p>
    <w:p>
      <w:pPr>
        <w:ind w:left="1420" w:hanging="872"/>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Opinion Matters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CREDIT AGREEMENT</w:t>
      </w:r>
    </w:p>
    <w:p>
      <w:pPr>
        <w:spacing w:after="0" w:line="225"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FOURTH AMENDED AND RESTATED CREDIT AGREEMENT</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is entered into as of October 10, 2013, among </w:t>
      </w:r>
      <w:r>
        <w:rPr>
          <w:rFonts w:ascii="Arial" w:cs="Arial" w:eastAsia="Arial" w:hAnsi="Arial"/>
          <w:sz w:val="17"/>
          <w:szCs w:val="17"/>
          <w:b w:val="1"/>
          <w:bCs w:val="1"/>
          <w:color w:val="auto"/>
        </w:rPr>
        <w:t>WORLD FUEL SERVICES CORPORATION</w:t>
      </w:r>
      <w:r>
        <w:rPr>
          <w:rFonts w:ascii="Arial" w:cs="Arial" w:eastAsia="Arial" w:hAnsi="Arial"/>
          <w:sz w:val="17"/>
          <w:szCs w:val="17"/>
          <w:color w:val="auto"/>
        </w:rPr>
        <w:t>, a Florida corporation (“</w:t>
      </w:r>
      <w:r>
        <w:rPr>
          <w:rFonts w:ascii="Arial" w:cs="Arial" w:eastAsia="Arial" w:hAnsi="Arial"/>
          <w:sz w:val="17"/>
          <w:szCs w:val="17"/>
          <w:u w:val="single" w:color="auto"/>
          <w:color w:val="auto"/>
        </w:rPr>
        <w:t>WFS</w:t>
      </w:r>
      <w:r>
        <w:rPr>
          <w:rFonts w:ascii="Arial" w:cs="Arial" w:eastAsia="Arial" w:hAnsi="Arial"/>
          <w:sz w:val="17"/>
          <w:szCs w:val="17"/>
          <w:color w:val="auto"/>
        </w:rPr>
        <w:t>”),</w:t>
      </w:r>
      <w:r>
        <w:rPr>
          <w:rFonts w:ascii="Arial" w:cs="Arial" w:eastAsia="Arial" w:hAnsi="Arial"/>
          <w:sz w:val="17"/>
          <w:szCs w:val="17"/>
          <w:b w:val="1"/>
          <w:bCs w:val="1"/>
          <w:color w:val="auto"/>
        </w:rPr>
        <w:t xml:space="preserve"> WORLD FUEL SERVICES EUROPE, LTD.</w:t>
      </w:r>
      <w:r>
        <w:rPr>
          <w:rFonts w:ascii="Arial" w:cs="Arial" w:eastAsia="Arial" w:hAnsi="Arial"/>
          <w:sz w:val="17"/>
          <w:szCs w:val="17"/>
          <w:color w:val="auto"/>
        </w:rPr>
        <w:t>, a corporation organized</w:t>
      </w:r>
      <w:r>
        <w:rPr>
          <w:rFonts w:ascii="Arial" w:cs="Arial" w:eastAsia="Arial" w:hAnsi="Arial"/>
          <w:sz w:val="17"/>
          <w:szCs w:val="17"/>
          <w:b w:val="1"/>
          <w:bCs w:val="1"/>
          <w:color w:val="auto"/>
        </w:rPr>
        <w:t xml:space="preserve"> </w:t>
      </w:r>
      <w:r>
        <w:rPr>
          <w:rFonts w:ascii="Arial" w:cs="Arial" w:eastAsia="Arial" w:hAnsi="Arial"/>
          <w:sz w:val="17"/>
          <w:szCs w:val="17"/>
          <w:color w:val="auto"/>
        </w:rPr>
        <w:t>and existing under the laws of the United Kingdom (“</w:t>
      </w:r>
      <w:r>
        <w:rPr>
          <w:rFonts w:ascii="Arial" w:cs="Arial" w:eastAsia="Arial" w:hAnsi="Arial"/>
          <w:sz w:val="17"/>
          <w:szCs w:val="17"/>
          <w:u w:val="single" w:color="auto"/>
          <w:color w:val="auto"/>
        </w:rPr>
        <w:t>WFS Europe</w:t>
      </w:r>
      <w:r>
        <w:rPr>
          <w:rFonts w:ascii="Arial" w:cs="Arial" w:eastAsia="Arial" w:hAnsi="Arial"/>
          <w:sz w:val="17"/>
          <w:szCs w:val="17"/>
          <w:color w:val="auto"/>
        </w:rPr>
        <w:t xml:space="preserve">”), and </w:t>
      </w:r>
      <w:r>
        <w:rPr>
          <w:rFonts w:ascii="Arial" w:cs="Arial" w:eastAsia="Arial" w:hAnsi="Arial"/>
          <w:sz w:val="17"/>
          <w:szCs w:val="17"/>
          <w:b w:val="1"/>
          <w:bCs w:val="1"/>
          <w:color w:val="auto"/>
        </w:rPr>
        <w:t>WORLD FUEL SERVICES (SINGAPORE) PTE LTD</w:t>
      </w:r>
      <w:r>
        <w:rPr>
          <w:rFonts w:ascii="Arial" w:cs="Arial" w:eastAsia="Arial" w:hAnsi="Arial"/>
          <w:sz w:val="17"/>
          <w:szCs w:val="17"/>
          <w:color w:val="auto"/>
        </w:rPr>
        <w:t>, a corporation organized and existing under the laws of the Republic of Singapore (“</w:t>
      </w:r>
      <w:r>
        <w:rPr>
          <w:rFonts w:ascii="Arial" w:cs="Arial" w:eastAsia="Arial" w:hAnsi="Arial"/>
          <w:sz w:val="17"/>
          <w:szCs w:val="17"/>
          <w:u w:val="single" w:color="auto"/>
          <w:color w:val="auto"/>
        </w:rPr>
        <w:t>WFS Singapore</w:t>
      </w:r>
      <w:r>
        <w:rPr>
          <w:rFonts w:ascii="Arial" w:cs="Arial" w:eastAsia="Arial" w:hAnsi="Arial"/>
          <w:sz w:val="17"/>
          <w:szCs w:val="17"/>
          <w:color w:val="auto"/>
        </w:rPr>
        <w:t>”, and together with WFS and WFS Europe, each a “</w:t>
      </w:r>
      <w:r>
        <w:rPr>
          <w:rFonts w:ascii="Arial" w:cs="Arial" w:eastAsia="Arial" w:hAnsi="Arial"/>
          <w:sz w:val="17"/>
          <w:szCs w:val="17"/>
          <w:u w:val="single" w:color="auto"/>
          <w:color w:val="auto"/>
        </w:rPr>
        <w:t>Borrower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Borrowers</w:t>
      </w:r>
      <w:r>
        <w:rPr>
          <w:rFonts w:ascii="Arial" w:cs="Arial" w:eastAsia="Arial" w:hAnsi="Arial"/>
          <w:sz w:val="17"/>
          <w:szCs w:val="17"/>
          <w:color w:val="auto"/>
        </w:rPr>
        <w:t>”), each lender from time to time party hereto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individually, a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w:t>
      </w:r>
      <w:r>
        <w:rPr>
          <w:rFonts w:ascii="Arial" w:cs="Arial" w:eastAsia="Arial" w:hAnsi="Arial"/>
          <w:sz w:val="17"/>
          <w:szCs w:val="17"/>
          <w:b w:val="1"/>
          <w:bCs w:val="1"/>
          <w:color w:val="auto"/>
        </w:rPr>
        <w:t>BANK OF AMERICA, N.A.,</w:t>
      </w:r>
      <w:r>
        <w:rPr>
          <w:rFonts w:ascii="Arial" w:cs="Arial" w:eastAsia="Arial" w:hAnsi="Arial"/>
          <w:sz w:val="17"/>
          <w:szCs w:val="17"/>
          <w:color w:val="auto"/>
        </w:rPr>
        <w:t xml:space="preserve"> as Administrative Agent, Swing Line Lender and L/C-BA Issuer, and </w:t>
      </w:r>
      <w:r>
        <w:rPr>
          <w:rFonts w:ascii="Arial" w:cs="Arial" w:eastAsia="Arial" w:hAnsi="Arial"/>
          <w:sz w:val="17"/>
          <w:szCs w:val="17"/>
          <w:b w:val="1"/>
          <w:bCs w:val="1"/>
          <w:color w:val="auto"/>
        </w:rPr>
        <w:t>BANK OF AMERICA, N.A., SINGAPORE BRANCH</w:t>
      </w:r>
      <w:r>
        <w:rPr>
          <w:rFonts w:ascii="Arial" w:cs="Arial" w:eastAsia="Arial" w:hAnsi="Arial"/>
          <w:sz w:val="17"/>
          <w:szCs w:val="17"/>
          <w:color w:val="auto"/>
        </w:rPr>
        <w:t>, as Singapore Agent.</w:t>
      </w:r>
    </w:p>
    <w:p>
      <w:pPr>
        <w:spacing w:after="0" w:line="178" w:lineRule="exact"/>
        <w:rPr>
          <w:sz w:val="20"/>
          <w:szCs w:val="20"/>
          <w:color w:val="auto"/>
        </w:rPr>
      </w:pPr>
    </w:p>
    <w:p>
      <w:pPr>
        <w:ind w:right="200" w:firstLine="656"/>
        <w:spacing w:after="0" w:line="293" w:lineRule="auto"/>
        <w:tabs>
          <w:tab w:leader="none" w:pos="1363"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Borrowers, Bank of America, N.A, as administrative agent, and the lenders party thereto (the “</w:t>
      </w:r>
      <w:r>
        <w:rPr>
          <w:rFonts w:ascii="Arial" w:cs="Arial" w:eastAsia="Arial" w:hAnsi="Arial"/>
          <w:sz w:val="16"/>
          <w:szCs w:val="16"/>
          <w:u w:val="single" w:color="auto"/>
          <w:color w:val="auto"/>
        </w:rPr>
        <w:t>Existing Lenders</w:t>
      </w:r>
      <w:r>
        <w:rPr>
          <w:rFonts w:ascii="Arial" w:cs="Arial" w:eastAsia="Arial" w:hAnsi="Arial"/>
          <w:sz w:val="16"/>
          <w:szCs w:val="16"/>
          <w:color w:val="auto"/>
        </w:rPr>
        <w:t>”) entered into that certain Third Amended and Restated Credit Agreement dated as of September 8, 2010 (as amended by that certain Amendment No. 1 to Credit Agreement dated July 28, 2011 and that certain Amendment No. 2 to Credit Agreement and Joinder Agreement dated as of April 10, 2012, the “</w:t>
      </w:r>
      <w:r>
        <w:rPr>
          <w:rFonts w:ascii="Arial" w:cs="Arial" w:eastAsia="Arial" w:hAnsi="Arial"/>
          <w:sz w:val="16"/>
          <w:szCs w:val="16"/>
          <w:u w:val="single" w:color="auto"/>
          <w:color w:val="auto"/>
        </w:rPr>
        <w:t>Existing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pursuant to which certain of the Existing Lenders have made available to the Borrowers a $800,000,000 revolving credit facility with a swing line sublimit and a letter of credit sublimit, certain of the Existing Lenders have funded Domestic Term Loans in the original principal amount of $200,000,000 and the Singapore Term Loan Lenders have funded Singapore Term Loans in the original principal amount of $50,000,000.</w:t>
      </w:r>
    </w:p>
    <w:p>
      <w:pPr>
        <w:spacing w:after="0" w:line="164" w:lineRule="exact"/>
        <w:rPr>
          <w:rFonts w:ascii="Arial" w:cs="Arial" w:eastAsia="Arial" w:hAnsi="Arial"/>
          <w:sz w:val="16"/>
          <w:szCs w:val="16"/>
          <w:color w:val="auto"/>
        </w:rPr>
      </w:pPr>
    </w:p>
    <w:p>
      <w:pPr>
        <w:ind w:right="20" w:firstLine="656"/>
        <w:spacing w:after="0" w:line="342" w:lineRule="auto"/>
        <w:tabs>
          <w:tab w:leader="none" w:pos="1353"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The Borrowers have requested that the Existing Credit Agreement be further amended and restated to, among other things, extend and increase the aggregate maximum principal amount of the revolving credit facility, without exercising </w:t>
      </w:r>
      <w:r>
        <w:rPr>
          <w:rFonts w:ascii="Arial" w:cs="Arial" w:eastAsia="Arial" w:hAnsi="Arial"/>
          <w:sz w:val="16"/>
          <w:szCs w:val="16"/>
          <w:u w:val="single" w:color="auto"/>
          <w:color w:val="auto"/>
        </w:rPr>
        <w:t>Section 2.14</w:t>
      </w:r>
      <w:r>
        <w:rPr>
          <w:rFonts w:ascii="Arial" w:cs="Arial" w:eastAsia="Arial" w:hAnsi="Arial"/>
          <w:sz w:val="16"/>
          <w:szCs w:val="16"/>
          <w:color w:val="auto"/>
        </w:rPr>
        <w:t>, and make certain other changes as set forth</w:t>
      </w:r>
    </w:p>
    <w:p>
      <w:pPr>
        <w:sectPr>
          <w:pgSz w:w="11900" w:h="16867" w:orient="portrait"/>
          <w:cols w:equalWidth="0" w:num="1">
            <w:col w:w="11420"/>
          </w:cols>
          <w:pgMar w:left="240" w:top="337" w:right="239" w:bottom="0" w:gutter="0" w:footer="0" w:header="0"/>
        </w:sectPr>
      </w:pPr>
    </w:p>
    <w:bookmarkStart w:id="7" w:name="page8"/>
    <w:bookmarkEnd w:id="7"/>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herein (the “</w:t>
      </w:r>
      <w:r>
        <w:rPr>
          <w:rFonts w:ascii="Arial" w:cs="Arial" w:eastAsia="Arial" w:hAnsi="Arial"/>
          <w:sz w:val="17"/>
          <w:szCs w:val="17"/>
          <w:u w:val="single" w:color="auto"/>
          <w:color w:val="auto"/>
        </w:rPr>
        <w:t>Restatement</w:t>
      </w:r>
      <w:r>
        <w:rPr>
          <w:rFonts w:ascii="Arial" w:cs="Arial" w:eastAsia="Arial" w:hAnsi="Arial"/>
          <w:sz w:val="17"/>
          <w:szCs w:val="17"/>
          <w:color w:val="auto"/>
        </w:rPr>
        <w:t>”), and the Administrative Agent and the Lenders are willing to make such amendments as evidenced by the Restatement.</w:t>
      </w:r>
    </w:p>
    <w:p>
      <w:pPr>
        <w:spacing w:after="0" w:line="237" w:lineRule="exact"/>
        <w:rPr>
          <w:sz w:val="20"/>
          <w:szCs w:val="20"/>
          <w:color w:val="auto"/>
        </w:rPr>
      </w:pPr>
    </w:p>
    <w:p>
      <w:pPr>
        <w:ind w:right="80" w:firstLine="656"/>
        <w:spacing w:after="0" w:line="277" w:lineRule="auto"/>
        <w:tabs>
          <w:tab w:leader="none" w:pos="13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of the Existing Lenders have assigned all of their interests under the Existing Agreement to the Administrative Agent substantially simultaneously with the effectiveness hereof.</w:t>
      </w:r>
    </w:p>
    <w:p>
      <w:pPr>
        <w:spacing w:after="0" w:line="170" w:lineRule="exact"/>
        <w:rPr>
          <w:rFonts w:ascii="Arial" w:cs="Arial" w:eastAsia="Arial" w:hAnsi="Arial"/>
          <w:sz w:val="18"/>
          <w:szCs w:val="18"/>
          <w:color w:val="auto"/>
        </w:rPr>
      </w:pPr>
    </w:p>
    <w:p>
      <w:pPr>
        <w:ind w:right="320" w:firstLine="656"/>
        <w:spacing w:after="0" w:line="264" w:lineRule="auto"/>
        <w:tabs>
          <w:tab w:leader="none" w:pos="1363"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As further provided herein and upon the terms and conditions contained herein, the Revolving Lenders (as of the Closing Date) and the Administrative Agent have agreed to allocate and reallocate the Revolving Commitment and Applicable Revolving Percentages of each of the Revolving Lenders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656"/>
        <w:spacing w:after="0" w:line="264" w:lineRule="auto"/>
        <w:tabs>
          <w:tab w:leader="none" w:pos="13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As further provided herein and upon the terms and conditions contained herein, the Domestic Term Loan Lenders (as of the Closing Date) and the Administrative Agent have agreed to reallocate the outstanding Domestic Term Loans and Applicable Percentages of each of the Domestic Term Loan Lenders as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DEFINITIONS AND ACCOUNTING TERMS</w:t>
      </w:r>
    </w:p>
    <w:p>
      <w:pPr>
        <w:spacing w:after="0" w:line="225"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Amendment and Restatement</w:t>
      </w:r>
      <w:r>
        <w:rPr>
          <w:rFonts w:ascii="Arial" w:cs="Arial" w:eastAsia="Arial" w:hAnsi="Arial"/>
          <w:sz w:val="16"/>
          <w:szCs w:val="16"/>
          <w:color w:val="auto"/>
        </w:rPr>
        <w:t>. In order to facilitate the Restatement and otherwise to effectuate the desires of the Borrowers, the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Administrative Agent and the Lenders:</w:t>
      </w:r>
    </w:p>
    <w:p>
      <w:pPr>
        <w:spacing w:after="0" w:line="211" w:lineRule="exact"/>
        <w:rPr>
          <w:sz w:val="20"/>
          <w:szCs w:val="20"/>
          <w:color w:val="auto"/>
        </w:rPr>
      </w:pPr>
    </w:p>
    <w:p>
      <w:pPr>
        <w:ind w:firstLine="656"/>
        <w:spacing w:after="0" w:line="285" w:lineRule="auto"/>
        <w:tabs>
          <w:tab w:leader="none" w:pos="13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Simultaneously with the date hereof, the parties hereto hereby agree that (i) the Revolving Commitments shall be as set forth in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and the portion of Revolving Loans (as defined in the Existing Credit Agreement) outstanding under the Existing Credit Agreement shall be reallocated in accordance with such Revolving Commitments and the requisite assignments shall be deemed to be made in such amounts by and between the Revolving Lenders and from each Revolving Lender to each other Revolving Lender, with the same force and effect as if such assignments were evidenced by applicable Assignment and Assumptions (as defined in the Existing Credit Agreement) under the Existing Credit Agreement, and (ii) the Domestic Term Loan Commitments shall be zero and the portion of Domestic Term Loans (as defined in the Existing Credit Agreement) outstanding under the Existing Credit Agreement shall be reallocated in accordance with each Domestic Term Loan Lender’s Applicable Percentage set forth in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and the requisite assignments shall be deemed to be made in such amounts by and between the Domestic Term Loan Lenders and from each Domestic Term Loan Lender to each other Domestic Term Loan Lender, with the same force and effect as if such assignments were evidenced by applicable Assignment and Assumptions (as defined in the Existing Credit Agreement) under the Existing Credit Agreement. Notwithstanding anything to the contrary in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of the Existing Credit Agreement or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of this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On the Closing Date, the Revolving Lenders and the Domestic Term Loan Lenders, respectively, shall make full cash settlement with each other either directly or through the Administrative Agent, as the Administrative Agent may direct or approve, with respect to all assignments, reallocations and other changes in Commitments (as such term is defined in the Existing Credit Agreement) such that after giving effect to such settlements each Revolving Lender’s Applicable Revolving Percentage and each Domestic Term Loan Lender’s Pro Rata Share of the Domestic Term Loans shall be as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right="160" w:firstLine="656"/>
        <w:spacing w:after="0" w:line="257" w:lineRule="auto"/>
        <w:tabs>
          <w:tab w:leader="none" w:pos="13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Borrowers, the Administrative Agent, and the Lenders hereby agree that upon the effectiveness of this Agreement, the terms and provisions of the Existing Credit Agreement which in any manner govern or evidence the Obligations, the rights and interests of the Administrative Agent and the Lenders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Notwithstanding this amendment and restatement of the Existing Credit Agreement, including anything in this </w:t>
      </w:r>
      <w:r>
        <w:rPr>
          <w:rFonts w:ascii="Arial" w:cs="Arial" w:eastAsia="Arial" w:hAnsi="Arial"/>
          <w:sz w:val="18"/>
          <w:szCs w:val="18"/>
          <w:u w:val="single" w:color="auto"/>
          <w:color w:val="auto"/>
        </w:rPr>
        <w:t>Section 1.01</w:t>
      </w:r>
      <w:r>
        <w:rPr>
          <w:rFonts w:ascii="Arial" w:cs="Arial" w:eastAsia="Arial" w:hAnsi="Arial"/>
          <w:sz w:val="18"/>
          <w:szCs w:val="18"/>
          <w:color w:val="auto"/>
        </w:rPr>
        <w:t>, and in any related “Loan Documents” (as such term is defined in the Existing Credit Agreement and referred to herein, individually or collectively, as the “</w:t>
      </w:r>
      <w:r>
        <w:rPr>
          <w:rFonts w:ascii="Arial" w:cs="Arial" w:eastAsia="Arial" w:hAnsi="Arial"/>
          <w:sz w:val="18"/>
          <w:szCs w:val="18"/>
          <w:u w:val="single" w:color="auto"/>
          <w:color w:val="auto"/>
        </w:rPr>
        <w:t>Existing Loan Documents</w:t>
      </w:r>
      <w:r>
        <w:rPr>
          <w:rFonts w:ascii="Arial" w:cs="Arial" w:eastAsia="Arial" w:hAnsi="Arial"/>
          <w:sz w:val="18"/>
          <w:szCs w:val="18"/>
          <w:color w:val="auto"/>
        </w:rPr>
        <w:t>”) (i) all of the indebtedness, liabilities and obligations owing 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any Person under the Existing Credit Agreement and other Existing Loan Documents outstanding as of the Closing Date shall continue as Obligations hereunder, and (ii) neither the execution and delivery of this Agreement and any other Loan Document (as defined herein) nor the consummation of any other transaction contemplated hereunder is intended to constitute a novation of the Existing Credit Agreement or of any of the other Existing Loan Documents or any obligations thereunder outstanding as of the Closing Date. Notwithstanding the foregoing, each Lender holding a Note issued under the Existing Credit Agreement (the “Existing Notes”) hereby agrees that it is accepting a Note or Notes hereunder in substitution of its Existing Note(s) and such Existing Note(s) shall be destroyed and the terms thereof shall be null and void. On the Closing Date, the Interest Periods for all Eurodollar Rate Loans outstanding under the Existing Credit Agreement shall be terminated, the Borrowers shall pay all accrued interest with respect to such Loans, and the Borrowers shall furnish to the Administrative Agent Loan Notices selecting the interest rates for existing Loans. The Existing Lenders agree that the transactions contemplated under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not give rise to any obligation of any Borrower to make any payment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of the Existing Credit Agreement.</w:t>
      </w:r>
    </w:p>
    <w:p>
      <w:pPr>
        <w:spacing w:after="0" w:line="191"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80% Guaranty Threshold</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6.12(b)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Credit</w:t>
      </w:r>
      <w:r>
        <w:rPr>
          <w:rFonts w:ascii="Arial" w:cs="Arial" w:eastAsia="Arial" w:hAnsi="Arial"/>
          <w:sz w:val="18"/>
          <w:szCs w:val="18"/>
          <w:color w:val="auto"/>
        </w:rPr>
        <w:t>” means a commercial Letter of Credit in which the L/C-BA Issuer engages with the beneficiary of such Letter of Credit to accept a time draft.</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Acceptance Documents</w:t>
      </w:r>
      <w:r>
        <w:rPr>
          <w:rFonts w:ascii="Arial" w:cs="Arial" w:eastAsia="Arial" w:hAnsi="Arial"/>
          <w:sz w:val="18"/>
          <w:szCs w:val="18"/>
          <w:color w:val="auto"/>
        </w:rPr>
        <w:t>” means such general acceptance agreements, applications, certificates and other documents as the L/C-BA Issuer may require in connection with the creation of L/C Issued BAs.</w:t>
      </w:r>
    </w:p>
    <w:p>
      <w:pPr>
        <w:sectPr>
          <w:pgSz w:w="11900" w:h="16929" w:orient="portrait"/>
          <w:cols w:equalWidth="0" w:num="1">
            <w:col w:w="11420"/>
          </w:cols>
          <w:pgMar w:left="240" w:top="125" w:right="239" w:bottom="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has the meaning specified for such term in the UCC.</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transaction or series of related transactions for the purpose of or resulting, directly or indirectly, in (a) the acquisition of all or substantially all of the assets of a Person, or of all or substantially all of any business or division of a Person that is not already a Restricted Subsidiary of such Person, (b) the acquisition of in excess of 50% of the Equity Interests of any Person, or otherwise causing any Person to become a Restricted Subsidiary (other than as a result of the creation of such Person as a Restricted Subsidiary), or (c) a merger or consolidation or any other combination with another Person (other than a Person that is already a Restricted Subsidiary).</w:t>
      </w:r>
    </w:p>
    <w:p>
      <w:pPr>
        <w:spacing w:after="0" w:line="188"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means Bank of America in its capacity as administrative agent for the Lenders under any of the Loan Documents, or any successor administrative agent, and, in the case of fundings, payments, interest rate selections, fees, assignments, participations and notices relating to the Singapore Term Loan, the Singapore Agent, in its capacity as administrative agent with respect to the Singapore Term Loan.</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or the Singapore Agent’s, as applicable,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such other address or account as the Administrative Agent may from time to time notify to the Borrowing Agent and the Lenders.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Commitments</w:t>
      </w:r>
      <w:r>
        <w:rPr>
          <w:rFonts w:ascii="Arial" w:cs="Arial" w:eastAsia="Arial" w:hAnsi="Arial"/>
          <w:sz w:val="18"/>
          <w:szCs w:val="18"/>
          <w:color w:val="auto"/>
        </w:rPr>
        <w:t>” means the Revolving Commitments of all the Revolving Lenders. As of the Closing Date, the Aggregate Revolving Commitments equal $1,100,000,000.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(a) in respect of the Domestic Term Loan Facility, with respect to any Domestic Term Loan Lender at any time, the percentage (carried out to the ninth decimal place) of the Domestic Term Loan Facility represented by such Domestic Term Loan Lender’s Pro Rata Share at such time, (b) in respect of the Singapore Term Loan Facility, with respect to any Singapore Term Loan Lender at any time, the percentage (carried out to the ninth decimal place) of the Singapore Term Loan Facility represented by such Singapore Term Loan Lender’s Pro Rata Share at such time, and (c) in respect of the Revolving Credit Facility, with respect to any Revolving Lender at any time, such Revolving Lender’s Applicable Revolving Percentage. The Applicable Percentage of each Lender as of the Closing Date in respect of each Facility is set forth opposite the name of such Lender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at any time, in respect of the Revolving Facility, the Domestic Term Loan Facility and the Singapore Term Loan Facility, the applicable percentage per annum set forth below determined by reference to the Consolidated Total Leverage Ratio as set forth in the most recent Compliance Certificate received by the Administrative Agent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Applicable Rate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Pricing</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2"/>
              </w:rPr>
              <w:t>Consolidated Total</w:t>
            </w: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Commitment</w:t>
            </w:r>
          </w:p>
        </w:tc>
        <w:tc>
          <w:tcPr>
            <w:tcW w:w="2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Eurodollar Rate Loans/</w:t>
            </w:r>
          </w:p>
        </w:tc>
        <w:tc>
          <w:tcPr>
            <w:tcW w:w="14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Base Rate</w:t>
            </w: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Bankers’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Level</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3"/>
              </w:rPr>
              <w:t>Leverage Ratio</w:t>
            </w: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Fee</w:t>
            </w:r>
          </w:p>
        </w:tc>
        <w:tc>
          <w:tcPr>
            <w:tcW w:w="2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Standby Letters of Credit</w:t>
            </w: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Loans</w:t>
            </w:r>
          </w:p>
        </w:tc>
        <w:tc>
          <w:tcPr>
            <w:tcW w:w="15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Acceptances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w:t>
            </w:r>
          </w:p>
        </w:tc>
        <w:tc>
          <w:tcPr>
            <w:tcW w:w="280" w:type="dxa"/>
            <w:vAlign w:val="bottom"/>
            <w:vMerge w:val="continue"/>
            <w:shd w:val="clear" w:color="auto" w:fill="CCEEFF"/>
          </w:tcPr>
          <w:p>
            <w:pPr>
              <w:spacing w:after="0"/>
              <w:rPr>
                <w:sz w:val="18"/>
                <w:szCs w:val="18"/>
                <w:color w:val="auto"/>
              </w:rPr>
            </w:pPr>
          </w:p>
        </w:tc>
        <w:tc>
          <w:tcPr>
            <w:tcW w:w="2280" w:type="dxa"/>
            <w:vAlign w:val="bottom"/>
            <w:gridSpan w:val="7"/>
            <w:shd w:val="clear" w:color="auto" w:fill="CCEEFF"/>
          </w:tcPr>
          <w:p>
            <w:pPr>
              <w:jc w:val="center"/>
              <w:spacing w:after="0"/>
              <w:rPr>
                <w:sz w:val="20"/>
                <w:szCs w:val="20"/>
                <w:color w:val="auto"/>
              </w:rPr>
            </w:pPr>
            <w:r>
              <w:rPr>
                <w:rFonts w:ascii="Arial" w:cs="Arial" w:eastAsia="Arial" w:hAnsi="Arial"/>
                <w:sz w:val="18"/>
                <w:szCs w:val="18"/>
                <w:color w:val="auto"/>
                <w:w w:val="91"/>
              </w:rPr>
              <w:t>&lt; 1.00:1</w:t>
            </w:r>
          </w:p>
        </w:tc>
        <w:tc>
          <w:tcPr>
            <w:tcW w:w="28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2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Pr>
          <w:p>
            <w:pPr>
              <w:jc w:val="right"/>
              <w:ind w:right="570"/>
              <w:spacing w:after="0" w:line="176"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5"/>
                <w:szCs w:val="15"/>
                <w:color w:val="auto"/>
              </w:rPr>
            </w:pPr>
          </w:p>
        </w:tc>
        <w:tc>
          <w:tcPr>
            <w:tcW w:w="2560" w:type="dxa"/>
            <w:vAlign w:val="bottom"/>
            <w:gridSpan w:val="8"/>
          </w:tcPr>
          <w:p>
            <w:pPr>
              <w:jc w:val="center"/>
              <w:ind w:right="280"/>
              <w:spacing w:after="0" w:line="176" w:lineRule="exact"/>
              <w:rPr>
                <w:sz w:val="20"/>
                <w:szCs w:val="20"/>
                <w:color w:val="auto"/>
              </w:rPr>
            </w:pPr>
            <w:r>
              <w:rPr>
                <w:rFonts w:ascii="Arial" w:cs="Arial" w:eastAsia="Arial" w:hAnsi="Arial"/>
                <w:sz w:val="18"/>
                <w:szCs w:val="18"/>
                <w:color w:val="auto"/>
                <w:w w:val="91"/>
              </w:rPr>
              <w:t>&gt; 1.00:1 but &lt; 2.00:1</w:t>
            </w:r>
          </w:p>
        </w:tc>
        <w:tc>
          <w:tcPr>
            <w:tcW w:w="164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0.25%</w:t>
            </w:r>
          </w:p>
        </w:tc>
        <w:tc>
          <w:tcPr>
            <w:tcW w:w="25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2.00%</w:t>
            </w:r>
          </w:p>
        </w:tc>
        <w:tc>
          <w:tcPr>
            <w:tcW w:w="14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00" w:type="dxa"/>
            <w:vAlign w:val="bottom"/>
            <w:shd w:val="clear" w:color="auto" w:fill="CCEEFF"/>
          </w:tcPr>
          <w:p>
            <w:pPr>
              <w:jc w:val="right"/>
              <w:ind w:right="570"/>
              <w:spacing w:after="0" w:line="176"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160" w:type="dxa"/>
            <w:vAlign w:val="bottom"/>
            <w:gridSpan w:val="6"/>
            <w:shd w:val="clear" w:color="auto" w:fill="CCEEFF"/>
          </w:tcPr>
          <w:p>
            <w:pPr>
              <w:jc w:val="center"/>
              <w:ind w:right="680"/>
              <w:spacing w:after="0" w:line="176" w:lineRule="exact"/>
              <w:rPr>
                <w:sz w:val="20"/>
                <w:szCs w:val="20"/>
                <w:color w:val="auto"/>
              </w:rPr>
            </w:pPr>
            <w:r>
              <w:rPr>
                <w:rFonts w:ascii="Arial" w:cs="Arial" w:eastAsia="Arial" w:hAnsi="Arial"/>
                <w:sz w:val="18"/>
                <w:szCs w:val="18"/>
                <w:color w:val="auto"/>
                <w:w w:val="91"/>
              </w:rPr>
              <w:t>&gt;2.00:1 but &lt; 3.00:1</w:t>
            </w:r>
          </w:p>
        </w:tc>
        <w:tc>
          <w:tcPr>
            <w:tcW w:w="164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0.30%</w:t>
            </w:r>
          </w:p>
        </w:tc>
        <w:tc>
          <w:tcPr>
            <w:tcW w:w="25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2.25%</w:t>
            </w:r>
          </w:p>
        </w:tc>
        <w:tc>
          <w:tcPr>
            <w:tcW w:w="14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1.25%</w:t>
            </w:r>
          </w:p>
        </w:tc>
        <w:tc>
          <w:tcPr>
            <w:tcW w:w="15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2.00%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00" w:type="dxa"/>
            <w:vAlign w:val="bottom"/>
          </w:tcPr>
          <w:p>
            <w:pPr>
              <w:jc w:val="right"/>
              <w:ind w:right="570"/>
              <w:spacing w:after="0" w:line="176"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5"/>
                <w:szCs w:val="15"/>
                <w:color w:val="auto"/>
              </w:rPr>
            </w:pPr>
          </w:p>
        </w:tc>
        <w:tc>
          <w:tcPr>
            <w:tcW w:w="2560" w:type="dxa"/>
            <w:vAlign w:val="bottom"/>
            <w:gridSpan w:val="8"/>
          </w:tcPr>
          <w:p>
            <w:pPr>
              <w:jc w:val="center"/>
              <w:ind w:right="280"/>
              <w:spacing w:after="0" w:line="176" w:lineRule="exact"/>
              <w:rPr>
                <w:sz w:val="20"/>
                <w:szCs w:val="20"/>
                <w:color w:val="auto"/>
              </w:rPr>
            </w:pPr>
            <w:r>
              <w:rPr>
                <w:rFonts w:ascii="Arial" w:cs="Arial" w:eastAsia="Arial" w:hAnsi="Arial"/>
                <w:sz w:val="18"/>
                <w:szCs w:val="18"/>
                <w:color w:val="auto"/>
                <w:w w:val="91"/>
              </w:rPr>
              <w:t>&gt; 3.00:1 but &lt; 4.00:1</w:t>
            </w:r>
          </w:p>
        </w:tc>
        <w:tc>
          <w:tcPr>
            <w:tcW w:w="164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0.35%</w:t>
            </w:r>
          </w:p>
        </w:tc>
        <w:tc>
          <w:tcPr>
            <w:tcW w:w="25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2.50%</w:t>
            </w:r>
          </w:p>
        </w:tc>
        <w:tc>
          <w:tcPr>
            <w:tcW w:w="14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1.50%</w:t>
            </w:r>
          </w:p>
        </w:tc>
        <w:tc>
          <w:tcPr>
            <w:tcW w:w="15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2.25%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00" w:type="dxa"/>
            <w:vAlign w:val="bottom"/>
            <w:shd w:val="clear" w:color="auto" w:fill="CCEEFF"/>
          </w:tcPr>
          <w:p>
            <w:pPr>
              <w:jc w:val="right"/>
              <w:ind w:right="570"/>
              <w:spacing w:after="0" w:line="176" w:lineRule="exact"/>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7"/>
                <w:szCs w:val="17"/>
                <w:color w:val="auto"/>
              </w:rPr>
            </w:pPr>
          </w:p>
        </w:tc>
        <w:tc>
          <w:tcPr>
            <w:tcW w:w="2280" w:type="dxa"/>
            <w:vAlign w:val="bottom"/>
            <w:gridSpan w:val="7"/>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&gt; 4.00:1</w:t>
            </w:r>
          </w:p>
        </w:tc>
        <w:tc>
          <w:tcPr>
            <w:tcW w:w="2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0.40%</w:t>
            </w:r>
          </w:p>
        </w:tc>
        <w:tc>
          <w:tcPr>
            <w:tcW w:w="25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2.75%</w:t>
            </w:r>
          </w:p>
        </w:tc>
        <w:tc>
          <w:tcPr>
            <w:tcW w:w="14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1.75%</w:t>
            </w:r>
          </w:p>
        </w:tc>
        <w:tc>
          <w:tcPr>
            <w:tcW w:w="15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2.50%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23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 xml:space="preserve">Any increase or decrease in the Applicable Rate resulting from a change in the Consolidated Total Leverage Ratio shall become effective as of the fifth (5th) Business Day immediately following the date a Compliance Certificate is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if a Compliance Certificate is not delivered when due in accordance with such Section, then, Pricing Level 5 shall apply as of the fifth (5th) Business Day after the date on which such Compliance Certificate was required to have been delivered and in each case shall remain in effect until the date on which such Compliance Certificate is delivered and (ii) from the Closing Date to the fifth (5th) Business Day after the date of delivery of the Compliance Certificate for the fiscal quarter ending September 30, 2013, Pricing Level 2 shall apply. Notwithstanding anything to the contrary contained in this definition, the determination of the Applicable Rate for any period shall be subject to the provisions of </w:t>
      </w:r>
      <w:r>
        <w:rPr>
          <w:rFonts w:ascii="Arial" w:cs="Arial" w:eastAsia="Arial" w:hAnsi="Arial"/>
          <w:sz w:val="17"/>
          <w:szCs w:val="17"/>
          <w:u w:val="single" w:color="auto"/>
          <w:color w:val="auto"/>
        </w:rPr>
        <w:t>Section 2.10(b)</w:t>
      </w:r>
      <w:r>
        <w:rPr>
          <w:rFonts w:ascii="Arial" w:cs="Arial" w:eastAsia="Arial" w:hAnsi="Arial"/>
          <w:sz w:val="17"/>
          <w:szCs w:val="17"/>
          <w:color w:val="auto"/>
        </w:rPr>
        <w:t>.</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Revolving Percentage</w:t>
      </w:r>
      <w:r>
        <w:rPr>
          <w:rFonts w:ascii="Arial" w:cs="Arial" w:eastAsia="Arial" w:hAnsi="Arial"/>
          <w:sz w:val="17"/>
          <w:szCs w:val="17"/>
          <w:color w:val="auto"/>
        </w:rPr>
        <w:t>” means, with respect to any Revolving Lender at any time, the percentage (carried out to the ninth decimal place) of the Aggregate Revolving Commitments represented by such Revolving Lender’s Revolving Commitment at such time. If the commitment of each Revolving Lender to make Revolving Loans and the obligation of the L/C Issuer to make L/C Credit Extensions have been terminated pursuant to</w:t>
      </w:r>
    </w:p>
    <w:p>
      <w:pPr>
        <w:ind w:right="140"/>
        <w:spacing w:after="0" w:line="273" w:lineRule="auto"/>
        <w:rPr>
          <w:sz w:val="20"/>
          <w:szCs w:val="20"/>
          <w:color w:val="auto"/>
        </w:rPr>
      </w:pP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if the Aggregate Revolving Commitments have expired, then the Applicable Revolving Percentage of each Revolving Lender shall be determined based on the Applicable Revolving Percentage of such Revolving Lender most recently in effect, giving effect to any subsequent assignments. The Applicable Revolving Percentage of each Revolving Lender as of the Closing Date is set forth opposite the name of such Revolving Lender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w:t>
      </w:r>
      <w:r>
        <w:rPr>
          <w:rFonts w:ascii="Arial" w:cs="Arial" w:eastAsia="Arial" w:hAnsi="Arial"/>
          <w:sz w:val="17"/>
          <w:szCs w:val="17"/>
          <w:color w:val="auto"/>
        </w:rPr>
        <w:t xml:space="preserve"> or in the Assignment and Assumption pursuant to which such Revolving Lender becomes a party hereto, as applicable.</w:t>
      </w:r>
    </w:p>
    <w:p>
      <w:pPr>
        <w:sectPr>
          <w:pgSz w:w="11900" w:h="16838" w:orient="portrait"/>
          <w:cols w:equalWidth="0" w:num="1">
            <w:col w:w="11460"/>
          </w:cols>
          <w:pgMar w:left="240" w:top="341" w:right="199" w:bottom="0" w:gutter="0" w:footer="0" w:header="0"/>
        </w:sectPr>
      </w:pPr>
    </w:p>
    <w:bookmarkStart w:id="9" w:name="page10"/>
    <w:bookmarkEnd w:id="9"/>
    <w:p>
      <w:pPr>
        <w:ind w:right="2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Lender</w:t>
      </w:r>
      <w:r>
        <w:rPr>
          <w:rFonts w:ascii="Arial" w:cs="Arial" w:eastAsia="Arial" w:hAnsi="Arial"/>
          <w:sz w:val="18"/>
          <w:szCs w:val="18"/>
          <w:color w:val="auto"/>
        </w:rPr>
        <w:t xml:space="preserve">” 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the Revolving Lenders and (c) with respect to the Swing Line Sublimit, (i) the Swing Line Lender and (ii) if any Swing Line Loans are outstanding pursuant to </w:t>
      </w:r>
      <w:r>
        <w:rPr>
          <w:rFonts w:ascii="Arial" w:cs="Arial" w:eastAsia="Arial" w:hAnsi="Arial"/>
          <w:sz w:val="18"/>
          <w:szCs w:val="18"/>
          <w:u w:val="single" w:color="auto"/>
          <w:color w:val="auto"/>
        </w:rPr>
        <w:t>Section 2.04(a)</w:t>
      </w:r>
      <w:r>
        <w:rPr>
          <w:rFonts w:ascii="Arial" w:cs="Arial" w:eastAsia="Arial" w:hAnsi="Arial"/>
          <w:sz w:val="18"/>
          <w:szCs w:val="18"/>
          <w:color w:val="auto"/>
        </w:rPr>
        <w:t>, the Revolving Lenders.</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Convertible Debt Documents</w:t>
      </w:r>
      <w:r>
        <w:rPr>
          <w:rFonts w:ascii="Arial" w:cs="Arial" w:eastAsia="Arial" w:hAnsi="Arial"/>
          <w:sz w:val="16"/>
          <w:szCs w:val="16"/>
          <w:color w:val="auto"/>
        </w:rPr>
        <w:t xml:space="preserve">” means each indenture and all other instruments, agreements, and other documents related to Convertible Debt Securities or providing for a guarantee of Convertible Debt Securities or other right in respect thereof that, collectively: (a) except as permitted by </w:t>
      </w:r>
      <w:r>
        <w:rPr>
          <w:rFonts w:ascii="Arial" w:cs="Arial" w:eastAsia="Arial" w:hAnsi="Arial"/>
          <w:sz w:val="16"/>
          <w:szCs w:val="16"/>
          <w:u w:val="single" w:color="auto"/>
          <w:color w:val="auto"/>
        </w:rPr>
        <w:t>clause</w:t>
      </w:r>
    </w:p>
    <w:p>
      <w:pPr>
        <w:ind w:right="140" w:firstLine="8"/>
        <w:spacing w:after="0" w:line="253" w:lineRule="auto"/>
        <w:tabs>
          <w:tab w:leader="none" w:pos="255" w:val="left"/>
        </w:tabs>
        <w:numPr>
          <w:ilvl w:val="0"/>
          <w:numId w:val="16"/>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definition, provide for no amortization, scheduled repayment prior to maturity, sinking fund, mandatory redemptions, or maturity, in each case, prior to the date that is ninety-two (92) days after October 10, 2018; (b) contain no mandatory redemption or offer to purchase other than standard put rights and/or market conversion triggers for “net share settled convertible notes”; and (c) if they contain a change of control covenant or change of control event of default provision that is analogous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the definition of “Change of Control”, then such analogous covenant or provision is not more restrictive than the corresponding clause of the definition of “Change of Control”.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and accepted by the Administrative Agent, in substantially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or any other form approved by the Administrative Agent.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Atlantic Fuel Services</w:t>
      </w:r>
      <w:r>
        <w:rPr>
          <w:rFonts w:ascii="Arial" w:cs="Arial" w:eastAsia="Arial" w:hAnsi="Arial"/>
          <w:sz w:val="18"/>
          <w:szCs w:val="18"/>
          <w:color w:val="auto"/>
        </w:rPr>
        <w:t>” means Atlantic Fuel Services, S.R.L., a Costa Rica limited liability company.</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WFS and its Subsidiaries for the fiscal year ended December 31, 2012, and the related consolidated statements of income or operations, shareholders’ equity and cash flows for such fiscal year of WFS and its Subsidiaries, including the notes thereto.</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Liquidity</w:t>
      </w:r>
      <w:r>
        <w:rPr>
          <w:rFonts w:ascii="Arial" w:cs="Arial" w:eastAsia="Arial" w:hAnsi="Arial"/>
          <w:sz w:val="18"/>
          <w:szCs w:val="18"/>
          <w:color w:val="auto"/>
        </w:rPr>
        <w:t xml:space="preserve">” means, at any date of measurement thereof, the sum of (without duplication) (a) cash, cash equivalents and short term investments, in each case not subject to any Lien (excluding any Liens created pursuant to the Collateral Documents), then owned by WFS or Restricted Subsidiaries that would be reflected on a consolidated balance sheet of such Persons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amount by which the Aggregate Commitments in effect on such date exceeds the Total Outstandings, plus (c) amounts available to be borrowed by WFS and its Restricted Subsidiaries under other credit facilities.</w:t>
      </w:r>
    </w:p>
    <w:p>
      <w:pPr>
        <w:spacing w:after="0" w:line="188" w:lineRule="exact"/>
        <w:rPr>
          <w:sz w:val="20"/>
          <w:szCs w:val="20"/>
          <w:color w:val="auto"/>
        </w:rPr>
      </w:pPr>
    </w:p>
    <w:p>
      <w:pPr>
        <w:ind w:firstLine="70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with respect to the Revolving Facility, the period from and including the Closing Date to the earliest of (a) the Maturity Date for the Revolving Credit Facility, (b) the date of termination in full of the Aggregate Revolving Commitments pursuant to </w:t>
      </w:r>
      <w:r>
        <w:rPr>
          <w:rFonts w:ascii="Arial" w:cs="Arial" w:eastAsia="Arial" w:hAnsi="Arial"/>
          <w:sz w:val="18"/>
          <w:szCs w:val="18"/>
          <w:u w:val="single" w:color="auto"/>
          <w:color w:val="auto"/>
        </w:rPr>
        <w:t>Section 2.06(a)</w:t>
      </w:r>
      <w:r>
        <w:rPr>
          <w:rFonts w:ascii="Arial" w:cs="Arial" w:eastAsia="Arial" w:hAnsi="Arial"/>
          <w:sz w:val="18"/>
          <w:szCs w:val="18"/>
          <w:color w:val="auto"/>
        </w:rPr>
        <w:t xml:space="preserve">, and (c) the date of termination of the commitment of each Revolving Lender to make Revolving Loans and of the obligation of the L/C-BA Issuer to make L/C-BA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2.03(j)</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 Singapore</w:t>
      </w:r>
      <w:r>
        <w:rPr>
          <w:rFonts w:ascii="Arial" w:cs="Arial" w:eastAsia="Arial" w:hAnsi="Arial"/>
          <w:sz w:val="18"/>
          <w:szCs w:val="18"/>
          <w:color w:val="auto"/>
        </w:rPr>
        <w:t>” means Bank of America, N.A., Singapore Branch,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Bankers’ Acceptance</w:t>
      </w:r>
      <w:r>
        <w:rPr>
          <w:rFonts w:ascii="Arial" w:cs="Arial" w:eastAsia="Arial" w:hAnsi="Arial"/>
          <w:sz w:val="18"/>
          <w:szCs w:val="18"/>
          <w:color w:val="auto"/>
        </w:rPr>
        <w:t>” or “</w:t>
      </w:r>
      <w:r>
        <w:rPr>
          <w:rFonts w:ascii="Arial" w:cs="Arial" w:eastAsia="Arial" w:hAnsi="Arial"/>
          <w:sz w:val="18"/>
          <w:szCs w:val="18"/>
          <w:u w:val="single" w:color="auto"/>
          <w:color w:val="auto"/>
        </w:rPr>
        <w:t>BA</w:t>
      </w:r>
      <w:r>
        <w:rPr>
          <w:rFonts w:ascii="Arial" w:cs="Arial" w:eastAsia="Arial" w:hAnsi="Arial"/>
          <w:sz w:val="18"/>
          <w:szCs w:val="18"/>
          <w:color w:val="auto"/>
        </w:rPr>
        <w:t>” means a Clean BA or an L/C Issued BA.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Bankers’ Acceptance Rate</w:t>
      </w:r>
      <w:r>
        <w:rPr>
          <w:rFonts w:ascii="Arial" w:cs="Arial" w:eastAsia="Arial" w:hAnsi="Arial"/>
          <w:sz w:val="18"/>
          <w:szCs w:val="18"/>
          <w:color w:val="auto"/>
        </w:rPr>
        <w:t>” means for any day a fluctuating rate per annum equal to the rate of interest in effect for such day as publicly announced from time to time by Bank of America, N.A. as its “bankers’ acceptance rate”. Any change in such rate announced by Bank of America, N.A. shall take effect at the opening of business on the day specified in the public announcement of such change.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Bankers’ Acceptance Request</w:t>
      </w:r>
      <w:r>
        <w:rPr>
          <w:rFonts w:ascii="Arial" w:cs="Arial" w:eastAsia="Arial" w:hAnsi="Arial"/>
          <w:sz w:val="18"/>
          <w:szCs w:val="18"/>
          <w:color w:val="auto"/>
        </w:rPr>
        <w:t xml:space="preserve">” means the written request for the issuance of Clean BAs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per annum equal to the highest of (a) the Federal Funds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1/2 of 1%, (b) the rate of interest in effect for such day as publicly announced from time to time by Bank of America as its “prime rate,” and (c) the Eurodollar Rate </w:t>
      </w:r>
      <w:r>
        <w:rPr>
          <w:rFonts w:ascii="Arial" w:cs="Arial" w:eastAsia="Arial" w:hAnsi="Arial"/>
          <w:sz w:val="16"/>
          <w:szCs w:val="16"/>
          <w:u w:val="single" w:color="auto"/>
          <w:color w:val="auto"/>
        </w:rPr>
        <w:t>plus 1.00</w:t>
      </w:r>
      <w:r>
        <w:rPr>
          <w:rFonts w:ascii="Arial" w:cs="Arial" w:eastAsia="Arial" w:hAnsi="Arial"/>
          <w:sz w:val="16"/>
          <w:szCs w:val="16"/>
          <w:color w:val="auto"/>
        </w:rPr>
        <w: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at the Base Rate.</w:t>
      </w:r>
    </w:p>
    <w:p>
      <w:pPr>
        <w:sectPr>
          <w:pgSz w:w="11900" w:h="16838" w:orient="portrait"/>
          <w:cols w:equalWidth="0" w:num="1">
            <w:col w:w="11420"/>
          </w:cols>
          <w:pgMar w:left="240" w:top="341" w:right="239" w:bottom="0" w:gutter="0" w:footer="0" w:header="0"/>
        </w:sectPr>
      </w:pPr>
    </w:p>
    <w:bookmarkStart w:id="10" w:name="page11"/>
    <w:bookmarkEnd w:id="10"/>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Revolving Loan</w:t>
      </w:r>
      <w:r>
        <w:rPr>
          <w:rFonts w:ascii="Arial" w:cs="Arial" w:eastAsia="Arial" w:hAnsi="Arial"/>
          <w:sz w:val="18"/>
          <w:szCs w:val="18"/>
          <w:color w:val="auto"/>
        </w:rPr>
        <w:t>” means a Revolving Loan that is a Base Rate Loan.</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BofA Fee Letter</w:t>
      </w:r>
      <w:r>
        <w:rPr>
          <w:rFonts w:ascii="Arial" w:cs="Arial" w:eastAsia="Arial" w:hAnsi="Arial"/>
          <w:sz w:val="18"/>
          <w:szCs w:val="18"/>
          <w:color w:val="auto"/>
        </w:rPr>
        <w:t>” means the letter agreement, dated September 24, 2013, among the Borrowing Agent, on behalf of the Borrowers, Bank of America and MLPFS.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Borrowing, a Swing Line Borrowing, the Domestic Term Loan Borrowing or the Singapore Term Loan Borrowing, as the context may require.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Agent</w:t>
      </w:r>
      <w:r>
        <w:rPr>
          <w:rFonts w:ascii="Arial" w:cs="Arial" w:eastAsia="Arial" w:hAnsi="Arial"/>
          <w:sz w:val="18"/>
          <w:szCs w:val="18"/>
          <w:color w:val="auto"/>
        </w:rPr>
        <w:t xml:space="preserve">” means WFS in its capacity as Borrowing Agent hereunder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 provided that when such term is used in connection with the Singapore Term Loan Facility, it shall also mean any day other than a Saturday, Sunday or any other day on which commercial banks are authorized to close under the Laws of, or are in fact closed in, Singapore or Hong Kong.</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to any Person for any period, any expenditure in respect of the purchase or other acquisition of any fixed or capital assets in accordance with GAAP.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w:t>
      </w:r>
      <w:r>
        <w:rPr>
          <w:rFonts w:ascii="Arial" w:cs="Arial" w:eastAsia="Arial" w:hAnsi="Arial"/>
          <w:sz w:val="16"/>
          <w:szCs w:val="16"/>
          <w:color w:val="auto"/>
        </w:rPr>
        <w:t>” means a lease that meets one or more of the following criteria: (a) the lease term is greater than 75% of the property’s estimated economic life; (b) the lease contains an option to purchase the property for less than fair market value; (c) ownership of the property is transferred to the lessee at the end of the lease term; or (d) the present value of the lease payments exceeds 90% of the fair market value of the property.</w:t>
      </w:r>
    </w:p>
    <w:p>
      <w:pPr>
        <w:spacing w:after="0" w:line="14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Administrative Agent, for the benefit of the Administrative Agent, L/C-BA Issuer or Swing Line Lender (as applicable) and the Revolving Lenders, as collateral for L/C-BA Obligations, Obligations in respect of Swing Line Loans, or obligations of Revolving Lenders to fund participations in respect of either thereof (as the context may require), cash or deposit account balances or, if the L/C-BA Issuer or Swing Line Lender benefitting from such collateral shall agree in its sole discretion, other credit support, in each case pursuant to documentation in form and substance reasonably satisfactory to (a) the Administrative Agent and (b) the L/C-BA Issuer or the Swing Line Lender (as applicable). “</w:t>
      </w:r>
      <w:r>
        <w:rPr>
          <w:rFonts w:ascii="Arial" w:cs="Arial" w:eastAsia="Arial" w:hAnsi="Arial"/>
          <w:sz w:val="16"/>
          <w:szCs w:val="16"/>
          <w:u w:val="single" w:color="auto"/>
          <w:color w:val="auto"/>
        </w:rPr>
        <w:t>Cash 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16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Agreement</w:t>
      </w:r>
      <w:r>
        <w:rPr>
          <w:rFonts w:ascii="Arial" w:cs="Arial" w:eastAsia="Arial" w:hAnsi="Arial"/>
          <w:sz w:val="17"/>
          <w:szCs w:val="17"/>
          <w:color w:val="auto"/>
        </w:rPr>
        <w:t>” means any agreement that is not prohibited by the terms of this Agreement to provide cash management services, including treasury, depository, overdraft, credit or debit card, electronic funds transfer and other cash management arrangements.</w:t>
      </w:r>
    </w:p>
    <w:p>
      <w:pPr>
        <w:spacing w:after="0" w:line="14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225" w:lineRule="exact"/>
        <w:rPr>
          <w:sz w:val="20"/>
          <w:szCs w:val="20"/>
          <w:color w:val="auto"/>
        </w:rPr>
      </w:pPr>
    </w:p>
    <w:p>
      <w:pPr>
        <w:ind w:right="140" w:firstLine="656"/>
        <w:spacing w:after="0" w:line="259" w:lineRule="auto"/>
        <w:tabs>
          <w:tab w:leader="none" w:pos="13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deemed to have “beneficial ownership” of all securities that such person or group has the right to acquire, whether such right is exercisable immediately or only after the passage of time (such right, an “</w:t>
      </w:r>
      <w:r>
        <w:rPr>
          <w:rFonts w:ascii="Arial" w:cs="Arial" w:eastAsia="Arial" w:hAnsi="Arial"/>
          <w:sz w:val="18"/>
          <w:szCs w:val="18"/>
          <w:u w:val="single" w:color="auto"/>
          <w:color w:val="auto"/>
        </w:rPr>
        <w:t>option right</w:t>
      </w:r>
      <w:r>
        <w:rPr>
          <w:rFonts w:ascii="Arial" w:cs="Arial" w:eastAsia="Arial" w:hAnsi="Arial"/>
          <w:sz w:val="18"/>
          <w:szCs w:val="18"/>
          <w:color w:val="auto"/>
        </w:rPr>
        <w:t>”)), directly or indirectly, of 35% or more of the equity securities of WFS entitled to vote for members of the board of directors or equivalent governing body of WFS on a fully-diluted basis (and taking into account all such securities that such person or group has the right to acquire pursuant to any option right); or</w:t>
      </w:r>
    </w:p>
    <w:p>
      <w:pPr>
        <w:spacing w:after="0" w:line="187" w:lineRule="exact"/>
        <w:rPr>
          <w:sz w:val="20"/>
          <w:szCs w:val="20"/>
          <w:color w:val="auto"/>
        </w:rPr>
      </w:pPr>
    </w:p>
    <w:p>
      <w:pPr>
        <w:ind w:right="60" w:firstLine="656"/>
        <w:spacing w:after="0" w:line="291" w:lineRule="auto"/>
        <w:tabs>
          <w:tab w:leader="none" w:pos="13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during any period of 12 consecutive months, a majority of the members of the board of directors or other equivalent governing body of WFS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constituting at the time of such election or nomination at least a majority of that board or equivalent governing body (excluding, in the case of both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(iii)</w:t>
      </w:r>
      <w:r>
        <w:rPr>
          <w:rFonts w:ascii="Arial" w:cs="Arial" w:eastAsia="Arial" w:hAnsi="Arial"/>
          <w:sz w:val="16"/>
          <w:szCs w:val="16"/>
          <w:color w:val="auto"/>
        </w:rPr>
        <w:t>, any individual whose initial nomination for, or assumption of office as, a member of that board or equivalent governing body occurs as a result of an actual or threatened solicitation of proxies or consents</w:t>
      </w:r>
    </w:p>
    <w:p>
      <w:pPr>
        <w:sectPr>
          <w:pgSz w:w="11900" w:h="16932" w:orient="portrait"/>
          <w:cols w:equalWidth="0" w:num="1">
            <w:col w:w="11400"/>
          </w:cols>
          <w:pgMar w:left="240" w:top="125" w:right="259" w:bottom="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for the election or removal of one or more directors by any person or group other than a solicitation for the election of one or more directors by or on behalf of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Clean Bankers’ Acceptance</w:t>
      </w:r>
      <w:r>
        <w:rPr>
          <w:rFonts w:ascii="Arial" w:cs="Arial" w:eastAsia="Arial" w:hAnsi="Arial"/>
          <w:sz w:val="18"/>
          <w:szCs w:val="18"/>
          <w:color w:val="auto"/>
        </w:rPr>
        <w:t>” or “</w:t>
      </w:r>
      <w:r>
        <w:rPr>
          <w:rFonts w:ascii="Arial" w:cs="Arial" w:eastAsia="Arial" w:hAnsi="Arial"/>
          <w:sz w:val="18"/>
          <w:szCs w:val="18"/>
          <w:u w:val="single" w:color="auto"/>
          <w:color w:val="auto"/>
        </w:rPr>
        <w:t>Clean BA</w:t>
      </w:r>
      <w:r>
        <w:rPr>
          <w:rFonts w:ascii="Arial" w:cs="Arial" w:eastAsia="Arial" w:hAnsi="Arial"/>
          <w:sz w:val="18"/>
          <w:szCs w:val="18"/>
          <w:color w:val="auto"/>
        </w:rPr>
        <w:t>” means a negotiable time draft drawn on and accepted by the L/C-BA Issuer pursuant to</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to finance the purchase of fuel or freight expenses in connection with the shipment of fuel or to finance insurance, port charges or advances on purchases of fuel.</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October 10, 2013, the date on which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all property of the Loan Parties that is, or is intended under the terms of the Collateral Documents, to be subject to Liens in favor of the Administrative Agent for the benefit of the Secured Parties, including without limitation, all Cash Collateral, as collateral security for the Obligations.</w:t>
      </w:r>
    </w:p>
    <w:p>
      <w:pPr>
        <w:spacing w:after="0" w:line="12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xml:space="preserve">” means, collectively, the Pledge Agreement (and each Pledge Joinder Agreement), the Notice of Negative Pledge Agreement, any agreement creating or perfecting rights in Cash Collateral posted by or on behalf of the Borrowers pursuant to the provisions of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of this Agreement, and each of the other agreements, instruments, documents, certificates, or financing statements that creates, perfects or protects, or purports to create, perfect or protect a Lien in favor of the Administrative Agent for the benefit of the Secured Parties in any Collateral.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means a Domestic Term Loan Commitment, a Singapore Term Loan Commitment or a Revolving Commitment, as the context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require.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means a notice of (a) a Borrowing, (b) a conversion of Loans from one Type to the other, or (c) a continuation of Eurodollar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with respect to Revolving Loans and Domestic Term Loans and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with respect to Singapore Term Loans.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Asset Coverage Amount</w:t>
      </w:r>
      <w:r>
        <w:rPr>
          <w:rFonts w:ascii="Arial" w:cs="Arial" w:eastAsia="Arial" w:hAnsi="Arial"/>
          <w:sz w:val="17"/>
          <w:szCs w:val="17"/>
          <w:color w:val="auto"/>
        </w:rPr>
        <w:t xml:space="preserve">” means, on any date of measurement, an amount equal to the total of (a) the net book value of all accounts receivable of WFS and its Restricted Subsidiaries on a consolidated basis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net book value of all inventory of WFS and its Restricted Subsidiaries on a consolidated basis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net book value of all fixed assets of WFS and its Restricted Subsidiaries on a consolidated basis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(d) the amount, if any, by which the aggregate cash, cash equivalents and short term investments, in each case not subject to any Lien (excluding any Liens created pursuant to the Collateral Documents), then owned by WFS or Restricted Subsidiaries that would be reflected on a consolidated balance sheet of such Persons at such time exceed $15,000,000.</w:t>
      </w:r>
    </w:p>
    <w:p>
      <w:pPr>
        <w:spacing w:after="0" w:line="17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Asset Coverage Ratio</w:t>
      </w:r>
      <w:r>
        <w:rPr>
          <w:rFonts w:ascii="Arial" w:cs="Arial" w:eastAsia="Arial" w:hAnsi="Arial"/>
          <w:sz w:val="17"/>
          <w:szCs w:val="17"/>
          <w:color w:val="auto"/>
        </w:rPr>
        <w:t xml:space="preserve">” means, on any date of measurement the ratio of (a) the Consolidated Asset Coverage Amount as of such date to (b) the sum of (i) Consolidated Funded Indebtedness (excluding the undrawn amount of all standby letters of credit)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sixty-five percent (65%) of accounts payable of WFS and its Restricted Subsidiaries on a consolidated basis as of such date.</w:t>
      </w:r>
    </w:p>
    <w:p>
      <w:pPr>
        <w:spacing w:after="0" w:line="166"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xml:space="preserve">” means, for any period, for WFS and its Restricted Subsidiaries on a consolidated basis, an amount equal to 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the following to the extent deducted in calculating such Consolidated Net Income: (i) Consolidated Interest Charges for such period, (ii) the provision for Federal, state, local and foreign income taxes payable by WFS and its Restricted Subsidiaries for such period,</w:t>
      </w:r>
    </w:p>
    <w:p>
      <w:pPr>
        <w:ind w:right="160" w:firstLine="8"/>
        <w:spacing w:after="0" w:line="281" w:lineRule="auto"/>
        <w:tabs>
          <w:tab w:leader="none" w:pos="3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depreciation and amortization expense for such period and (iv) other non-recurring expenses of WFS and its Restricted Subsidiaries reducing such Consolidated Net Income which do not represent a cash item in such period or any future period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following to the extent included in calculating such Consolidated Net Income: (i) Federal, state, local and foreign income tax credits of WFS and its Restricted Subsidiaries for such period and</w:t>
      </w:r>
    </w:p>
    <w:p>
      <w:pPr>
        <w:spacing w:after="0" w:line="2" w:lineRule="exact"/>
        <w:rPr>
          <w:rFonts w:ascii="Arial" w:cs="Arial" w:eastAsia="Arial" w:hAnsi="Arial"/>
          <w:sz w:val="16"/>
          <w:szCs w:val="16"/>
          <w:color w:val="auto"/>
        </w:rPr>
      </w:pPr>
    </w:p>
    <w:p>
      <w:pPr>
        <w:ind w:firstLine="8"/>
        <w:spacing w:after="0" w:line="302" w:lineRule="auto"/>
        <w:tabs>
          <w:tab w:leader="none" w:pos="2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all non-cash items increasing Consolidated Net Income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period that includes a Material Acquisition or Material Disposition such calculation shall be subject to the adjustments set forth in </w:t>
      </w:r>
      <w:r>
        <w:rPr>
          <w:rFonts w:ascii="Arial" w:cs="Arial" w:eastAsia="Arial" w:hAnsi="Arial"/>
          <w:sz w:val="16"/>
          <w:szCs w:val="16"/>
          <w:u w:val="single" w:color="auto"/>
          <w:color w:val="auto"/>
        </w:rPr>
        <w:t>Section 1.08</w:t>
      </w:r>
      <w:r>
        <w:rPr>
          <w:rFonts w:ascii="Arial" w:cs="Arial" w:eastAsia="Arial" w:hAnsi="Arial"/>
          <w:sz w:val="16"/>
          <w:szCs w:val="16"/>
          <w:color w:val="auto"/>
        </w:rPr>
        <w:t xml:space="preserve"> and (y) “Consolidated EBITDA” for any such period shall include the aggregate amount of cash actually distributed by any Unrestricted Subsidiary to WFS or any of its Restricted Subsidiaries during such period.</w:t>
      </w:r>
    </w:p>
    <w:p>
      <w:pPr>
        <w:spacing w:after="0" w:line="15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Indebtedness</w:t>
      </w:r>
      <w:r>
        <w:rPr>
          <w:rFonts w:ascii="Arial" w:cs="Arial" w:eastAsia="Arial" w:hAnsi="Arial"/>
          <w:sz w:val="18"/>
          <w:szCs w:val="18"/>
          <w:color w:val="auto"/>
        </w:rPr>
        <w:t>” means, as of any date of determination, for WFS and its Restricted Subsidiaries on a consolidated basis, the sum of, without duplication, (a) the outstanding principal amount of all obligations, whether current or long-term, for borrowed money (including Loans and L/C-BA Borrowings hereunder) and all obligations evidenced 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bonds, debentures, notes, loan agreements or other similar instruments, (b) all purchase money Indebtedness, (c) all obligations, direct or contingent arising under standby letters of credit, bankers’ acceptances and bank guaranties, (d) all obligations in respect of the deferred purchase price of property or services (other than trade accounts payable in the ordinary course of business), (e) Attributable Indebtedness in respect of Capital Leases and Synthetic Lease Obligations, (f) without duplication, all Guarantees with respect to outstanding Indebtedness of the types specified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above of Persons other than WFS or any Restricted Subsidiary, and (g) all Indebtedness of the types referred to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above of any partnership or joint venture (other than a joint venture that is itself a corporation or limited liability company) in which WFS or a Restricted Subsidiary is a general partner or joint venturer, unless such Indebtedness is expressly made non-recourse to WFS or such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Funded Indebtedness” shall not include the obligations of WFS with respect to the WFS Working Capital Guarantee.</w:t>
      </w:r>
    </w:p>
    <w:p>
      <w:pPr>
        <w:spacing w:after="0" w:line="17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means, for any period, for WFS and its Restricted Subsidiaries on a consolidated basis, interest expense in accordance with GAAP.</w:t>
      </w:r>
    </w:p>
    <w:p>
      <w:pPr>
        <w:sectPr>
          <w:pgSz w:w="11900" w:h="16838" w:orient="portrait"/>
          <w:cols w:equalWidth="0" w:num="1">
            <w:col w:w="11420"/>
          </w:cols>
          <w:pgMar w:left="240" w:top="125" w:right="239" w:bottom="0" w:gutter="0" w:footer="0" w:header="0"/>
        </w:sectPr>
      </w:pPr>
    </w:p>
    <w:bookmarkStart w:id="12" w:name="page13"/>
    <w:bookmarkEnd w:id="12"/>
    <w:p>
      <w:pPr>
        <w:spacing w:after="0" w:line="3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xml:space="preserve">” means, as of any date of determination, the ratio of (a) Consolidated EBITDA for the period of the four prior fiscal quarters ending on such date minus Capital Expenditures for such period </w:t>
      </w:r>
      <w:r>
        <w:rPr>
          <w:rFonts w:ascii="Arial" w:cs="Arial" w:eastAsia="Arial" w:hAnsi="Arial"/>
          <w:sz w:val="18"/>
          <w:szCs w:val="18"/>
          <w:i w:val="1"/>
          <w:iCs w:val="1"/>
          <w:color w:val="auto"/>
        </w:rPr>
        <w:t>to</w:t>
      </w:r>
      <w:r>
        <w:rPr>
          <w:rFonts w:ascii="Arial" w:cs="Arial" w:eastAsia="Arial" w:hAnsi="Arial"/>
          <w:sz w:val="18"/>
          <w:szCs w:val="18"/>
          <w:color w:val="auto"/>
        </w:rPr>
        <w:t xml:space="preserve"> (b) net cash Consolidated Interest Charges for the period of the four prior fiscal quarters ending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period that includes a Material Acquisition or Material Disposition such calculation shall be subject to the adjustments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for any period, for WFS and its Restricted Subsidiaries on a consolidated basis, the net income of WFS and its Restricted Subsidiaries (excluding extraordinary gains and extraordinary losses) for that period.</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Senior Leverage Ratio</w:t>
      </w:r>
      <w:r>
        <w:rPr>
          <w:rFonts w:ascii="Arial" w:cs="Arial" w:eastAsia="Arial" w:hAnsi="Arial"/>
          <w:sz w:val="18"/>
          <w:szCs w:val="18"/>
          <w:color w:val="auto"/>
        </w:rPr>
        <w:t xml:space="preserve">” means, as of any date of determination, the ratio of (a) Consolidated Funded Indebtedness as of such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all Subordinated Debt as of such date </w:t>
      </w:r>
      <w:r>
        <w:rPr>
          <w:rFonts w:ascii="Arial" w:cs="Arial" w:eastAsia="Arial" w:hAnsi="Arial"/>
          <w:sz w:val="18"/>
          <w:szCs w:val="18"/>
          <w:i w:val="1"/>
          <w:iCs w:val="1"/>
          <w:color w:val="auto"/>
        </w:rPr>
        <w:t>to</w:t>
      </w:r>
      <w:r>
        <w:rPr>
          <w:rFonts w:ascii="Arial" w:cs="Arial" w:eastAsia="Arial" w:hAnsi="Arial"/>
          <w:sz w:val="18"/>
          <w:szCs w:val="18"/>
          <w:color w:val="auto"/>
        </w:rPr>
        <w:t xml:space="preserve"> (b) Consolidated EBITDA for the period of the four fiscal quarters most recently ended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period that includes a Material Acquisition or Material Disposition such calculation shall be subject to the adjustments set forth in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for purposes of calculating the Consolidated Senior Leverage Ratio, the lesser of (x) $100,000,000 and (y) the outstanding face amount of standby letters of credit issued for the account of WFS and its Restricted Subsidiaries as of such date shall be excluded from Consolidated Funded Indebtedness.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Leverage Ratio</w:t>
      </w:r>
      <w:r>
        <w:rPr>
          <w:rFonts w:ascii="Arial" w:cs="Arial" w:eastAsia="Arial" w:hAnsi="Arial"/>
          <w:sz w:val="16"/>
          <w:szCs w:val="16"/>
          <w:color w:val="auto"/>
        </w:rPr>
        <w:t xml:space="preserve">” means, as of any date of determination, the ratio of (a) Consolidated Funded Indebtedness as of such date </w:t>
      </w:r>
      <w:r>
        <w:rPr>
          <w:rFonts w:ascii="Arial" w:cs="Arial" w:eastAsia="Arial" w:hAnsi="Arial"/>
          <w:sz w:val="16"/>
          <w:szCs w:val="16"/>
          <w:i w:val="1"/>
          <w:iCs w:val="1"/>
          <w:color w:val="auto"/>
        </w:rPr>
        <w:t>to</w:t>
      </w:r>
    </w:p>
    <w:p>
      <w:pPr>
        <w:spacing w:after="0" w:line="46" w:lineRule="exact"/>
        <w:rPr>
          <w:sz w:val="20"/>
          <w:szCs w:val="20"/>
          <w:color w:val="auto"/>
        </w:rPr>
      </w:pPr>
    </w:p>
    <w:p>
      <w:pPr>
        <w:ind w:right="40" w:firstLine="8"/>
        <w:spacing w:after="0" w:line="273"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Consolidated EBITDA for the period of the four fiscal quarters most recently ended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any period that includes a Material Acquisition or Material Disposition such calculation shall be subject to the adjustments set forth in </w:t>
      </w:r>
      <w:r>
        <w:rPr>
          <w:rFonts w:ascii="Arial" w:cs="Arial" w:eastAsia="Arial" w:hAnsi="Arial"/>
          <w:sz w:val="17"/>
          <w:szCs w:val="17"/>
          <w:u w:val="single" w:color="auto"/>
          <w:color w:val="auto"/>
        </w:rPr>
        <w:t>Section 1.08</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for purposes of calculating the Consolidated Total Leverage Ratio, the lesser of (x) $100,000,000 and (y) the outstanding face amount of standby letters of credit issued for the account of WFS and its Restricted Subsidiaries as of such date shall be excluded from Consolidated Funded Indebtedness.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70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right="8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Convertible Debt Security</w:t>
      </w:r>
      <w:r>
        <w:rPr>
          <w:rFonts w:ascii="Arial" w:cs="Arial" w:eastAsia="Arial" w:hAnsi="Arial"/>
          <w:sz w:val="16"/>
          <w:szCs w:val="16"/>
          <w:color w:val="auto"/>
        </w:rPr>
        <w:t>” means any debt security the terms of which provide for the conversion thereof into Equity Interests, cash or a combination of Equity Interests and cash, to the extent such debt security has not, as of any applicable date of determination, been so converted.</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Counterparty</w:t>
      </w:r>
      <w:r>
        <w:rPr>
          <w:rFonts w:ascii="Arial" w:cs="Arial" w:eastAsia="Arial" w:hAnsi="Arial"/>
          <w:sz w:val="18"/>
          <w:szCs w:val="18"/>
          <w:color w:val="auto"/>
        </w:rPr>
        <w:t>” means any financial institution (or any of its affiliates) with which WFS or any of its Subsidiaries purchases and sells fuel and related products and/or enters into Swap Contracts.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L/C-BA Credit Extension.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judicial management,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Rate</w:t>
      </w:r>
      <w:r>
        <w:rPr>
          <w:rFonts w:ascii="Arial" w:cs="Arial" w:eastAsia="Arial" w:hAnsi="Arial"/>
          <w:sz w:val="17"/>
          <w:szCs w:val="17"/>
          <w:color w:val="auto"/>
        </w:rPr>
        <w:t xml:space="preserve">” means (a) when used with respect to Obligations other than Letter of Credit Fees and BA Fees, an interest rate equal to (i)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Applicable Rate, if any,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(b) when used with respect to Letter of Credit Fees, a rate equal to the Applicable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 and (c) when used with respect to BA Fees, a rate equal to the Bankers’ Acceptance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2.16(b)</w:t>
      </w:r>
      <w:r>
        <w:rPr>
          <w:rFonts w:ascii="Arial" w:cs="Arial" w:eastAsia="Arial" w:hAnsi="Arial"/>
          <w:sz w:val="18"/>
          <w:szCs w:val="18"/>
          <w:color w:val="auto"/>
        </w:rPr>
        <w:t>, any Lender that, as determined by the Administrative Agent, (a) has failed to perform any of its funding obligations hereunder, including in respect of its Loans or, in the case of any Revolving Lender, its participations in respect of Letters of Credit, Bankers’ Acceptances or Swing Line Loans, within three Business Days of the date required to be funded by it hereunder unless (x) such failure has been cured or (y) such Lender notifies the Administrative Agent and any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any Borrower,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84" w:lineRule="auto"/>
        <w:rPr>
          <w:sz w:val="20"/>
          <w:szCs w:val="20"/>
          <w:color w:val="auto"/>
        </w:rPr>
      </w:pPr>
      <w:r>
        <w:rPr>
          <w:rFonts w:ascii="Arial" w:cs="Arial" w:eastAsia="Arial" w:hAnsi="Arial"/>
          <w:sz w:val="16"/>
          <w:szCs w:val="16"/>
          <w:color w:val="auto"/>
        </w:rPr>
        <w:t>Administrative Agent or any other Lender that it does not intend to comply with its funding obligations hereunder or has made a public statement to that effect with respect to its funding obligations hereunder or generally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a manner reasonably satisfactory to the Administrative Agent that it will comply with its funding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the Borrowing Agent), or (d) has, or has a direct or indirect parent company that has, other than via an Undisclosed Administration, (i) become the subject of a proceeding under any Debtor Relief Law, or</w:t>
      </w:r>
    </w:p>
    <w:p>
      <w:pPr>
        <w:spacing w:after="0" w:line="1" w:lineRule="exact"/>
        <w:rPr>
          <w:sz w:val="20"/>
          <w:szCs w:val="20"/>
          <w:color w:val="auto"/>
        </w:rPr>
      </w:pPr>
    </w:p>
    <w:p>
      <w:pPr>
        <w:ind w:right="220" w:firstLine="8"/>
        <w:spacing w:after="0" w:line="277" w:lineRule="auto"/>
        <w:tabs>
          <w:tab w:leader="none" w:pos="2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had a receiver, conservator, trustee, administrator, assignee for the benefit of creditors or similar Person charged with reorganization or liquidation of its business or a custodian appointed for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not be a Defaulting Lender solely by virtue of the control of or any ownership or acquisition of any equity interest in that Lender (or any direct or indirect parent company thereof) by a Governmental Authority.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w:t>
      </w:r>
    </w:p>
    <w:p>
      <w:pPr>
        <w:sectPr>
          <w:pgSz w:w="11900" w:h="16874" w:orient="portrait"/>
          <w:cols w:equalWidth="0" w:num="1">
            <w:col w:w="11420"/>
          </w:cols>
          <w:pgMar w:left="240" w:top="125" w:right="239" w:bottom="0" w:gutter="0" w:footer="0" w:header="0"/>
        </w:sectPr>
      </w:pPr>
    </w:p>
    <w:bookmarkStart w:id="13" w:name="page14"/>
    <w:bookmarkEnd w:id="13"/>
    <w:p>
      <w:pPr>
        <w:spacing w:after="0" w:line="94" w:lineRule="exact"/>
        <w:rPr>
          <w:sz w:val="20"/>
          <w:szCs w:val="20"/>
          <w:color w:val="auto"/>
        </w:rPr>
      </w:pPr>
    </w:p>
    <w:p>
      <w:pPr>
        <w:ind w:right="240" w:firstLine="70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Foreign Subsidiary</w:t>
      </w:r>
      <w:r>
        <w:rPr>
          <w:rFonts w:ascii="Arial" w:cs="Arial" w:eastAsia="Arial" w:hAnsi="Arial"/>
          <w:sz w:val="18"/>
          <w:szCs w:val="18"/>
          <w:color w:val="auto"/>
        </w:rPr>
        <w:t>” means a Foreign Subsidiary a majority of whose Voting Securities, or a majority of whose Subsidiary Securities, are directly owned by WFS or a Domestic Subsidiary of WFS that is a Guarantor.</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 for the avoidance of doubt, “Disposition” shall not include Equity Issuances.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Term Loan</w:t>
      </w:r>
      <w:r>
        <w:rPr>
          <w:rFonts w:ascii="Arial" w:cs="Arial" w:eastAsia="Arial" w:hAnsi="Arial"/>
          <w:sz w:val="18"/>
          <w:szCs w:val="18"/>
          <w:color w:val="auto"/>
        </w:rPr>
        <w:t>” means an advance made by any Domestic Term Loan Lender under the Domestic Term Loan Facility.</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Term Loan Borrowing</w:t>
      </w:r>
      <w:r>
        <w:rPr>
          <w:rFonts w:ascii="Arial" w:cs="Arial" w:eastAsia="Arial" w:hAnsi="Arial"/>
          <w:sz w:val="18"/>
          <w:szCs w:val="18"/>
          <w:color w:val="auto"/>
        </w:rPr>
        <w:t xml:space="preserve">” means, collectively, the borrowing funded under the Existing Credit Agreement by the Domestic Term Loan Lenders pursuant to </w:t>
      </w:r>
      <w:r>
        <w:rPr>
          <w:rFonts w:ascii="Arial" w:cs="Arial" w:eastAsia="Arial" w:hAnsi="Arial"/>
          <w:sz w:val="18"/>
          <w:szCs w:val="18"/>
          <w:u w:val="single" w:color="auto"/>
          <w:color w:val="auto"/>
        </w:rPr>
        <w:t>Section 2.01(a)(i)</w:t>
      </w:r>
      <w:r>
        <w:rPr>
          <w:rFonts w:ascii="Arial" w:cs="Arial" w:eastAsia="Arial" w:hAnsi="Arial"/>
          <w:sz w:val="18"/>
          <w:szCs w:val="18"/>
          <w:color w:val="auto"/>
        </w:rPr>
        <w:t xml:space="preserve"> thereof consisting of simultaneous Domestic Term Loans of the same Type and, in the case of Eurodollar Rate Loans, having the same Interest Period.</w:t>
      </w:r>
    </w:p>
    <w:p>
      <w:pPr>
        <w:spacing w:after="0" w:line="18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Term Loan Commitment</w:t>
      </w:r>
      <w:r>
        <w:rPr>
          <w:rFonts w:ascii="Arial" w:cs="Arial" w:eastAsia="Arial" w:hAnsi="Arial"/>
          <w:sz w:val="17"/>
          <w:szCs w:val="17"/>
          <w:color w:val="auto"/>
        </w:rPr>
        <w:t xml:space="preserve">” means, as to each Domestic Term Loan Lender (as of the Closing Date), its obligation to have made Domestic Term Loans to WFS pursuant to </w:t>
      </w:r>
      <w:r>
        <w:rPr>
          <w:rFonts w:ascii="Arial" w:cs="Arial" w:eastAsia="Arial" w:hAnsi="Arial"/>
          <w:sz w:val="17"/>
          <w:szCs w:val="17"/>
          <w:u w:val="single" w:color="auto"/>
          <w:color w:val="auto"/>
        </w:rPr>
        <w:t>Section 2.01(a)(i)</w:t>
      </w:r>
      <w:r>
        <w:rPr>
          <w:rFonts w:ascii="Arial" w:cs="Arial" w:eastAsia="Arial" w:hAnsi="Arial"/>
          <w:sz w:val="17"/>
          <w:szCs w:val="17"/>
          <w:color w:val="auto"/>
        </w:rPr>
        <w:t xml:space="preserve"> under the Existing Credit Agreement in the principal amount set forth opposite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such Domestic Term Loan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“Domestic Term Loan Commitment.”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Domestic Term Loan Facility</w:t>
      </w:r>
      <w:r>
        <w:rPr>
          <w:rFonts w:ascii="Arial" w:cs="Arial" w:eastAsia="Arial" w:hAnsi="Arial"/>
          <w:sz w:val="17"/>
          <w:szCs w:val="17"/>
          <w:color w:val="auto"/>
        </w:rPr>
        <w:t xml:space="preserve">” means the facility described in </w:t>
      </w:r>
      <w:r>
        <w:rPr>
          <w:rFonts w:ascii="Arial" w:cs="Arial" w:eastAsia="Arial" w:hAnsi="Arial"/>
          <w:sz w:val="17"/>
          <w:szCs w:val="17"/>
          <w:u w:val="single" w:color="auto"/>
          <w:color w:val="auto"/>
        </w:rPr>
        <w:t>Section 2.01(a)(i)</w:t>
      </w:r>
      <w:r>
        <w:rPr>
          <w:rFonts w:ascii="Arial" w:cs="Arial" w:eastAsia="Arial" w:hAnsi="Arial"/>
          <w:sz w:val="17"/>
          <w:szCs w:val="17"/>
          <w:color w:val="auto"/>
        </w:rPr>
        <w:t xml:space="preserve"> providing for the making of Domestic Term Loans to WFS by the Domestic Term Loan Lenders initially funded in the aggregate principal amount of $250,000,000 pursuant to that certain Amendment No. 1 to the Existing Credit Agreement, $50,000,000 of which was converted to Singapore Term Loans pursuant to that certain Amendment No. 2 and Joinder Agreement to the Existing Credit Agreement, and outstanding in the principal amount of $194,000,000 as of the Closing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Term Loan Lender</w:t>
      </w:r>
      <w:r>
        <w:rPr>
          <w:rFonts w:ascii="Arial" w:cs="Arial" w:eastAsia="Arial" w:hAnsi="Arial"/>
          <w:sz w:val="18"/>
          <w:szCs w:val="18"/>
          <w:color w:val="auto"/>
        </w:rPr>
        <w:t>” means, at any time, any Lender that holds Domestic Term Loans at such time.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any Borrower, any other Loan Party or any of their respective Subsidiaries (other than an Unrestricted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Borrowers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the Borrowers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Borrowers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Borrowers or any ERISA Affiliate.</w:t>
      </w:r>
    </w:p>
    <w:p>
      <w:pPr>
        <w:sectPr>
          <w:pgSz w:w="11900" w:h="16932" w:orient="portrait"/>
          <w:cols w:equalWidth="0" w:num="1">
            <w:col w:w="11380"/>
          </w:cols>
          <w:pgMar w:left="240" w:top="341" w:right="279" w:bottom="0" w:gutter="0" w:footer="0" w:header="0"/>
        </w:sectPr>
      </w:pPr>
    </w:p>
    <w:bookmarkStart w:id="14" w:name="page15"/>
    <w:bookmarkEnd w:id="14"/>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w:t>
      </w:r>
    </w:p>
    <w:p>
      <w:pPr>
        <w:spacing w:after="0" w:line="225" w:lineRule="exact"/>
        <w:rPr>
          <w:sz w:val="20"/>
          <w:szCs w:val="20"/>
          <w:color w:val="auto"/>
        </w:rPr>
      </w:pPr>
    </w:p>
    <w:p>
      <w:pPr>
        <w:ind w:right="60" w:firstLine="656"/>
        <w:spacing w:after="0" w:line="257" w:lineRule="auto"/>
        <w:tabs>
          <w:tab w:leader="none" w:pos="13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any Interest Period with respect to a Eurodollar Rate Loan,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 comparable or successor rate, which rate is approved by the Administrative Agent, as published on the applicable Reuters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88" w:lineRule="exact"/>
        <w:rPr>
          <w:rFonts w:ascii="Arial" w:cs="Arial" w:eastAsia="Arial" w:hAnsi="Arial"/>
          <w:sz w:val="18"/>
          <w:szCs w:val="18"/>
          <w:color w:val="auto"/>
        </w:rPr>
      </w:pPr>
    </w:p>
    <w:p>
      <w:pPr>
        <w:ind w:firstLine="656"/>
        <w:spacing w:after="0" w:line="279" w:lineRule="auto"/>
        <w:tabs>
          <w:tab w:leader="none" w:pos="1353"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any interest calculation with respect to a Base Rate Loan on any date, the rate per annum equal to LIBOR, or a comparable or successor rate, which rate is approved by the Administrative Agent, as published on the applicable Reuters screen page (or such other commercially available source providing such quotations as may be designated by the Administrative Agent from time to time) at approximately 11:00 a.m., London time determined two Business Days prior to such date for Dollar deposits with a term of one month commencing that day;</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a comparable or successor rate is approved by the Administrative Agent in connection herewith, the approved rate shall be applied in a manner consistent with market practice; provided, further that to the extent such market practice is not administratively feasible for the Administrative Agent, such approved rate shall be applied in a manner as otherwise reasonably determined by the Administrative Agent.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xml:space="preserve">” means a Loan that bears interest at a rate based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“Eurodollar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Party, any Swap Obligation if, and to the extent that, all or a portion of the Guaranty of such Loan Party of,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(determined after giving effect to the Guaranty and any other “keepwell, support or other agreement” for the benefit of such Loan Party and any and all guarantees of such Loan Party’s Swap Obligations by other Loan Parties) at the time the Guaranty of such Loan Party, or a grant by such Loan Party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8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with respect to the Administrative Agent, any Lender, the L/C-BA Issuer or any other recipient of any payment to be made by or on account of any obligation of any Borrower hereunder, (a) taxes imposed or assessed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w:t>
      </w:r>
    </w:p>
    <w:p>
      <w:pPr>
        <w:spacing w:after="0" w:line="2"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branch profits taxes imposed by the United States or any similar tax imposed or assessed by any other jurisdiction in which any Borrower is located,</w:t>
      </w:r>
    </w:p>
    <w:p>
      <w:pPr>
        <w:spacing w:after="0" w:line="32" w:lineRule="exact"/>
        <w:rPr>
          <w:rFonts w:ascii="Arial" w:cs="Arial" w:eastAsia="Arial" w:hAnsi="Arial"/>
          <w:sz w:val="16"/>
          <w:szCs w:val="16"/>
          <w:color w:val="auto"/>
        </w:rPr>
      </w:pPr>
    </w:p>
    <w:p>
      <w:pPr>
        <w:ind w:right="60" w:firstLine="8"/>
        <w:spacing w:after="0" w:line="281" w:lineRule="auto"/>
        <w:tabs>
          <w:tab w:leader="none" w:pos="2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any backup withholding tax that is required by the Code to be withheld from amounts payable to a Lender that has failed to comply with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3.01(e)(ii)</w:t>
      </w:r>
      <w:r>
        <w:rPr>
          <w:rFonts w:ascii="Arial" w:cs="Arial" w:eastAsia="Arial" w:hAnsi="Arial"/>
          <w:sz w:val="16"/>
          <w:szCs w:val="16"/>
          <w:color w:val="auto"/>
        </w:rPr>
        <w:t xml:space="preserve">, (d) in the case of a Foreign Lender (other than an assignee pursuant to a request by the Borrowers under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(i) any United States withholding tax that is required to be imposed on amounts payable to such Foreign Lender pursuant to the Laws in force at the time such Foreign Lender becomes a party hereto (or designates a new Lending Office) or (ii) any withholding tax that is attributable to such Foreign Lender’s failure or inability (other than as a result of a Change in Law) to comply with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3.01(e)(ii)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3.01(e)(iv)</w:t>
      </w:r>
      <w:r>
        <w:rPr>
          <w:rFonts w:ascii="Arial" w:cs="Arial" w:eastAsia="Arial" w:hAnsi="Arial"/>
          <w:sz w:val="16"/>
          <w:szCs w:val="16"/>
          <w:color w:val="auto"/>
        </w:rPr>
        <w:t xml:space="preserve">, except to the extent that such Foreign Lender (or its assignor, if any) was entitled, at the time of designation of a new Lending Office (or assignment), to receive additional amounts from the Borrowers with respect to such withholding tax pursuant to </w:t>
      </w:r>
      <w:r>
        <w:rPr>
          <w:rFonts w:ascii="Arial" w:cs="Arial" w:eastAsia="Arial" w:hAnsi="Arial"/>
          <w:sz w:val="16"/>
          <w:szCs w:val="16"/>
          <w:u w:val="single" w:color="auto"/>
          <w:color w:val="auto"/>
        </w:rPr>
        <w:t>Section 3.01(a)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(e) any Taxes imposed on any “withholdable payment” payable to such recipient as a result of the failure of such recipient (or the failure of any other Person if such failure would trigger a failure by such recipient) to satisfy the applicable requirements as set forth in FATCA or to comply with </w:t>
      </w:r>
      <w:r>
        <w:rPr>
          <w:rFonts w:ascii="Arial" w:cs="Arial" w:eastAsia="Arial" w:hAnsi="Arial"/>
          <w:sz w:val="16"/>
          <w:szCs w:val="16"/>
          <w:u w:val="single" w:color="auto"/>
          <w:color w:val="auto"/>
        </w:rPr>
        <w:t>Section 3.01(e)(iii)</w:t>
      </w:r>
      <w:r>
        <w:rPr>
          <w:rFonts w:ascii="Arial" w:cs="Arial" w:eastAsia="Arial" w:hAnsi="Arial"/>
          <w:sz w:val="16"/>
          <w:szCs w:val="16"/>
          <w:color w:val="auto"/>
        </w:rPr>
        <w:t xml:space="preserve">, and (f) in the case of a Singapore Term Loan Lender (other than an assignee pursuant to a request by the Borrowers under </w:t>
      </w:r>
      <w:r>
        <w:rPr>
          <w:rFonts w:ascii="Arial" w:cs="Arial" w:eastAsia="Arial" w:hAnsi="Arial"/>
          <w:sz w:val="16"/>
          <w:szCs w:val="16"/>
          <w:u w:val="single" w:color="auto"/>
          <w:color w:val="auto"/>
        </w:rPr>
        <w:t>Section 10.13</w:t>
      </w:r>
      <w:r>
        <w:rPr>
          <w:rFonts w:ascii="Arial" w:cs="Arial" w:eastAsia="Arial" w:hAnsi="Arial"/>
          <w:sz w:val="16"/>
          <w:szCs w:val="16"/>
          <w:color w:val="auto"/>
        </w:rPr>
        <w:t>), (i) any Singapore withholding tax that is required to be imposed or assessed on amounts payable to such Singapore Term Loan Lender pursuant to the laws in force at the time such Singapore Term Loan Lender becomes a party hereto,</w:t>
      </w:r>
    </w:p>
    <w:p>
      <w:pPr>
        <w:spacing w:after="0" w:line="7" w:lineRule="exact"/>
        <w:rPr>
          <w:rFonts w:ascii="Arial" w:cs="Arial" w:eastAsia="Arial" w:hAnsi="Arial"/>
          <w:sz w:val="16"/>
          <w:szCs w:val="16"/>
          <w:color w:val="auto"/>
        </w:rPr>
      </w:pPr>
    </w:p>
    <w:p>
      <w:pPr>
        <w:ind w:left="280" w:hanging="272"/>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Singapore withholding tax that is attributable to such Singapore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Term Loan Lender’s failure to comply with clause (c) of </w:t>
      </w:r>
      <w:r>
        <w:rPr>
          <w:rFonts w:ascii="Arial" w:cs="Arial" w:eastAsia="Arial" w:hAnsi="Arial"/>
          <w:sz w:val="18"/>
          <w:szCs w:val="18"/>
          <w:u w:val="single" w:color="auto"/>
          <w:color w:val="auto"/>
        </w:rPr>
        <w:t>Section 3.01(e)(i)</w:t>
      </w:r>
      <w:r>
        <w:rPr>
          <w:rFonts w:ascii="Arial" w:cs="Arial" w:eastAsia="Arial" w:hAnsi="Arial"/>
          <w:sz w:val="18"/>
          <w:szCs w:val="18"/>
          <w:color w:val="auto"/>
        </w:rPr>
        <w:t xml:space="preserve"> and (iii) any Singapore withholding tax if the Singapore Term Loan Lender’s applicable lending office is not Singapore.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the Letters of Credit set forth on </w:t>
      </w:r>
      <w:r>
        <w:rPr>
          <w:rFonts w:ascii="Arial" w:cs="Arial" w:eastAsia="Arial" w:hAnsi="Arial"/>
          <w:sz w:val="18"/>
          <w:szCs w:val="18"/>
          <w:u w:val="single" w:color="auto"/>
          <w:color w:val="auto"/>
        </w:rPr>
        <w:t>Schedule 1.02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 Documents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1.01(b)</w:t>
      </w:r>
      <w:r>
        <w:rPr>
          <w:rFonts w:ascii="Arial" w:cs="Arial" w:eastAsia="Arial" w:hAnsi="Arial"/>
          <w:sz w:val="18"/>
          <w:szCs w:val="18"/>
          <w:color w:val="auto"/>
        </w:rPr>
        <w:t>.</w:t>
      </w:r>
    </w:p>
    <w:p>
      <w:pPr>
        <w:spacing w:after="0" w:line="225"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Extraordinary Receipt</w:t>
      </w:r>
      <w:r>
        <w:rPr>
          <w:rFonts w:ascii="Arial" w:cs="Arial" w:eastAsia="Arial" w:hAnsi="Arial"/>
          <w:sz w:val="17"/>
          <w:szCs w:val="17"/>
          <w:color w:val="auto"/>
        </w:rPr>
        <w:t>” means proceeds of insurance (other than proceeds of (a) business interruption insurance to the extent such proceeds constitute compensation for lost earnings and (b) liability insurance) or condemnation awards (and payments in lieu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w:t>
      </w:r>
      <w:r>
        <w:rPr>
          <w:rFonts w:ascii="Arial" w:cs="Arial" w:eastAsia="Arial" w:hAnsi="Arial"/>
          <w:sz w:val="16"/>
          <w:szCs w:val="16"/>
          <w:color w:val="auto"/>
        </w:rPr>
        <w:t>” means the Domestic Term Loan Facility, the Singapore Term Loan Facility or the Revolving Credit Facility, as the context may require.</w:t>
      </w:r>
    </w:p>
    <w:p>
      <w:pPr>
        <w:spacing w:after="0" w:line="24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Facility Termination Date</w:t>
      </w:r>
      <w:r>
        <w:rPr>
          <w:rFonts w:ascii="Arial" w:cs="Arial" w:eastAsia="Arial" w:hAnsi="Arial"/>
          <w:sz w:val="16"/>
          <w:szCs w:val="16"/>
          <w:color w:val="auto"/>
        </w:rPr>
        <w:t>” means the date as of which all of the following shall have occurred: (a) the Borrowers shall have permanently terminated the credit facilities provided hereunder by final payment in full of all Outstanding Amounts, together with all accrued and unpaid interest and fees thereon, other than (i) the undrawn portion of Letters of Credit, (ii) the aggregate face amount of all outstanding Bankers’ Acceptances and (iii) all Letter of Credit Fees and BA Fees relating thereto accruing after such date (which fees shall be payable solely for the account of the L/C-BA Issuer and shall be</w:t>
      </w:r>
    </w:p>
    <w:p>
      <w:pPr>
        <w:sectPr>
          <w:pgSz w:w="11900" w:h="16945" w:orient="portrait"/>
          <w:cols w:equalWidth="0" w:num="1">
            <w:col w:w="11400"/>
          </w:cols>
          <w:pgMar w:left="240" w:top="341" w:right="259" w:bottom="0" w:gutter="0" w:footer="0" w:header="0"/>
        </w:sectPr>
      </w:pPr>
    </w:p>
    <w:bookmarkStart w:id="15" w:name="page16"/>
    <w:bookmarkEnd w:id="15"/>
    <w:p>
      <w:pPr>
        <w:spacing w:after="0" w:line="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computed (based on interest rates and the Applicable Rates then in effect) on such undrawn amounts to the respective expiry dates of the Letters of Credit and on such aggregate face amount of Bankers’ Acceptances to the respective maturity dates thereof), that have, in each case, been fully Cash Collateralized or as to which other arrangements with respect thereto satisfactory to the Administrative Agent and the L/C-BA Issuer shall have been made; (b) all Commitments shall have terminated or expired; (c) the obligations and liabilities of the Borrowers and each other Loan Party under all Secured Cash Management Agreements and Secured Hedge Agreements shall have been fully, finally and irrevocably paid and satisfied in full and the Secured Cash Management Agreements and Secured Hedge Agreements shall have expired or been terminated, or other arrangements satisfactory to the counterparties shall have been made with respect thereto; and (d) the Borrowers and each other Loan Party shall have fully, finally and irrevocably paid and satisfied in full all of their other respective obligations and liabilities arising under the Loan Documents, including with respect to the Borrowers and the Obligations (except for future obligations consisting of continuing indemnities and other contingent Obligations of any Borrower or any other Loan Party that may be owing to the Administrative Agent, any of its Related Parties or any Lender pursuant to the Loan Documents and expressly survive termination of the Credit Agreement or any other Loan Document).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9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and any current or future regulations or official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interpretations thereof and any agreements entered into pursuant to Section 1471(b)(1)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each of the BofA Fee Letter, the Singapore Agent Fee Letter, or the Joint Fee Letter, collectively, the “</w:t>
      </w:r>
      <w:r>
        <w:rPr>
          <w:rFonts w:ascii="Arial" w:cs="Arial" w:eastAsia="Arial" w:hAnsi="Arial"/>
          <w:sz w:val="18"/>
          <w:szCs w:val="18"/>
          <w:u w:val="single" w:color="auto"/>
          <w:color w:val="auto"/>
        </w:rPr>
        <w:t>Fee Letters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organized under the Laws of a jurisdiction other than that in which the relevant Borrower is resident for tax purposes (including such a Lender when acting in the capacity of the L/C-BA Issuer). For purposes of this definition, the United States, each State thereof and the District of Columbia shall be deemed to constitute a single jurisdiction.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 Subsidiary other than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that is a Revolving Lender, (a) with respect to the L/C-BA Issuer, such Defaulting Lender’s Applicable Revolving Percentage of the outstanding L/C-BA Obligations other than L/C-BA Obligations as to which such Defaulting Lender’s participation obligation has been reallocated to other Revolving Lenders or Cash Collateralized in accordance with the terms hereof, and (b) with respect to the Swing Line Lender, such Defaulting Lender’s Applicable Revolving Percentage of Swing Line Loans other than Swing Line Loans as to which such Defaulting Lender’s participation obligation has been reallocated to other Revolving Lenders or Cash Collateralized in accordance with the terms hereof.</w:t>
      </w:r>
    </w:p>
    <w:p>
      <w:pPr>
        <w:spacing w:after="0" w:line="158"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jc w:val="both"/>
        <w:ind w:right="46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w:t>
      </w:r>
      <w:r>
        <w:rPr>
          <w:rFonts w:ascii="Arial" w:cs="Arial" w:eastAsia="Arial" w:hAnsi="Arial"/>
          <w:sz w:val="16"/>
          <w:szCs w:val="16"/>
          <w:u w:val="single" w:color="auto"/>
          <w:color w:val="auto"/>
        </w:rPr>
        <w:t>provided</w:t>
      </w:r>
      <w:r>
        <w:rPr>
          <w:rFonts w:ascii="Arial" w:cs="Arial" w:eastAsia="Arial" w:hAnsi="Arial"/>
          <w:sz w:val="16"/>
          <w:szCs w:val="16"/>
          <w:color w:val="auto"/>
        </w:rPr>
        <w:t>, that, references to GAAP in this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shall not be interpreted to require or permit any Unrestricted Subsidiary to be consolidated with WFS and its Subsidiaries in the calculation of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or any other provision in this Agreement.</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w:t>
      </w:r>
    </w:p>
    <w:p>
      <w:pPr>
        <w:sectPr>
          <w:pgSz w:w="11900" w:h="16930" w:orient="portrait"/>
          <w:cols w:equalWidth="0" w:num="1">
            <w:col w:w="11420"/>
          </w:cols>
          <w:pgMar w:left="240" w:top="125" w:right="239" w:bottom="0" w:gutter="0" w:footer="0" w:header="0"/>
        </w:sectPr>
      </w:pPr>
    </w:p>
    <w:bookmarkStart w:id="16" w:name="page17"/>
    <w:bookmarkEnd w:id="16"/>
    <w:p>
      <w:pPr>
        <w:spacing w:after="0" w:line="13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means WFS, each other Loan Party as of the Closing Date (for so long as it remains a Loan Party) and each other Subsidiary that becomes a Guarantor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w:t>
      </w:r>
    </w:p>
    <w:p>
      <w:pPr>
        <w:spacing w:after="0" w:line="170"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Third Amended and Restated Guaranty dated as of the date hereof made by the Guarantors in favor of the Administrative Agent on behalf of the Secured Parties,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as supplemented from time to time by execution and delivery of Guaranty Joinder Agreements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Joinder Agreement</w:t>
      </w:r>
      <w:r>
        <w:rPr>
          <w:rFonts w:ascii="Arial" w:cs="Arial" w:eastAsia="Arial" w:hAnsi="Arial"/>
          <w:sz w:val="18"/>
          <w:szCs w:val="18"/>
          <w:color w:val="auto"/>
        </w:rPr>
        <w:t xml:space="preserve">” means each Guaranty Joinder Agreement, substantially in the form thereof attached to the Guaranty, executed and delivered by a Restricted Subsidiary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means any Person that, (a) at the time it enters into an interest rate Swap Contract not prohibited by the terms of this Agreement, is a Lender or an Affiliate of a Lender, or (b) at the time it (or its Affiliate) becomes a Lender, is a party to an interest rate Swap Contract not prohibited by the terms of this Agreement, in each case, in its capacity as a party to such Swap Contract.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HSBC</w:t>
      </w:r>
      <w:r>
        <w:rPr>
          <w:rFonts w:ascii="Arial" w:cs="Arial" w:eastAsia="Arial" w:hAnsi="Arial"/>
          <w:sz w:val="18"/>
          <w:szCs w:val="18"/>
          <w:color w:val="auto"/>
        </w:rPr>
        <w:t>” means HSBC Bank USA, National Association.</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left="660" w:right="80" w:firstLine="645"/>
        <w:spacing w:after="0" w:line="277" w:lineRule="auto"/>
        <w:tabs>
          <w:tab w:leader="none" w:pos="20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20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under letters of credit (including standby and commercial), bankers’ acceptances, bank guaranties, surety bonds and similar instruments;</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225" w:lineRule="exact"/>
        <w:rPr>
          <w:rFonts w:ascii="Arial" w:cs="Arial" w:eastAsia="Arial" w:hAnsi="Arial"/>
          <w:sz w:val="18"/>
          <w:szCs w:val="18"/>
          <w:color w:val="auto"/>
        </w:rPr>
      </w:pPr>
    </w:p>
    <w:p>
      <w:pPr>
        <w:ind w:left="660" w:right="160" w:firstLine="645"/>
        <w:spacing w:after="0" w:line="277" w:lineRule="auto"/>
        <w:tabs>
          <w:tab w:leader="none" w:pos="20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trade accounts payable in the ordinary course of business and, in each case, not past due for more than 90 days);</w:t>
      </w:r>
    </w:p>
    <w:p>
      <w:pPr>
        <w:spacing w:after="0" w:line="170" w:lineRule="exact"/>
        <w:rPr>
          <w:rFonts w:ascii="Arial" w:cs="Arial" w:eastAsia="Arial" w:hAnsi="Arial"/>
          <w:sz w:val="18"/>
          <w:szCs w:val="18"/>
          <w:color w:val="auto"/>
        </w:rPr>
      </w:pPr>
    </w:p>
    <w:p>
      <w:pPr>
        <w:jc w:val="both"/>
        <w:ind w:left="660" w:right="600" w:firstLine="645"/>
        <w:spacing w:after="0" w:line="264" w:lineRule="auto"/>
        <w:tabs>
          <w:tab w:leader="none" w:pos="20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Leases and Synthetic Lease Obligations;</w:t>
      </w:r>
    </w:p>
    <w:p>
      <w:pPr>
        <w:spacing w:after="0" w:line="225" w:lineRule="exact"/>
        <w:rPr>
          <w:rFonts w:ascii="Arial" w:cs="Arial" w:eastAsia="Arial" w:hAnsi="Arial"/>
          <w:sz w:val="18"/>
          <w:szCs w:val="18"/>
          <w:color w:val="auto"/>
        </w:rPr>
      </w:pPr>
    </w:p>
    <w:p>
      <w:pPr>
        <w:jc w:val="both"/>
        <w:ind w:left="660" w:right="540" w:firstLine="645"/>
        <w:spacing w:after="0" w:line="264" w:lineRule="auto"/>
        <w:tabs>
          <w:tab w:leader="none" w:pos="20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 and</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an intercreditor and/or subordination agreement to be entered into with the Senior Note Holders, such agreement to be in form and substance satisfactory to the Administrative Agent (on behalf of the Secured Parties) in its sole discretion.</w:t>
      </w:r>
    </w:p>
    <w:p>
      <w:pPr>
        <w:spacing w:after="0" w:line="170"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Eurodollar Rate Loan exceeds three months, the</w:t>
      </w:r>
    </w:p>
    <w:p>
      <w:pPr>
        <w:sectPr>
          <w:pgSz w:w="11900" w:h="16975" w:orient="portrait"/>
          <w:cols w:equalWidth="0" w:num="1">
            <w:col w:w="11420"/>
          </w:cols>
          <w:pgMar w:left="240" w:top="125" w:right="239" w:bottom="0" w:gutter="0" w:footer="0" w:header="0"/>
        </w:sectPr>
      </w:pPr>
    </w:p>
    <w:bookmarkStart w:id="17" w:name="page18"/>
    <w:bookmarkEnd w:id="17"/>
    <w:p>
      <w:pPr>
        <w:jc w:val="both"/>
        <w:ind w:right="20"/>
        <w:spacing w:after="0" w:line="286" w:lineRule="auto"/>
        <w:rPr>
          <w:sz w:val="20"/>
          <w:szCs w:val="20"/>
          <w:color w:val="auto"/>
        </w:rPr>
      </w:pPr>
      <w:r>
        <w:rPr>
          <w:rFonts w:ascii="Arial" w:cs="Arial" w:eastAsia="Arial" w:hAnsi="Arial"/>
          <w:sz w:val="17"/>
          <w:szCs w:val="17"/>
          <w:color w:val="auto"/>
        </w:rPr>
        <w:t>respective dates that fall every three months after the beginning of such Interest Period shall also be Interest Payment Dates; and (b) as to any Base Rate Loan (including a Swing Line Loan), the last Business Day of each March, June, September and December and the Maturity Date of the Facility under which such Loan was made (with Swing Line Loans being deemed made under the Revolving Facility for purposes of this definition).</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seven days, or one, two, three or six months thereafter, as selected by the Borrowing Agent in its Committed Loan Notice, or such other period that is twelve months or less requested by the Borrowers and consented to by all the Appropriate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7" w:lineRule="exact"/>
        <w:rPr>
          <w:sz w:val="20"/>
          <w:szCs w:val="20"/>
          <w:color w:val="auto"/>
        </w:rPr>
      </w:pPr>
    </w:p>
    <w:p>
      <w:pPr>
        <w:ind w:left="820" w:right="40" w:firstLine="647"/>
        <w:spacing w:after="0" w:line="264" w:lineRule="auto"/>
        <w:tabs>
          <w:tab w:leader="none" w:pos="21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181" w:lineRule="exact"/>
        <w:rPr>
          <w:rFonts w:ascii="Arial" w:cs="Arial" w:eastAsia="Arial" w:hAnsi="Arial"/>
          <w:sz w:val="18"/>
          <w:szCs w:val="18"/>
          <w:color w:val="auto"/>
        </w:rPr>
      </w:pPr>
    </w:p>
    <w:p>
      <w:pPr>
        <w:ind w:left="820" w:right="20" w:firstLine="647"/>
        <w:spacing w:after="0" w:line="264" w:lineRule="auto"/>
        <w:tabs>
          <w:tab w:leader="none" w:pos="21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2180" w:hanging="713"/>
        <w:spacing w:after="0"/>
        <w:tabs>
          <w:tab w:leader="none" w:pos="2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IRC</w:t>
      </w:r>
      <w:r>
        <w:rPr>
          <w:rFonts w:ascii="Arial" w:cs="Arial" w:eastAsia="Arial" w:hAnsi="Arial"/>
          <w:sz w:val="18"/>
          <w:szCs w:val="18"/>
          <w:color w:val="auto"/>
        </w:rPr>
        <w:t>” means IRC Oil Technics,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(i) with respect to any Letter of Credit or Acceptance Credit, the Letter of Credit Application, and any other document, agreement and instrument entered into by the L/C-BA Issuer and the Borrowing Agent, any Borrower or any Restricted Subsidiary in favor of the L/C-BA Issuer and relating to such Letter of Credit or Acceptance Credit, and (ii) with respect to any Clean BA, the Bankers’ Acceptance Request made by the Borrowing Agent to the L/C-BA Issuer relating to such Clean BA.</w:t>
      </w:r>
    </w:p>
    <w:p>
      <w:pPr>
        <w:spacing w:after="0" w:line="18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Fee Letter</w:t>
      </w:r>
      <w:r>
        <w:rPr>
          <w:rFonts w:ascii="Arial" w:cs="Arial" w:eastAsia="Arial" w:hAnsi="Arial"/>
          <w:sz w:val="18"/>
          <w:szCs w:val="18"/>
          <w:color w:val="auto"/>
        </w:rPr>
        <w:t>” means the letter agreement, dated September 24, 2013, among the Borrowing Agent, on behalf of the Borrowers, Bank of America, MLPFS, Wells Fargo Bank, National Association, Wells Fargo Securities, LLC and HSBC.</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Lead Arranger</w:t>
      </w:r>
      <w:r>
        <w:rPr>
          <w:rFonts w:ascii="Arial" w:cs="Arial" w:eastAsia="Arial" w:hAnsi="Arial"/>
          <w:sz w:val="18"/>
          <w:szCs w:val="18"/>
          <w:color w:val="auto"/>
        </w:rPr>
        <w:t>” means each of MLPFS, Wells Fargo Securities, LLC, and HSBC, in each case, in its capacity as a joint lead arranger and a joint book manager, collectively, the “</w:t>
      </w:r>
      <w:r>
        <w:rPr>
          <w:rFonts w:ascii="Arial" w:cs="Arial" w:eastAsia="Arial" w:hAnsi="Arial"/>
          <w:sz w:val="18"/>
          <w:szCs w:val="18"/>
          <w:u w:val="single" w:color="auto"/>
          <w:color w:val="auto"/>
        </w:rPr>
        <w:t>Joint Lead Arrangers</w:t>
      </w:r>
      <w:r>
        <w:rPr>
          <w:rFonts w:ascii="Arial" w:cs="Arial" w:eastAsia="Arial" w:hAnsi="Arial"/>
          <w:sz w:val="18"/>
          <w:szCs w:val="18"/>
          <w:color w:val="auto"/>
        </w:rPr>
        <w:t>.”</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L/C-BA Advance</w:t>
      </w:r>
      <w:r>
        <w:rPr>
          <w:rFonts w:ascii="Arial" w:cs="Arial" w:eastAsia="Arial" w:hAnsi="Arial"/>
          <w:sz w:val="18"/>
          <w:szCs w:val="18"/>
          <w:color w:val="auto"/>
        </w:rPr>
        <w:t>” means, with respect to each Revolving Lender, such Revolving Lender’s funding of its participation in any L/C-BA Borrowing in accordance with its Applicable Revolving Percentage.</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L/C-BA Borrowing</w:t>
      </w:r>
      <w:r>
        <w:rPr>
          <w:rFonts w:ascii="Arial" w:cs="Arial" w:eastAsia="Arial" w:hAnsi="Arial"/>
          <w:sz w:val="18"/>
          <w:szCs w:val="18"/>
          <w:color w:val="auto"/>
        </w:rPr>
        <w:t>” means an extension of credit resulting from (i) a drawing under any Letter of Credit (other than an Acceptance Credit) or (ii) a payment of a Bankers’ Acceptance upon presentation, in each case, which has not been either (x) reimbursed on the date when made or (y) refinanced as a Revolving Borrowing.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L/C-BA Credit Extension</w:t>
      </w:r>
      <w:r>
        <w:rPr>
          <w:rFonts w:ascii="Arial" w:cs="Arial" w:eastAsia="Arial" w:hAnsi="Arial"/>
          <w:sz w:val="18"/>
          <w:szCs w:val="18"/>
          <w:color w:val="auto"/>
        </w:rPr>
        <w:t>” means, with respect to any Letter of Credit or Bankers’ Acceptance, the issuance thereof or, in the case of Letters of Credit, the extension of the expiry date thereof, or the renewal or increase of the amount thereof.</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L/C-BA Issuer</w:t>
      </w:r>
      <w:r>
        <w:rPr>
          <w:rFonts w:ascii="Arial" w:cs="Arial" w:eastAsia="Arial" w:hAnsi="Arial"/>
          <w:sz w:val="18"/>
          <w:szCs w:val="18"/>
          <w:color w:val="auto"/>
        </w:rPr>
        <w:t>” means Bank of America, in its capacity as issuer of Letters of Credit and Bankers’ Acceptances hereunder, HSBC, in its capacity as issuer of Letters of Credit hereunder, or both, as the context may require, or any successor issuer or issuers of Letters of Credit and/or Bankers’ Acceptances hereunder.</w:t>
      </w:r>
    </w:p>
    <w:p>
      <w:pPr>
        <w:sectPr>
          <w:pgSz w:w="11900" w:h="16838" w:orient="portrait"/>
          <w:cols w:equalWidth="0" w:num="1">
            <w:col w:w="11400"/>
          </w:cols>
          <w:pgMar w:left="240" w:top="125" w:right="259" w:bottom="0" w:gutter="0" w:footer="0" w:header="0"/>
        </w:sectPr>
      </w:pPr>
    </w:p>
    <w:bookmarkStart w:id="18" w:name="page19"/>
    <w:bookmarkEnd w:id="18"/>
    <w:p>
      <w:pPr>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L/C-BA Obligations</w:t>
      </w:r>
      <w:r>
        <w:rPr>
          <w:rFonts w:ascii="Arial" w:cs="Arial" w:eastAsia="Arial" w:hAnsi="Arial"/>
          <w:sz w:val="16"/>
          <w:szCs w:val="16"/>
          <w:color w:val="auto"/>
        </w:rPr>
        <w:t xml:space="preserve">” means, as at any date of determination, the aggregate amount available to be drawn under all outstanding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sum of the maximum aggregate amount which is, or at any time thereafter may become, payable by the L/C-BA Issuer under all then-outstanding Bankers’ Acceptances,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all Unreimbursed Amounts, including all L/C-BA Borrowings. For purposes of computing the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For all purposes of this Agreement, if on any date of determination a Letter of Credit has expired by its terms but any amount may still be drawn thereunder by reason of the operation of Rule </w:t>
      </w:r>
      <w:r>
        <w:rPr>
          <w:rFonts w:ascii="Arial" w:cs="Arial" w:eastAsia="Arial" w:hAnsi="Arial"/>
          <w:sz w:val="16"/>
          <w:szCs w:val="16"/>
          <w:u w:val="single" w:color="auto"/>
          <w:color w:val="auto"/>
        </w:rPr>
        <w:t>3.14</w:t>
      </w:r>
      <w:r>
        <w:rPr>
          <w:rFonts w:ascii="Arial" w:cs="Arial" w:eastAsia="Arial" w:hAnsi="Arial"/>
          <w:sz w:val="16"/>
          <w:szCs w:val="16"/>
          <w:color w:val="auto"/>
        </w:rPr>
        <w:t xml:space="preserve"> of the ISP, such Letter of Credit shall be deemed to be “outstanding” in the amount so remaining available to be drawn.</w:t>
      </w:r>
    </w:p>
    <w:p>
      <w:pPr>
        <w:spacing w:after="0" w:line="16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L/C-BA Sublimit</w:t>
      </w:r>
      <w:r>
        <w:rPr>
          <w:rFonts w:ascii="Arial" w:cs="Arial" w:eastAsia="Arial" w:hAnsi="Arial"/>
          <w:sz w:val="18"/>
          <w:szCs w:val="18"/>
          <w:color w:val="auto"/>
        </w:rPr>
        <w:t>” means an amount equal to $400,000,000. The L/C-BA Sublimit is part of, and not in addition to, the Aggregate Revolving Commitments.</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Issued BA</w:t>
      </w:r>
      <w:r>
        <w:rPr>
          <w:rFonts w:ascii="Arial" w:cs="Arial" w:eastAsia="Arial" w:hAnsi="Arial"/>
          <w:sz w:val="18"/>
          <w:szCs w:val="18"/>
          <w:color w:val="auto"/>
        </w:rPr>
        <w:t xml:space="preserve">” means a negotiable time draft, drawn by the beneficiary under an Acceptance Credit and accepted by the L/C-BA Issuer under presentation of documents by the beneficiary of an Acceptance Credit pursuant to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hereof, in the standard form for bankers’ acceptances of the L/C-BA Issuer.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as the context requires, includes the Swing Line Lender.</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Lending Office</w:t>
      </w:r>
      <w:r>
        <w:rPr>
          <w:rFonts w:ascii="Arial" w:cs="Arial" w:eastAsia="Arial" w:hAnsi="Arial"/>
          <w:sz w:val="16"/>
          <w:szCs w:val="16"/>
          <w:color w:val="auto"/>
        </w:rPr>
        <w:t>” means, as to any Lender, the office or offices of such Lender or an Affiliate of such Lender described as such in such Lender’s Administrative Questionnaire, or such other office or offices as a Lender may from time to time notify the Borrowing Agent and the Administrative Agent.</w:t>
      </w:r>
    </w:p>
    <w:p>
      <w:pPr>
        <w:spacing w:after="0" w:line="124"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issued hereunder and shall include the Existing Letters of Credit. A Letter of Credit may be a commercial letter of credit (including an Acceptance Credit) or a standby letter of credit.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L/C-BA Issuer and, in the case of any Acceptance Credit, shall include the related Acceptance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2.03(i)</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means an extension of credit by a Lender to any Borrower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 the form of a Term Loan, a Revolving Loan or a Swing Line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Notes (if any), each Issuer Document, the Fee Letters, the Guaranty (including each Guaranty Joinder Agreement), the Collateral Documents, the Intercreditor Agreement (if any), the Subordination Agreements (if any), and all other instruments, documents or agreements heretofore or hereafter executed or delivered by a Loan Party to or in favor of the Administrative Agent or any Lender in connection with the Loans made and transactions contemplated by any of the foregoing, in each case, as amended, restated, supplemented or otherwise modified from time to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each Borrower and each Guarantor.</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Acquisition</w:t>
      </w:r>
      <w:r>
        <w:rPr>
          <w:rFonts w:ascii="Arial" w:cs="Arial" w:eastAsia="Arial" w:hAnsi="Arial"/>
          <w:sz w:val="17"/>
          <w:szCs w:val="17"/>
          <w:color w:val="auto"/>
        </w:rPr>
        <w:t>” means any Acquisition consummated after the Closing Date involving aggregate consideration in excess of $25,000,000.</w:t>
      </w:r>
    </w:p>
    <w:p>
      <w:pPr>
        <w:spacing w:after="0" w:line="23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assets, business, liabilities (actual or contingent), condition (financial or otherwise) of WFS and its Restricted Subsidiaries taken as a whole; (b) a material impairment of the ability of the Loan Parties to perform their obligations under the Loan Documents; or (c) a material adverse effect upon the legality, validity, binding effect or enforceability of the Loan Documents.</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with respect to any Person, each contract that would be required to be disclosed as a material contract or a material definitive agreement pursuant to SEC regulations.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Disposition</w:t>
      </w:r>
      <w:r>
        <w:rPr>
          <w:rFonts w:ascii="Arial" w:cs="Arial" w:eastAsia="Arial" w:hAnsi="Arial"/>
          <w:sz w:val="16"/>
          <w:szCs w:val="16"/>
          <w:color w:val="auto"/>
        </w:rPr>
        <w:t>” means any Disposition consummated after the Closing Date involving aggregate consideration in excess of $25,000,000.</w:t>
      </w:r>
    </w:p>
    <w:p>
      <w:pPr>
        <w:spacing w:after="0" w:line="24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 Subsidiary whose aggregate book value of assets (including Equity Interests in other Subsidiaries but excluding Investments that are eliminated in consolidation) is equal to or greater than five percent (5%) of the aggregate book value of assets of WFS and its Subsidiaries on a consolidated basis as of the end of WFS’s most recently completed fiscal year; provided that for the purposes of this Agreement and the other Loan Documents, no Unrestricted Subsidiary shall be deemed a Material Subsidiary.</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October 10, 2018;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the Maturity Date shall be the next preceding Business Day.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316"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MLPFS</w:t>
      </w:r>
      <w:r>
        <w:rPr>
          <w:rFonts w:ascii="Arial" w:cs="Arial" w:eastAsia="Arial" w:hAnsi="Arial"/>
          <w:sz w:val="18"/>
          <w:szCs w:val="18"/>
          <w:color w:val="auto"/>
        </w:rPr>
        <w:t>” means Merrill Lynch, Pierce, Fenner &amp; Smith Incorporated.</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Borrowers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the Borrowers or any ERISA Affiliate) at least two of whom are not under common control, as such a plan is described in Section 4064 of ERISA.</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xml:space="preserve">” means, with respect to any Disposition by any Loan Party or any of its Subsidiaries (other than an Unrestricted Subsidiary), or any Extraordinary Receipt received or paid to the account of any Loan Party or any of its Subsidiaries (other than an Unrestricted Subsidiary),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Indebtedness (including the principal thereof, premium (if any), and interest thereon) that is secured by the applicable asset and that is required to be repaid in connection with such transaction (other than Indebtedness under the Loan Documents), (B) the reasonable and customary out-of-pocket expenses incurred by such Loan Party or such Subsidiary in connection with such transaction and (C) taxes reasonably estimated to be actually payable within two years of the date of the relevant transaction in connection therewith; provided that, if the amount of any estimated taxes pursuant to </w:t>
      </w:r>
      <w:r>
        <w:rPr>
          <w:rFonts w:ascii="Arial" w:cs="Arial" w:eastAsia="Arial" w:hAnsi="Arial"/>
          <w:sz w:val="16"/>
          <w:szCs w:val="16"/>
          <w:u w:val="single" w:color="auto"/>
          <w:color w:val="auto"/>
        </w:rPr>
        <w:t>subclause (C)</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w:t>
      </w:r>
    </w:p>
    <w:p>
      <w:pPr>
        <w:spacing w:after="0" w:line="16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Netting Arrangement</w:t>
      </w:r>
      <w:r>
        <w:rPr>
          <w:rFonts w:ascii="Arial" w:cs="Arial" w:eastAsia="Arial" w:hAnsi="Arial"/>
          <w:sz w:val="17"/>
          <w:szCs w:val="17"/>
          <w:color w:val="auto"/>
        </w:rPr>
        <w:t>” means a multi-party netting arrangement between (i) any group including only WFS and/or any Domestic Subsidiaries, on the one hand, and a Counterparty, on the other hand, relating to the netting of the settlement of amounts owed under contracts for the purchase and sale of fuel and related products and/or Swap Contracts between any of the parties thereto or (ii) any group including only Foreign Subsidiaries, on the one hand, and a Counterparty, on the other hand, relating to the netting of the settlement of amounts owed under contracts for the purchase and sale of fuel and related products and/or Swap Contracts between any of the parties thereto.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Loan Note or a Revolving Note, as the context may require.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Negative Pledge Agreement</w:t>
      </w:r>
      <w:r>
        <w:rPr>
          <w:rFonts w:ascii="Arial" w:cs="Arial" w:eastAsia="Arial" w:hAnsi="Arial"/>
          <w:sz w:val="18"/>
          <w:szCs w:val="18"/>
          <w:color w:val="auto"/>
        </w:rPr>
        <w:t>” means the Notice of Negative Pledge Agreement dated as of September 8, 2010 made by WFS and certain of its Subsidiaries party thereto in favor of the Administrative Agent on behalf of the Secured Parties.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Letter of Credit or Bankers’ Acceptance,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the Obligations of a Loan Party shall exclude any Excluded Swap Obligations with respect to such Loan Party. Notwithstanding anything to the contrary contained in any Loan Document, the Obligations of WFS Europe and WFS Singapore shall not include Loans made to, or Letters of Credit or Bankers’ Acceptances issued for the account of, WFS or any of its Domestic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the sake of clarity, (i) the Obligations of WFS Europe and WFS Singapore shall include all of the foregoing with respect to Revolving Loans the proceeds of which are used for the benefit of WFS Europe or WFS Singapore, as applicable, in which case, such proceeds shall be deemed Revolving Borrowings incurred by WFS Europe or WFS Singapore, as applicable, through WFS, acting in its capacity as Borrowing Agent, (ii) the Obligations of WFS Europe and WFS Singapore for Loans advanced and Letters of Credit and Bankers’ Acceptances issued for the account of either WFS Europe or WFS Singapore or any of their Foreign Subsidiaries shall be joint and several, (iii) the Obligations of WFS shall include Loans made to, and Letters of Credit and Bankers’ Acceptances issued for the account of, WFS Europe and WFS Singapore or any of their Subsidiaries.</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(i) with respect to Revolving Loans on any date, the aggregate outstanding principal amount thereof after giving effect to any borrowings and prepayments or repayments of such Revolving Loans occurring on such date; (ii) with respect to Swing Line Loans on any date, the aggregate outstanding principal amount thereof after giving effect to any borrowings and prepayments or repayments of such Swing Line Loans occurring on such date; (iii) with respect to any L/C-BA Obligations on any date, the amount of the aggregate outstanding amount of such L/C-BA Obligations on such date after giving effect to any L/C Credit Extension occurring on such date and any other changes in the aggregate amount of the L/C Obligations as of such date, including as a result of any reimbursements by the Borrowers of Unreimbursed Amounts; and (iv) with respect to the Term Loan on any date, the aggregate outstanding principal amount thereof after giving effect to any prepayments or repayments thereof occurring on such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ectPr>
          <w:pgSz w:w="11900" w:h="16838" w:orient="portrait"/>
          <w:cols w:equalWidth="0" w:num="1">
            <w:col w:w="11400"/>
          </w:cols>
          <w:pgMar w:left="240" w:top="125" w:right="259" w:bottom="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Borrowers and any ERISA Affiliate and is either covered by Title IV of ERISA or is subject to the minimum funding standards under Section 412 of the Code.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Acquisitions</w:t>
      </w:r>
      <w:r>
        <w:rPr>
          <w:rFonts w:ascii="Arial" w:cs="Arial" w:eastAsia="Arial" w:hAnsi="Arial"/>
          <w:sz w:val="18"/>
          <w:szCs w:val="18"/>
          <w:color w:val="auto"/>
        </w:rPr>
        <w:t xml:space="preserve">” means Acquisitions permitted by </w:t>
      </w:r>
      <w:r>
        <w:rPr>
          <w:rFonts w:ascii="Arial" w:cs="Arial" w:eastAsia="Arial" w:hAnsi="Arial"/>
          <w:sz w:val="18"/>
          <w:szCs w:val="18"/>
          <w:u w:val="single" w:color="auto"/>
          <w:color w:val="auto"/>
        </w:rPr>
        <w:t>Section 7.02(f)</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Call Spread Swap Agreements</w:t>
      </w:r>
      <w:r>
        <w:rPr>
          <w:rFonts w:ascii="Arial" w:cs="Arial" w:eastAsia="Arial" w:hAnsi="Arial"/>
          <w:sz w:val="16"/>
          <w:szCs w:val="16"/>
          <w:color w:val="auto"/>
        </w:rPr>
        <w:t xml:space="preserve">” means (a) any Swap Contract (including, but not limited to, any bond hedge transaction or capped call transaction) pursuant to which WFS acquires an option requiring the counterparty thereto to deliver to WFS shares of common stock of WFS, the cash value of such shares or a combination thereof from time to time upon the exercise of such option and (b) any Swap Contract pursuant to which any Borrower issues to the counterparty thereto warrants to acquire common stock WFS (whether such warrant is settled in shares, cash or a combination thereof), in each case entered into by WFS in connection with the issuance of Convertible Debt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conditions and covenants of each such Swap Contract are customary for Swap Contracts of such type (as reasonably determined by the Board of Directors of WFS in good faith). For purposes of this definition, the term “Swap Contract” shall include any stock option or warrant agreement for the purchase of Equity Interests of WFS.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Notes</w:t>
      </w:r>
      <w:r>
        <w:rPr>
          <w:rFonts w:ascii="Arial" w:cs="Arial" w:eastAsia="Arial" w:hAnsi="Arial"/>
          <w:sz w:val="18"/>
          <w:szCs w:val="18"/>
          <w:color w:val="auto"/>
        </w:rPr>
        <w:t>” means any unsecured Indebtedness issued pursuant to Approved Convertible Debt Documents.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Borrowers or any ERISA Affiliate or any such Plan to which the Borrowers or any ERISA Affiliate is required to contribute on behalf of any of its employees.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 Agreement</w:t>
      </w:r>
      <w:r>
        <w:rPr>
          <w:rFonts w:ascii="Arial" w:cs="Arial" w:eastAsia="Arial" w:hAnsi="Arial"/>
          <w:sz w:val="16"/>
          <w:szCs w:val="16"/>
          <w:color w:val="auto"/>
        </w:rPr>
        <w:t>” means the Third Amended and Restated Pledge Agreement dated as of the date hereof made by WFS and certain of its Subsidiaries party thereto in favor of the Administrative Agent on behalf of the Secured Parties pursuant to which the Pledged Interests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are pledged,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as supplemented from time to by the execution and delivery of Pledge Joinder Agreements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as the same may be otherwise supplemented (including by Pledge Agreement Supplement).</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 Supplement</w:t>
      </w:r>
      <w:r>
        <w:rPr>
          <w:rFonts w:ascii="Arial" w:cs="Arial" w:eastAsia="Arial" w:hAnsi="Arial"/>
          <w:sz w:val="18"/>
          <w:szCs w:val="18"/>
          <w:color w:val="auto"/>
        </w:rPr>
        <w:t>” means, with respect to the Pledge Agreement, the Pledge Agreement Supplement in the form affixed as an Exhibit to the Pledge Agreement.</w:t>
      </w:r>
    </w:p>
    <w:p>
      <w:pPr>
        <w:spacing w:after="0" w:line="17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 Joinder Agreement</w:t>
      </w:r>
      <w:r>
        <w:rPr>
          <w:rFonts w:ascii="Arial" w:cs="Arial" w:eastAsia="Arial" w:hAnsi="Arial"/>
          <w:sz w:val="17"/>
          <w:szCs w:val="17"/>
          <w:color w:val="auto"/>
        </w:rPr>
        <w:t xml:space="preserve">” means each Pledge Joinder Agreement, substantially in the form thereof attached to the Pledge Agreement, executed and delivered by each Borrower or a Restricted Subsidiary, as applicable, to the Administrative Agent pursuant to </w:t>
      </w:r>
      <w:r>
        <w:rPr>
          <w:rFonts w:ascii="Arial" w:cs="Arial" w:eastAsia="Arial" w:hAnsi="Arial"/>
          <w:sz w:val="17"/>
          <w:szCs w:val="17"/>
          <w:u w:val="single" w:color="auto"/>
          <w:color w:val="auto"/>
        </w:rPr>
        <w:t>Section 6.12</w:t>
      </w:r>
      <w:r>
        <w:rPr>
          <w:rFonts w:ascii="Arial" w:cs="Arial" w:eastAsia="Arial" w:hAnsi="Arial"/>
          <w:sz w:val="17"/>
          <w:szCs w:val="17"/>
          <w:color w:val="auto"/>
        </w:rPr>
        <w:t>.</w:t>
      </w:r>
    </w:p>
    <w:p>
      <w:pPr>
        <w:spacing w:after="0" w:line="14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Interests</w:t>
      </w:r>
      <w:r>
        <w:rPr>
          <w:rFonts w:ascii="Arial" w:cs="Arial" w:eastAsia="Arial" w:hAnsi="Arial"/>
          <w:sz w:val="17"/>
          <w:szCs w:val="17"/>
          <w:color w:val="auto"/>
        </w:rPr>
        <w:t>” means (i) the Subsidiary Securities of each of the existing or hereafter organized or acquired Restricted Subsidiaries that are Domestic Subsidiaries of (A) WFS (other than IRC and Resource Recovery), or (B) Guarantors that are themselves Domestic Subsidiaries and which, in each case, are directly held by either WFS or a Domestic Subsidiary thereof that is a Guarantor; and (ii) 65% of the Voting Securities of (or if the relevant Person shall own less than 65% of such Voting Securities, then 100% of the Voting Securities owned by such Person so long as the aggregate amount of such Voting Securities pledged by WFS and its Affiliates does not exceed 65% of the aggregate amount of such Voting Securities of) and 100% of the nonvoting Subsidiary Securities of each of the existing or hereafter organized or acquired Restricted Subsidiaries that are Direct Foreign Subsidiaries of (A) WFS (other than Atlantic Fuel Services) or (B) Guarantors that are themselves Domestic Subsidiaries.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xml:space="preserve">” means, (a) with respect to each Domestic Term Loan Lender, the percentage (carried out to the ninth decimal place) of the principal amount of the Domestic Term Loan funded by such Domestic Term Loan Lender, after giving effect to any subsequent assignments made pursuant to the terms hereof and (b) means, with respect to each Singapore Term Loan Lender, the percentage (carried out to the ninth decimal place) of the principal amount of the Singapore Term Loan funded by such Singapore Term Loan Lender, after giving effect to any subsequent assignments made pursuant to the terms hereof. The Pro Rata Share of each Singapore Term Loan Lender as of the Closing Date is set forth opposite the name of such Singapore Term Loan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and thereafter, as applicable in the Assignment and Assumption pursuant to which such Singapore Term Loan Lender becomes a party hereto. The Pro Rata Share of each Domestic Term Loan Lender as of the Closing Date is set forth opposite the name of such Domestic Term Loan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and thereafter, as applicable in the Assignment and Assumption pursuant to which such Domestic Term Loan Lender becomes a party hereto.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Rights and Property</w:t>
      </w:r>
      <w:r>
        <w:rPr>
          <w:rFonts w:ascii="Arial" w:cs="Arial" w:eastAsia="Arial" w:hAnsi="Arial"/>
          <w:sz w:val="18"/>
          <w:szCs w:val="18"/>
          <w:color w:val="auto"/>
        </w:rPr>
        <w:t xml:space="preserve">” means, in connection with any receivable that is Disposed of pursuant to </w:t>
      </w:r>
      <w:r>
        <w:rPr>
          <w:rFonts w:ascii="Arial" w:cs="Arial" w:eastAsia="Arial" w:hAnsi="Arial"/>
          <w:sz w:val="18"/>
          <w:szCs w:val="18"/>
          <w:u w:val="single" w:color="auto"/>
          <w:color w:val="auto"/>
        </w:rPr>
        <w:t>Section 7.05(e)</w:t>
      </w:r>
      <w:r>
        <w:rPr>
          <w:rFonts w:ascii="Arial" w:cs="Arial" w:eastAsia="Arial" w:hAnsi="Arial"/>
          <w:sz w:val="18"/>
          <w:szCs w:val="18"/>
          <w:color w:val="auto"/>
        </w:rPr>
        <w:t>, (a) all of WFS’ or the applicable Subsidiary’s interest in all goods</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0" w:gutter="0" w:footer="0" w:header="0"/>
          <w:type w:val="continuous"/>
        </w:sectPr>
      </w:pPr>
    </w:p>
    <w:bookmarkStart w:id="21" w:name="page22"/>
    <w:bookmarkEnd w:id="21"/>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represented by such receivable and in all goods returned by, or reclaimed, repossessed, or recovered from, the account debtor in respect of such receivable;</w:t>
      </w:r>
    </w:p>
    <w:p>
      <w:pPr>
        <w:spacing w:after="0" w:line="46" w:lineRule="exact"/>
        <w:rPr>
          <w:sz w:val="20"/>
          <w:szCs w:val="20"/>
          <w:color w:val="auto"/>
        </w:rPr>
      </w:pPr>
    </w:p>
    <w:p>
      <w:pPr>
        <w:ind w:right="40" w:firstLine="8"/>
        <w:spacing w:after="0" w:line="281" w:lineRule="auto"/>
        <w:tabs>
          <w:tab w:leader="none" w:pos="2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of WFS’ or the applicable Subsidiary’s books, records, computer tapes, programs, and ledger books arising from or relating to such receivable; (c) all of WFS’ or the applicable Subsidiary’s rights in and to (but not its obligations under) the contract or agreement, in whatever form, which gave rise to such receivable; (d) all “accounts”, “instruments”, “general intangibles”, “documents”, “chattel paper”, and “letter of credit rights” (as each such term is defined in the applicable Uniform Commercial Code) related to such receivable; (e) all of the collections or payments received and all of WFS’ or the applicable Subsidiary’s rights to receive payment and collections on such receivable; (f) all of WFS’ or the applicable Subsidiary’s rights as an unpaid lienor or vendor of such goods; (g) all of WFS’ or the applicable Subsidiary’s rights of stoppage in transit, replevin, and reclamation relating to such goods or such receivable;</w:t>
      </w:r>
    </w:p>
    <w:p>
      <w:pPr>
        <w:spacing w:after="0" w:line="4" w:lineRule="exact"/>
        <w:rPr>
          <w:rFonts w:ascii="Arial" w:cs="Arial" w:eastAsia="Arial" w:hAnsi="Arial"/>
          <w:sz w:val="16"/>
          <w:szCs w:val="16"/>
          <w:color w:val="auto"/>
        </w:rPr>
      </w:pPr>
    </w:p>
    <w:p>
      <w:pPr>
        <w:ind w:right="60" w:firstLine="8"/>
        <w:spacing w:after="0" w:line="25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WFS’ or the applicable Subsidiary’s rights in and to all security for such goods or the payment of such receivable and guaranties thereof; (i) any collections or casualty insurance proceeds or proceeds from any trade receivables or other insurance collected or paid on account of such receivable or any of the foregoing; (j) all of WFS’ or the applicable Subsidiary’s rights against third parties with respect thereto; and (k) all other rights with respect to such receivable customarily pledged pursuant to receivables financings, factorings or securitizations.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Term Loans or Revolving Loans, a Committed Loan Notice, (b) with respect to an L/C-BA Credit Extension, a Letter of Credit Application, and (c) with respect to a Swing Line Loan, a Swing Line Loan Notice.</w:t>
      </w:r>
    </w:p>
    <w:p>
      <w:pPr>
        <w:spacing w:after="0" w:line="181"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Domestic Term Loan Lenders</w:t>
      </w:r>
      <w:r>
        <w:rPr>
          <w:rFonts w:ascii="Arial" w:cs="Arial" w:eastAsia="Arial" w:hAnsi="Arial"/>
          <w:sz w:val="17"/>
          <w:szCs w:val="17"/>
          <w:color w:val="auto"/>
        </w:rPr>
        <w:t>” means, as of any date of determination, Domestic Term Loan Lenders holding more than 50% of the Domestic Term Loan Facility on such date; provided that the portion of the Domestic Term Loan Facility held by any Defaulting Lender (other than any Voting Defaulting Lender) shall be excluded for purposes of making a determination of Required Domestic Term Loan Lenders.</w:t>
      </w:r>
    </w:p>
    <w:p>
      <w:pPr>
        <w:spacing w:after="0" w:line="166"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Facility Lenders</w:t>
      </w:r>
      <w:r>
        <w:rPr>
          <w:rFonts w:ascii="Arial" w:cs="Arial" w:eastAsia="Arial" w:hAnsi="Arial"/>
          <w:sz w:val="17"/>
          <w:szCs w:val="17"/>
          <w:color w:val="auto"/>
        </w:rPr>
        <w:t>” means (a) for the Revolving Credit Facility, the Required Revolving Lenders, (b) for the Domestic Term Loan Facility, the Required Domestic Term Loan Lenders and (c) for the Singapore Term Loan Facility, the Required Singapore Term Loan Lenders.</w:t>
      </w:r>
    </w:p>
    <w:p>
      <w:pPr>
        <w:spacing w:after="0" w:line="14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as of any date of determination, Lenders having more than 50% of the sum of the (a) Total Outstandings on such date (with the aggregate amount of each Revolving Lender’s risk participation and funded participation in L/C-BA Obligations and Swing Line Loans being deemed “held” by such Revolving Lender for purposes of this definition) and (b) the aggregate unused Revolving Commitments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unused Revolving Commitment of, and the portion of the Total Outstandings held or deemed held by, any Defaulting Lender (other than a Voting Defaulting Lender) shall be excluded for purposes of making a determination of Required Lenders.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as of any date of determination, Revolving Lenders holding more than 50% of the sum of the (a) Total Revolving Outstandings (with the aggregate amount of each Revolving Lender’s risk participation and funded participation in L/C Obligations and Swing Line Loans being deemed “held” by such Revolving Lender for purposes of this definition) and (b) aggregate unused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Revolving Commitment of, and the portion of the Total Revolving Outstandings held or deemed held by, any Defaulting Lender shall be excluded for purposes of making a determination of Required Revolving Lenders.</w:t>
      </w:r>
    </w:p>
    <w:p>
      <w:pPr>
        <w:spacing w:after="0" w:line="188"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Singapore Term Loan Lenders</w:t>
      </w:r>
      <w:r>
        <w:rPr>
          <w:rFonts w:ascii="Arial" w:cs="Arial" w:eastAsia="Arial" w:hAnsi="Arial"/>
          <w:sz w:val="17"/>
          <w:szCs w:val="17"/>
          <w:color w:val="auto"/>
        </w:rPr>
        <w:t>” means, as of any date of determination, Singapore Term Loan Lenders holding more than 50% of the Singapore Term Loan Facility on such date; provided that the portion of the Singapore Term Loan Facility held by any Defaulting Lender (other than any Voting Defaulting Lender) shall be excluded for purposes of making a determination of Required Singapore Term Loan Lenders.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senior vice president, chief financial officer, treasurer, assistant treasurer, controller, manager, director, managing director or general manager of a Loan Party, and solely for purposes of the delivery of incumbency certificates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secretary or any assistant secretary of a Loan Party and,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any other officer or employee of the applicable Loan Party so designated by any of the foregoing officers in a notice to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Resource Recovery</w:t>
      </w:r>
      <w:r>
        <w:rPr>
          <w:rFonts w:ascii="Arial" w:cs="Arial" w:eastAsia="Arial" w:hAnsi="Arial"/>
          <w:sz w:val="18"/>
          <w:szCs w:val="18"/>
          <w:color w:val="auto"/>
        </w:rPr>
        <w:t>” means Resource Recovery of America, Inc., a Florida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 any dividend or other distribution (whether in cash, securities or other property) with respect to any capital stock or other Equity Interest of the Borrowers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 (b) any prepayment, redemption, purchase, repurchase, defeasance or other satisfaction prior to the scheduled maturity thereof in any manner of, or any payment in violation of any subordination terms of, any Subordinated Debt, and (c) any payment made by WFS under and with respect to the WFS Working Capital Guarantee.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WFS other than any Unrestricted Subsidiary.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xml:space="preserve">” means a borrowing made by the Revolving Lenders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consisting of simultaneous Revolving Loans of the same Type and, in the case of Eurodollar Rate Loans, having the same Interest Period.</w:t>
      </w:r>
    </w:p>
    <w:p>
      <w:pPr>
        <w:sectPr>
          <w:pgSz w:w="11900" w:h="16888" w:orient="portrait"/>
          <w:cols w:equalWidth="0" w:num="1">
            <w:col w:w="11400"/>
          </w:cols>
          <w:pgMar w:left="240" w:top="733" w:right="259" w:bottom="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means, as to each Revolving Lender, its obligation to (a) make Revolving Loans to the Borrowers pursuant to</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(b) purchase participations in L/C-BA Obligations, and (c) purchase participations in Swing Line Loans, in an aggregate principal amount at any one time outstanding not to exceed the amount set forth opposite such Revolving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Revolving Lender becomes a party hereto, as applicable, as such amount may be adjusted from time to time in accordance with this Agreement. As of the Closing Date, the aggregate amount of the Revolving Commitments is $1,100,000,000.</w:t>
      </w:r>
    </w:p>
    <w:p>
      <w:pPr>
        <w:spacing w:after="0" w:line="17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xml:space="preserve">” means the facility described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providing for Revolving Loans, Swing Line Loans and Letters of Credit to or for the benefit of Borrower by the Revolving Lenders, Swing Line Lender or L/C-BA Issuer, as the case may be, in the maximum aggregate principal amount at any time outstanding of $1,100,000,000, as adjusted from time to time pursuant to the terms of this Agreement.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at any time during the Availability Period, any Lender that has a Revolving Commitment at such time, and (b) at any time thereafter, any Lender that holds Revolving Loans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Note</w:t>
      </w:r>
      <w:r>
        <w:rPr>
          <w:rFonts w:ascii="Arial" w:cs="Arial" w:eastAsia="Arial" w:hAnsi="Arial"/>
          <w:sz w:val="18"/>
          <w:szCs w:val="18"/>
          <w:color w:val="auto"/>
        </w:rPr>
        <w:t xml:space="preserve">” means a promissory note made by the Borrowers in favor of a Revolving Lender evidencing Revolving Loans or Swing Line Loans, as the case may be, made by such Revolving Lender, substantially in the form of </w:t>
      </w:r>
      <w:r>
        <w:rPr>
          <w:rFonts w:ascii="Arial" w:cs="Arial" w:eastAsia="Arial" w:hAnsi="Arial"/>
          <w:sz w:val="18"/>
          <w:szCs w:val="18"/>
          <w:u w:val="single" w:color="auto"/>
          <w:color w:val="auto"/>
        </w:rPr>
        <w:t>Exhibit D-1</w:t>
      </w:r>
      <w:r>
        <w:rPr>
          <w:rFonts w:ascii="Arial" w:cs="Arial" w:eastAsia="Arial" w:hAnsi="Arial"/>
          <w:sz w:val="18"/>
          <w:szCs w:val="18"/>
          <w:color w:val="auto"/>
        </w:rPr>
        <w:t>.</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international economic sanction administered or enforced by the United States Government (including without limitation, OFAC), the European Union, Her Majesty’s Treasury or other relevant sanctions authority that is based in a jurisdiction (i) in which WFS or its Restricted Subsidiaries are organized or (ii) which otherwise has the authority to administer or enforce international economic sanctions applicable to WFS or any of its Restricted Subsidiaries.</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any Loan Party and any Cash Management Bank.</w:t>
      </w:r>
    </w:p>
    <w:p>
      <w:pPr>
        <w:spacing w:after="0" w:line="1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means any interest rate Swap Contract not prohibited by the terms of this Agreement that is entered into by and between any Loan Party and any Hedge Bank.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xml:space="preserve">” means, collectively, the Administrative Agent, the Lenders, the L/C-BA Issuer, the Hedge Banks, the Cash Management Banks, each co-agent or sub-agent appointed by the Administrative Agent from time to time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 Agreement</w:t>
      </w:r>
      <w:r>
        <w:rPr>
          <w:rFonts w:ascii="Arial" w:cs="Arial" w:eastAsia="Arial" w:hAnsi="Arial"/>
          <w:sz w:val="18"/>
          <w:szCs w:val="18"/>
          <w:color w:val="auto"/>
        </w:rPr>
        <w:t xml:space="preserve">” means any indenture, note purchase agreement or similar agreement evidencing secured Indebtedness of the Borrowers or any Restricted Subsidiary which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in right of payment to, the Indebtedness evidenced by the Loan Documents and is subject to an Intercreditor Agreement.</w:t>
      </w:r>
    </w:p>
    <w:p>
      <w:pPr>
        <w:spacing w:after="0" w:line="18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 Documents</w:t>
      </w:r>
      <w:r>
        <w:rPr>
          <w:rFonts w:ascii="Arial" w:cs="Arial" w:eastAsia="Arial" w:hAnsi="Arial"/>
          <w:sz w:val="18"/>
          <w:szCs w:val="18"/>
          <w:color w:val="auto"/>
        </w:rPr>
        <w:t>” means the Senior Note Agreement and each other material agreement, instrument or other document executed in connection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 Holders</w:t>
      </w:r>
      <w:r>
        <w:rPr>
          <w:rFonts w:ascii="Arial" w:cs="Arial" w:eastAsia="Arial" w:hAnsi="Arial"/>
          <w:sz w:val="18"/>
          <w:szCs w:val="18"/>
          <w:color w:val="auto"/>
        </w:rPr>
        <w:t>” means lenders under, or holders of, Senior Note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Note Indebtedness</w:t>
      </w:r>
      <w:r>
        <w:rPr>
          <w:rFonts w:ascii="Arial" w:cs="Arial" w:eastAsia="Arial" w:hAnsi="Arial"/>
          <w:sz w:val="16"/>
          <w:szCs w:val="16"/>
          <w:color w:val="auto"/>
        </w:rPr>
        <w:t>” means any secured Indebtedness outstanding under the Senior Note Agreement and the other Senior Note Documents.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Singapore Agent</w:t>
      </w:r>
      <w:r>
        <w:rPr>
          <w:rFonts w:ascii="Arial" w:cs="Arial" w:eastAsia="Arial" w:hAnsi="Arial"/>
          <w:sz w:val="18"/>
          <w:szCs w:val="18"/>
          <w:color w:val="auto"/>
        </w:rPr>
        <w:t>” means Bank of America, N.A., Singapore Branch.</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Singapore Agent Fee Letter</w:t>
      </w:r>
      <w:r>
        <w:rPr>
          <w:rFonts w:ascii="Arial" w:cs="Arial" w:eastAsia="Arial" w:hAnsi="Arial"/>
          <w:sz w:val="18"/>
          <w:szCs w:val="18"/>
          <w:color w:val="auto"/>
        </w:rPr>
        <w:t>” means the letter agreement dated April 10, 2012 between WFS Singapore, Bank of America, and Bank of America Singapore.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Singapore Term Loan</w:t>
      </w:r>
      <w:r>
        <w:rPr>
          <w:rFonts w:ascii="Arial" w:cs="Arial" w:eastAsia="Arial" w:hAnsi="Arial"/>
          <w:sz w:val="18"/>
          <w:szCs w:val="18"/>
          <w:color w:val="auto"/>
        </w:rPr>
        <w:t>” means an advance made by any Singapore Term Loan Lender under the Singapore Term Loan Facility.</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Singapore Term Loan Borrowing</w:t>
      </w:r>
      <w:r>
        <w:rPr>
          <w:rFonts w:ascii="Arial" w:cs="Arial" w:eastAsia="Arial" w:hAnsi="Arial"/>
          <w:sz w:val="18"/>
          <w:szCs w:val="18"/>
          <w:color w:val="auto"/>
        </w:rPr>
        <w:t xml:space="preserve">” means, collectively, the borrowing funded under the Existing Credit Agreement by the Singapore Term Loan Lenders pursuant to </w:t>
      </w:r>
      <w:r>
        <w:rPr>
          <w:rFonts w:ascii="Arial" w:cs="Arial" w:eastAsia="Arial" w:hAnsi="Arial"/>
          <w:sz w:val="18"/>
          <w:szCs w:val="18"/>
          <w:u w:val="single" w:color="auto"/>
          <w:color w:val="auto"/>
        </w:rPr>
        <w:t>Section 2.01(a)(ii)</w:t>
      </w:r>
      <w:r>
        <w:rPr>
          <w:rFonts w:ascii="Arial" w:cs="Arial" w:eastAsia="Arial" w:hAnsi="Arial"/>
          <w:sz w:val="18"/>
          <w:szCs w:val="18"/>
          <w:color w:val="auto"/>
        </w:rPr>
        <w:t xml:space="preserve"> thereof, consisting of simultaneous Singapore Term Loans of the same Type and, in the case of Eurodollar Rate Loans, having the same Interest Period.</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Singapore Term Loan Commitment</w:t>
      </w:r>
      <w:r>
        <w:rPr>
          <w:rFonts w:ascii="Arial" w:cs="Arial" w:eastAsia="Arial" w:hAnsi="Arial"/>
          <w:sz w:val="18"/>
          <w:szCs w:val="18"/>
          <w:color w:val="auto"/>
        </w:rPr>
        <w:t xml:space="preserve">” means, as to each Singapore Term Loan Lender (as of the Closing Date), its obligation to have made Singapore Term Loans to WFS Singapore pursuant to </w:t>
      </w:r>
      <w:r>
        <w:rPr>
          <w:rFonts w:ascii="Arial" w:cs="Arial" w:eastAsia="Arial" w:hAnsi="Arial"/>
          <w:sz w:val="18"/>
          <w:szCs w:val="18"/>
          <w:u w:val="single" w:color="auto"/>
          <w:color w:val="auto"/>
        </w:rPr>
        <w:t>Section 2.01(a)(ii)</w:t>
      </w:r>
      <w:r>
        <w:rPr>
          <w:rFonts w:ascii="Arial" w:cs="Arial" w:eastAsia="Arial" w:hAnsi="Arial"/>
          <w:sz w:val="18"/>
          <w:szCs w:val="18"/>
          <w:color w:val="auto"/>
        </w:rPr>
        <w:t xml:space="preserve"> under the Existing Credit Agreement in the principal amount set forth opposite such Singapore Term Loan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“Singapore Term Loan Commitment.”</w:t>
      </w:r>
    </w:p>
    <w:p>
      <w:pPr>
        <w:spacing w:after="0" w:line="18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Singapore Term Loan Facility</w:t>
      </w:r>
      <w:r>
        <w:rPr>
          <w:rFonts w:ascii="Arial" w:cs="Arial" w:eastAsia="Arial" w:hAnsi="Arial"/>
          <w:sz w:val="18"/>
          <w:szCs w:val="18"/>
          <w:color w:val="auto"/>
        </w:rPr>
        <w:t xml:space="preserve">” means the facility described in </w:t>
      </w:r>
      <w:r>
        <w:rPr>
          <w:rFonts w:ascii="Arial" w:cs="Arial" w:eastAsia="Arial" w:hAnsi="Arial"/>
          <w:sz w:val="18"/>
          <w:szCs w:val="18"/>
          <w:u w:val="single" w:color="auto"/>
          <w:color w:val="auto"/>
        </w:rPr>
        <w:t>Section 2.01(a)(ii)</w:t>
      </w:r>
      <w:r>
        <w:rPr>
          <w:rFonts w:ascii="Arial" w:cs="Arial" w:eastAsia="Arial" w:hAnsi="Arial"/>
          <w:sz w:val="18"/>
          <w:szCs w:val="18"/>
          <w:color w:val="auto"/>
        </w:rPr>
        <w:t xml:space="preserve"> providing for the making of Singapore Term Loans to WFS Singapore by the Singapore Term Loan Lenders in the original aggregate principal amount of $50,000,000 and outstanding in the principal amount of $48,500,000 as of the Closing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Singapore Term Loan Lender</w:t>
      </w:r>
      <w:r>
        <w:rPr>
          <w:rFonts w:ascii="Arial" w:cs="Arial" w:eastAsia="Arial" w:hAnsi="Arial"/>
          <w:sz w:val="18"/>
          <w:szCs w:val="18"/>
          <w:color w:val="auto"/>
        </w:rPr>
        <w:t>” means, at any time, any Lender that holds Singapore Term Loans at such time.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Solvency</w:t>
      </w:r>
      <w:r>
        <w:rPr>
          <w:rFonts w:ascii="Arial" w:cs="Arial" w:eastAsia="Arial" w:hAnsi="Arial"/>
          <w:sz w:val="18"/>
          <w:szCs w:val="18"/>
          <w:color w:val="auto"/>
        </w:rPr>
        <w:t>” and “</w:t>
      </w:r>
      <w:r>
        <w:rPr>
          <w:rFonts w:ascii="Arial" w:cs="Arial" w:eastAsia="Arial" w:hAnsi="Arial"/>
          <w:sz w:val="18"/>
          <w:szCs w:val="18"/>
          <w:u w:val="single" w:color="auto"/>
          <w:color w:val="auto"/>
        </w:rPr>
        <w:t>Solvent</w:t>
      </w:r>
      <w:r>
        <w:rPr>
          <w:rFonts w:ascii="Arial" w:cs="Arial" w:eastAsia="Arial" w:hAnsi="Arial"/>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341" w:right="259" w:bottom="0" w:gutter="0" w:footer="0" w:header="0"/>
        </w:sectPr>
      </w:pPr>
    </w:p>
    <w:bookmarkStart w:id="23" w:name="page24"/>
    <w:bookmarkEnd w:id="23"/>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8"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Debt</w:t>
      </w:r>
      <w:r>
        <w:rPr>
          <w:rFonts w:ascii="Arial" w:cs="Arial" w:eastAsia="Arial" w:hAnsi="Arial"/>
          <w:sz w:val="16"/>
          <w:szCs w:val="16"/>
          <w:color w:val="auto"/>
        </w:rPr>
        <w:t>” means any (i) unsecured Indebtedness of any Borrower which is subordinated to the Obligations on terms and conditions satisfactory to the Administrative Agent pursuant to a Subordination Agreement and is otherwise is subject to covenants, pricing and other terms (including amortization) which have been approved in writing by the Administrative Agent and (ii) Indebtedness represented by any Permitted Convertible Notes.</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Agreement</w:t>
      </w:r>
      <w:r>
        <w:rPr>
          <w:rFonts w:ascii="Arial" w:cs="Arial" w:eastAsia="Arial" w:hAnsi="Arial"/>
          <w:sz w:val="18"/>
          <w:szCs w:val="18"/>
          <w:color w:val="auto"/>
        </w:rPr>
        <w:t>” means a subordination agreement executed by a holder of Subordinated Debt in favor of the Administrative Agent and the Lenders, in form and substance satisfactory to the Administrative Agent.</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direct or indirect Subsidiary or Subsidiaries of WFS.</w:t>
      </w:r>
    </w:p>
    <w:p>
      <w:pPr>
        <w:spacing w:after="0" w:line="17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Securities</w:t>
      </w:r>
      <w:r>
        <w:rPr>
          <w:rFonts w:ascii="Arial" w:cs="Arial" w:eastAsia="Arial" w:hAnsi="Arial"/>
          <w:sz w:val="18"/>
          <w:szCs w:val="18"/>
          <w:color w:val="auto"/>
        </w:rPr>
        <w:t>” means the Equity Interests issued by or equity participations in any Restricted Subsidiary, whether or not constituting a “security” under Article 8 of the Uniform Commercial Code as in effect in any jurisdiction.</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400" w:firstLine="702"/>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w:t>
      </w:r>
    </w:p>
    <w:p>
      <w:pPr>
        <w:ind w:right="160"/>
        <w:spacing w:after="0" w:line="290" w:lineRule="auto"/>
        <w:rPr>
          <w:sz w:val="20"/>
          <w:szCs w:val="20"/>
          <w:color w:val="auto"/>
        </w:rPr>
      </w:pPr>
      <w:r>
        <w:rPr>
          <w:rFonts w:ascii="Arial" w:cs="Arial" w:eastAsia="Arial" w:hAnsi="Arial"/>
          <w:sz w:val="17"/>
          <w:szCs w:val="17"/>
          <w:color w:val="auto"/>
        </w:rPr>
        <w:t>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Bank of America in its capacity as provider of Swing Line Loans, or any successor Swing Line Lender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$50,000,000 and (b) the Aggregate Revolving Commitments. The Swing Line Sublimit is part of, and not in addition to, the Aggregate Revolving Commitments.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640" w:firstLine="8"/>
        <w:spacing w:after="0" w:line="323"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39"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a Domestic Term Loan or a Singapore Term Loan, as the context may require.</w:t>
      </w:r>
    </w:p>
    <w:p>
      <w:pPr>
        <w:spacing w:after="0" w:line="225"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Loan Note</w:t>
      </w:r>
      <w:r>
        <w:rPr>
          <w:rFonts w:ascii="Arial" w:cs="Arial" w:eastAsia="Arial" w:hAnsi="Arial"/>
          <w:sz w:val="17"/>
          <w:szCs w:val="17"/>
          <w:color w:val="auto"/>
        </w:rPr>
        <w:t xml:space="preserve">” means, as the context requires, a promissory note made (a) by WFS in favor of a Domestic Term Loan Lender evidencing Domestic Term Loans made by such Domestic Term Loan Lender, substantially in the form of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or (b) by WFS Singapore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0" w:gutter="0" w:footer="0" w:header="0"/>
        </w:sectPr>
      </w:pPr>
    </w:p>
    <w:bookmarkStart w:id="24" w:name="page25"/>
    <w:bookmarkEnd w:id="24"/>
    <w:p>
      <w:pPr>
        <w:spacing w:after="0" w:line="5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in favor of a Singapore Term Loan Lender evidencing Singapore Term Loans made by such Singapore Term Loan Lender, substantially in the form of </w:t>
      </w:r>
      <w:r>
        <w:rPr>
          <w:rFonts w:ascii="Arial" w:cs="Arial" w:eastAsia="Arial" w:hAnsi="Arial"/>
          <w:sz w:val="18"/>
          <w:szCs w:val="18"/>
          <w:u w:val="single" w:color="auto"/>
          <w:color w:val="auto"/>
        </w:rPr>
        <w:t>Exhibit D-3</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$45,000,000.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L/C-BA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Revolving Outstandings</w:t>
      </w:r>
      <w:r>
        <w:rPr>
          <w:rFonts w:ascii="Arial" w:cs="Arial" w:eastAsia="Arial" w:hAnsi="Arial"/>
          <w:sz w:val="17"/>
          <w:szCs w:val="17"/>
          <w:color w:val="auto"/>
        </w:rPr>
        <w:t>” means the aggregate Outstanding Amount of all Revolving Loans, Swing Line Loans and L/C-BA Obligations.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Publication No. 600 (or such later version thereof as may be in effect at the time of issuance).</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with respect to a Lender, the appointment of an administrator, provisional liquidator, conservator, receiver, trustee, custodian or other similar official by a Governmental Authority under or based on the law in the country where such Lender is subject to home jurisdiction supervision if applicable law requires that such appointment not be publicly disclosed.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2.03(d)(i)</w:t>
      </w:r>
      <w:r>
        <w:rPr>
          <w:rFonts w:ascii="Arial" w:cs="Arial" w:eastAsia="Arial" w:hAnsi="Arial"/>
          <w:sz w:val="18"/>
          <w:szCs w:val="18"/>
          <w:color w:val="auto"/>
        </w:rPr>
        <w: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each Subsidiary designated as an Unrestricted Subsidiary by WFS (and approved by the Administrative Agent, which approval shall not be unreasonably withheld or delayed).</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Defaulting Lender</w:t>
      </w:r>
      <w:r>
        <w:rPr>
          <w:rFonts w:ascii="Arial" w:cs="Arial" w:eastAsia="Arial" w:hAnsi="Arial"/>
          <w:sz w:val="18"/>
          <w:szCs w:val="18"/>
          <w:color w:val="auto"/>
        </w:rPr>
        <w:t xml:space="preserve">” means a Domestic Term Loan Lender or a Singapore Term Loan Lender that is a Defaulting Lender solely by virtue of such Lender’s parent having taken an action, or become subject to a proceeding or appointment, that is described in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“Defaulting Lender”.</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Equity Interests issued by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WFS</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WFS Europe</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WFS Singapore</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WFS Working Capital Guarantee</w:t>
      </w:r>
      <w:r>
        <w:rPr>
          <w:rFonts w:ascii="Arial" w:cs="Arial" w:eastAsia="Arial" w:hAnsi="Arial"/>
          <w:sz w:val="18"/>
          <w:szCs w:val="18"/>
          <w:color w:val="auto"/>
        </w:rPr>
        <w:t>” means a guarantee by WFS of either (a) receivables owed by any Person (other than WFS or any of its Subsidiaries) to an Unrestricted Subsidiary or (b) payables owed by an Unrestricted Subsidiary to any Person (other than WFS or any of its Subsidiaries) or (c) such other arrangement as may be approved by the Administrative Agent.</w:t>
      </w:r>
    </w:p>
    <w:p>
      <w:pPr>
        <w:spacing w:after="0" w:line="177"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1.03 Other Interpretive Provisions</w:t>
      </w:r>
      <w:r>
        <w:rPr>
          <w:rFonts w:ascii="Arial" w:cs="Arial" w:eastAsia="Arial" w:hAnsi="Arial"/>
          <w:sz w:val="18"/>
          <w:szCs w:val="18"/>
          <w:color w:val="auto"/>
        </w:rPr>
        <w:t>. With reference to this Agreement and each other Loan Document, unless otherwise specified herein or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Loan Document:</w:t>
      </w:r>
    </w:p>
    <w:p>
      <w:pPr>
        <w:spacing w:after="0" w:line="166" w:lineRule="exact"/>
        <w:rPr>
          <w:sz w:val="20"/>
          <w:szCs w:val="20"/>
          <w:color w:val="auto"/>
        </w:rPr>
      </w:pPr>
    </w:p>
    <w:p>
      <w:pPr>
        <w:ind w:right="60" w:firstLine="656"/>
        <w:spacing w:after="0" w:line="286" w:lineRule="auto"/>
        <w:tabs>
          <w:tab w:leader="none" w:pos="134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6"/>
          <w:szCs w:val="16"/>
          <w:u w:val="single" w:color="auto"/>
          <w:color w:val="auto"/>
        </w:rPr>
        <w:t>include</w:t>
      </w:r>
      <w:r>
        <w:rPr>
          <w:rFonts w:ascii="Arial" w:cs="Arial" w:eastAsia="Arial" w:hAnsi="Arial"/>
          <w:sz w:val="16"/>
          <w:szCs w:val="16"/>
          <w:color w:val="auto"/>
        </w:rPr>
        <w:t>,” “</w:t>
      </w:r>
      <w:r>
        <w:rPr>
          <w:rFonts w:ascii="Arial" w:cs="Arial" w:eastAsia="Arial" w:hAnsi="Arial"/>
          <w:sz w:val="16"/>
          <w:szCs w:val="16"/>
          <w:u w:val="single" w:color="auto"/>
          <w:color w:val="auto"/>
        </w:rPr>
        <w:t>includes</w:t>
      </w:r>
      <w:r>
        <w:rPr>
          <w:rFonts w:ascii="Arial" w:cs="Arial" w:eastAsia="Arial" w:hAnsi="Arial"/>
          <w:sz w:val="16"/>
          <w:szCs w:val="16"/>
          <w:color w:val="auto"/>
        </w:rPr>
        <w:t>” and “</w:t>
      </w:r>
      <w:r>
        <w:rPr>
          <w:rFonts w:ascii="Arial" w:cs="Arial" w:eastAsia="Arial" w:hAnsi="Arial"/>
          <w:sz w:val="16"/>
          <w:szCs w:val="16"/>
          <w:u w:val="single" w:color="auto"/>
          <w:color w:val="auto"/>
        </w:rPr>
        <w:t>including</w:t>
      </w:r>
      <w:r>
        <w:rPr>
          <w:rFonts w:ascii="Arial" w:cs="Arial" w:eastAsia="Arial" w:hAnsi="Arial"/>
          <w:sz w:val="16"/>
          <w:szCs w:val="16"/>
          <w:color w:val="auto"/>
        </w:rPr>
        <w:t>” shall be deemed to be followed by the phrase “without limitation.” The word “</w:t>
      </w:r>
      <w:r>
        <w:rPr>
          <w:rFonts w:ascii="Arial" w:cs="Arial" w:eastAsia="Arial" w:hAnsi="Arial"/>
          <w:sz w:val="16"/>
          <w:szCs w:val="16"/>
          <w:u w:val="single" w:color="auto"/>
          <w:color w:val="auto"/>
        </w:rPr>
        <w:t>will</w:t>
      </w:r>
      <w:r>
        <w:rPr>
          <w:rFonts w:ascii="Arial" w:cs="Arial" w:eastAsia="Arial" w:hAnsi="Arial"/>
          <w:sz w:val="16"/>
          <w:szCs w:val="16"/>
          <w:color w:val="auto"/>
        </w:rPr>
        <w:t>” shall be construed to have the same meaning and effect as the word “</w:t>
      </w:r>
      <w:r>
        <w:rPr>
          <w:rFonts w:ascii="Arial" w:cs="Arial" w:eastAsia="Arial" w:hAnsi="Arial"/>
          <w:sz w:val="16"/>
          <w:szCs w:val="16"/>
          <w:u w:val="single" w:color="auto"/>
          <w:color w:val="auto"/>
        </w:rPr>
        <w:t>shall</w:t>
      </w:r>
      <w:r>
        <w:rPr>
          <w:rFonts w:ascii="Arial" w:cs="Arial" w:eastAsia="Arial" w:hAnsi="Arial"/>
          <w:sz w:val="16"/>
          <w:szCs w:val="16"/>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tangible and intangible assets and properties, including cash, securities, accounts and contract rights.</w:t>
      </w:r>
    </w:p>
    <w:p>
      <w:pPr>
        <w:spacing w:after="0" w:line="174" w:lineRule="exact"/>
        <w:rPr>
          <w:rFonts w:ascii="Arial" w:cs="Arial" w:eastAsia="Arial" w:hAnsi="Arial"/>
          <w:sz w:val="16"/>
          <w:szCs w:val="16"/>
          <w:color w:val="auto"/>
        </w:rPr>
      </w:pPr>
    </w:p>
    <w:p>
      <w:pPr>
        <w:ind w:right="360" w:firstLine="656"/>
        <w:spacing w:after="0" w:line="277" w:lineRule="auto"/>
        <w:tabs>
          <w:tab w:leader="none" w:pos="135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760" w:firstLine="656"/>
        <w:spacing w:after="0" w:line="277" w:lineRule="auto"/>
        <w:tabs>
          <w:tab w:leader="none" w:pos="13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ectPr>
          <w:pgSz w:w="11900" w:h="16888" w:orient="portrait"/>
          <w:cols w:equalWidth="0" w:num="1">
            <w:col w:w="11360"/>
          </w:cols>
          <w:pgMar w:left="240" w:top="584" w:right="299" w:bottom="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5"/>
          <w:szCs w:val="15"/>
          <w:b w:val="1"/>
          <w:bCs w:val="1"/>
          <w:color w:val="auto"/>
        </w:rPr>
        <w:t>Accounting Terms</w:t>
      </w:r>
      <w:r>
        <w:rPr>
          <w:rFonts w:ascii="Arial" w:cs="Arial" w:eastAsia="Arial" w:hAnsi="Arial"/>
          <w:sz w:val="15"/>
          <w:szCs w:val="15"/>
          <w:color w:val="auto"/>
        </w:rPr>
        <w:t>.</w:t>
      </w:r>
    </w:p>
    <w:p>
      <w:pPr>
        <w:spacing w:after="0" w:line="229" w:lineRule="exact"/>
        <w:rPr>
          <w:sz w:val="20"/>
          <w:szCs w:val="20"/>
          <w:color w:val="auto"/>
        </w:rPr>
      </w:pPr>
    </w:p>
    <w:p>
      <w:pPr>
        <w:ind w:right="100" w:firstLine="656"/>
        <w:spacing w:after="0" w:line="293" w:lineRule="auto"/>
        <w:tabs>
          <w:tab w:leader="none" w:pos="134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as otherwise specifically prescribed herein. Notwithstanding the foregoing, for purposes of determining compliance with any covenant (including the computation of any financial covenant) contained herein, Indebtedness of WFS and its Restricted Subsidiaries shall be deemed to be carried at 100% of the outstanding principal amount thereof, and the effects of FASB ASC 825 and FASB ASC 470-20 on financial liabilities shall be disregarded.</w:t>
      </w:r>
    </w:p>
    <w:p>
      <w:pPr>
        <w:spacing w:after="0" w:line="164" w:lineRule="exact"/>
        <w:rPr>
          <w:rFonts w:ascii="Arial" w:cs="Arial" w:eastAsia="Arial" w:hAnsi="Arial"/>
          <w:sz w:val="16"/>
          <w:szCs w:val="16"/>
          <w:color w:val="auto"/>
        </w:rPr>
      </w:pPr>
    </w:p>
    <w:p>
      <w:pPr>
        <w:ind w:right="40" w:firstLine="656"/>
        <w:spacing w:after="0" w:line="255" w:lineRule="auto"/>
        <w:tabs>
          <w:tab w:leader="none" w:pos="135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Borrowing Agent or the Required Lenders shall so request, the Administrative Agent, the Lenders and the Borrowers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the Borrowers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rFonts w:ascii="Arial" w:cs="Arial" w:eastAsia="Arial" w:hAnsi="Arial"/>
          <w:sz w:val="18"/>
          <w:szCs w:val="18"/>
          <w:color w:val="auto"/>
        </w:rPr>
      </w:pPr>
    </w:p>
    <w:p>
      <w:pPr>
        <w:ind w:right="40" w:firstLine="656"/>
        <w:spacing w:after="0" w:line="259" w:lineRule="auto"/>
        <w:tabs>
          <w:tab w:leader="none" w:pos="134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WFS and its Subsidiaries or to the determination of any amount for WFS and its Subsidiaries or WFS and its Restricted Subsidiaries on a consolidated basis or any similar reference shall, in each case, be deemed to include each variable interest entity that WFS is required to consolidate pursuant to FASB ASC 810 as if such variable interest entity were a Subsidiary as defined herein.</w:t>
      </w:r>
    </w:p>
    <w:p>
      <w:pPr>
        <w:spacing w:after="0" w:line="18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1.05 Rounding</w:t>
      </w:r>
      <w:r>
        <w:rPr>
          <w:rFonts w:ascii="Arial" w:cs="Arial" w:eastAsia="Arial" w:hAnsi="Arial"/>
          <w:sz w:val="18"/>
          <w:szCs w:val="18"/>
          <w:color w:val="auto"/>
        </w:rPr>
        <w:t>. Any financial ratios required to be maintained by the Borrowers pursuant to this Agreement shall be calculated by dividing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1.06 Times of Day</w:t>
      </w:r>
      <w:r>
        <w:rPr>
          <w:rFonts w:ascii="Arial" w:cs="Arial" w:eastAsia="Arial" w:hAnsi="Arial"/>
          <w:sz w:val="18"/>
          <w:szCs w:val="18"/>
          <w:color w:val="auto"/>
        </w:rPr>
        <w:t>. Unless otherwise specified, all references herein to times of day shall be references to Eastern time (daylight or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as applicable).</w:t>
      </w:r>
    </w:p>
    <w:p>
      <w:pPr>
        <w:spacing w:after="0" w:line="162"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1.07 Letter of Credit Amounts</w:t>
      </w:r>
      <w:r>
        <w:rPr>
          <w:rFonts w:ascii="Arial" w:cs="Arial" w:eastAsia="Arial" w:hAnsi="Arial"/>
          <w:sz w:val="18"/>
          <w:szCs w:val="18"/>
          <w:color w:val="auto"/>
        </w:rPr>
        <w:t>. Unless otherwise specified herein, the amount of a Letter of Credit at any time shall be deemed to be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1.08 Adjustments for Material Acquisitions and Dispositions</w:t>
      </w:r>
      <w:r>
        <w:rPr>
          <w:rFonts w:ascii="Arial" w:cs="Arial" w:eastAsia="Arial" w:hAnsi="Arial"/>
          <w:sz w:val="18"/>
          <w:szCs w:val="18"/>
          <w:color w:val="auto"/>
        </w:rPr>
        <w:t>. For each period of four fiscal quarters ending following the date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Acquisition or Material Disposition consummated after the Closing Date, for purposes of determining the Consolidated Total Leverage Ratio, the Consolidated Senior Leverage Ratio and Consolidated Interest Coverage Ratio, the consolidated results of operations of WFS and its Restricted Subsidiaries shall include the results of operations of the Person or assets subject to such Material Acquisition or exclude the results of operations of the Person or assets subject to such Material Disposition, as the case may be, on a historical pro forma basis to the extent information in sufficient detail concerning such historical results of such Person or assets is reasonably available, and which amounts shall include only adjustments reasonably satisfactory to Administrative Agent and shall not include any synergies resulting from such Material Acquisition or adjustments resulting from such Material Disposition other than those permitted pursuant to Regulation S-X of the SEC.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 THE COMMITMENTS AND CREDIT EXTENSIONS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Loans</w:t>
      </w:r>
      <w:r>
        <w:rPr>
          <w:rFonts w:ascii="Arial" w:cs="Arial" w:eastAsia="Arial" w:hAnsi="Arial"/>
          <w:sz w:val="16"/>
          <w:szCs w:val="16"/>
          <w:color w:val="auto"/>
        </w:rPr>
        <w:t>.</w:t>
      </w:r>
    </w:p>
    <w:p>
      <w:pPr>
        <w:spacing w:after="0" w:line="229" w:lineRule="exact"/>
        <w:rPr>
          <w:sz w:val="20"/>
          <w:szCs w:val="20"/>
          <w:color w:val="auto"/>
        </w:rPr>
      </w:pPr>
    </w:p>
    <w:p>
      <w:pPr>
        <w:ind w:right="140" w:firstLine="656"/>
        <w:spacing w:after="0" w:line="276" w:lineRule="auto"/>
        <w:tabs>
          <w:tab w:leader="none" w:pos="1343"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Domestic Term Loan Borrowing</w:t>
      </w:r>
      <w:r>
        <w:rPr>
          <w:rFonts w:ascii="Arial" w:cs="Arial" w:eastAsia="Arial" w:hAnsi="Arial"/>
          <w:sz w:val="17"/>
          <w:szCs w:val="17"/>
          <w:color w:val="auto"/>
        </w:rPr>
        <w:t xml:space="preserve">. Each Domestic Term Loan Lender (as defined in the Existing Credit Agreement) severally agreed to make, and has made under the Existing Credit Agreement, a single loan to WFS in an aggregate amount equal to $200,000,000. As of the Closing Date, the Domestic Term Loan Borrowing consists of Domestic Term Loans made by the Domestic Term Loan Lenders in accordance with their respective Pro Rata Share of the Domestic Term Loan Facility. Amounts borrowed under this </w:t>
      </w:r>
      <w:r>
        <w:rPr>
          <w:rFonts w:ascii="Arial" w:cs="Arial" w:eastAsia="Arial" w:hAnsi="Arial"/>
          <w:sz w:val="17"/>
          <w:szCs w:val="17"/>
          <w:u w:val="single" w:color="auto"/>
          <w:color w:val="auto"/>
        </w:rPr>
        <w:t>Section 2.01(a)(i)</w:t>
      </w:r>
      <w:r>
        <w:rPr>
          <w:rFonts w:ascii="Arial" w:cs="Arial" w:eastAsia="Arial" w:hAnsi="Arial"/>
          <w:sz w:val="17"/>
          <w:szCs w:val="17"/>
          <w:color w:val="auto"/>
        </w:rPr>
        <w:t xml:space="preserve"> and repaid or prepaid may not be reborrowed. Domestic Term Loans may be Base Rate Loans or Eurodollar Rate Loans, as further provided herein.</w:t>
      </w:r>
    </w:p>
    <w:p>
      <w:pPr>
        <w:spacing w:after="0" w:line="172" w:lineRule="exact"/>
        <w:rPr>
          <w:rFonts w:ascii="Arial" w:cs="Arial" w:eastAsia="Arial" w:hAnsi="Arial"/>
          <w:sz w:val="17"/>
          <w:szCs w:val="17"/>
          <w:color w:val="auto"/>
        </w:rPr>
      </w:pPr>
    </w:p>
    <w:p>
      <w:pPr>
        <w:ind w:left="820" w:right="160" w:firstLine="647"/>
        <w:spacing w:after="0" w:line="255" w:lineRule="auto"/>
        <w:tabs>
          <w:tab w:leader="none" w:pos="2183"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Singapore Term Loan Borrowing</w:t>
      </w:r>
      <w:r>
        <w:rPr>
          <w:rFonts w:ascii="Arial" w:cs="Arial" w:eastAsia="Arial" w:hAnsi="Arial"/>
          <w:sz w:val="18"/>
          <w:szCs w:val="18"/>
          <w:color w:val="auto"/>
        </w:rPr>
        <w:t xml:space="preserve">. Each Singapore Term Loan Lender severally agreed to make, and has made under the Existing Credit Agreement, a single loan to WFS Singapore in an amount equal to such Singapore Term Loan Lender’s Singapore Term Loan Commitment. As of the Closing Date, the Singapore Term Loan Borrowing consists of Singapore Term Loans made simultaneously by the Singapore Term Loan Lenders in accordance with their respective Pro Rata Share, as of the Closing Date, of the Singapore Term Loan Facility. Amounts borrowed under this </w:t>
      </w:r>
      <w:r>
        <w:rPr>
          <w:rFonts w:ascii="Arial" w:cs="Arial" w:eastAsia="Arial" w:hAnsi="Arial"/>
          <w:sz w:val="18"/>
          <w:szCs w:val="18"/>
          <w:u w:val="single" w:color="auto"/>
          <w:color w:val="auto"/>
        </w:rPr>
        <w:t>Section 2.01(a)(ii)</w:t>
      </w:r>
      <w:r>
        <w:rPr>
          <w:rFonts w:ascii="Arial" w:cs="Arial" w:eastAsia="Arial" w:hAnsi="Arial"/>
          <w:sz w:val="18"/>
          <w:szCs w:val="18"/>
          <w:color w:val="auto"/>
        </w:rPr>
        <w:t xml:space="preserve"> and repaid or prepaid may not be reborrowed. Singapore Term Loans may be Base Rate Loans or Eurodollar Rate Loans, as further provided herein.</w:t>
      </w:r>
    </w:p>
    <w:p>
      <w:pPr>
        <w:spacing w:after="0" w:line="193" w:lineRule="exact"/>
        <w:rPr>
          <w:rFonts w:ascii="Arial" w:cs="Arial" w:eastAsia="Arial" w:hAnsi="Arial"/>
          <w:sz w:val="18"/>
          <w:szCs w:val="18"/>
          <w:color w:val="auto"/>
        </w:rPr>
      </w:pPr>
    </w:p>
    <w:p>
      <w:pPr>
        <w:ind w:right="80" w:firstLine="656"/>
        <w:spacing w:after="0" w:line="297" w:lineRule="auto"/>
        <w:tabs>
          <w:tab w:leader="none" w:pos="1353"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Revolving Borrowings</w:t>
      </w:r>
      <w:r>
        <w:rPr>
          <w:rFonts w:ascii="Arial" w:cs="Arial" w:eastAsia="Arial" w:hAnsi="Arial"/>
          <w:sz w:val="16"/>
          <w:szCs w:val="16"/>
          <w:color w:val="auto"/>
        </w:rPr>
        <w:t>. Subject to the terms and conditions set forth herein, each Revolving Lender severally agrees to make loans in Dollars (each such loan, a “</w:t>
      </w:r>
      <w:r>
        <w:rPr>
          <w:rFonts w:ascii="Arial" w:cs="Arial" w:eastAsia="Arial" w:hAnsi="Arial"/>
          <w:sz w:val="16"/>
          <w:szCs w:val="16"/>
          <w:u w:val="single" w:color="auto"/>
          <w:color w:val="auto"/>
        </w:rPr>
        <w:t>Revolving Loan</w:t>
      </w:r>
      <w:r>
        <w:rPr>
          <w:rFonts w:ascii="Arial" w:cs="Arial" w:eastAsia="Arial" w:hAnsi="Arial"/>
          <w:sz w:val="16"/>
          <w:szCs w:val="16"/>
          <w:color w:val="auto"/>
        </w:rPr>
        <w:t xml:space="preserve">”) to the Borrowers from time to time, on any Business Day during the Availability Period, in an aggregate amount not to exceed at any time outstanding the amount of such Revolving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Revolving Borrowing, (i) the Total Revolving Outstandings shall not exceed the Aggregate Revolving Commitments; and (ii) the aggregate Outstanding Amount of the Revolving Loans of any Revolving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Revolving Lender’s Applicable Revolving Percentage of the Outstanding Amount of all</w:t>
      </w:r>
    </w:p>
    <w:p>
      <w:pPr>
        <w:sectPr>
          <w:pgSz w:w="11900" w:h="16838" w:orient="portrait"/>
          <w:cols w:equalWidth="0" w:num="1">
            <w:col w:w="11400"/>
          </w:cols>
          <w:pgMar w:left="240" w:top="341" w:right="259" w:bottom="0" w:gutter="0" w:footer="0" w:header="0"/>
        </w:sectPr>
      </w:pPr>
    </w:p>
    <w:bookmarkStart w:id="26" w:name="page27"/>
    <w:bookmarkEnd w:id="26"/>
    <w:p>
      <w:pPr>
        <w:spacing w:after="0" w:line="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L/C-BA Obligations,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Revolving Lender’s Applicable Revolving Percentage of the Outstanding Amount of all Swing Line Loans shall not exceed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Revolving Lender’s Revolving Commitment. Within the limits of each Revolving Lender’s Commitment, and subject to the other terms and conditions hereof, the Borrowers may 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Revolving Loans may be Base Rate Loans or Eurodollar Rate Loans, as further provided herein.</w:t>
      </w:r>
    </w:p>
    <w:p>
      <w:pPr>
        <w:spacing w:after="0" w:line="17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Borrowings, Conversions and Continuations of Loans</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88" w:lineRule="auto"/>
        <w:tabs>
          <w:tab w:leader="none" w:pos="13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Borrowing, each conversion of Loans from one Type to the other, and each continuation of Eurodollar Rate Loans shall be made upon the Borrowing Agent’s (in the case of Revolving Loans and Domestic Term Loans) or WFS Singapore’s (in the case of Singapore Term Loans) irrevocable notice to the Administrative Agent, which may be given by telephone. Each such notice must be received by the Administrative Agent not later than</w:t>
      </w:r>
    </w:p>
    <w:p>
      <w:pPr>
        <w:ind w:right="80"/>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11:00 a.m. (i) three Business Days prior to the requested date of any Borrowing of, conversion to or continuation of Eurodollar Rate Loans or of any conversion of Eurodollar Rate Loans to Base Rate Loans, and (ii) on the requested date of any Borrowing of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Borrowing Agent or WFS Singapore, as applicable, wishes to request Eurodollar Rate Loans having an Interest Period other than one, two, three or six months in duration as provided in the definition of “Interest Period,” the applicable notice must be received by the Administrative Agent not later than 11:00 a.m. four Business Days prior to the requested date of such Borrowing, conversion or continuation, whereupon (x) the Administrative Agent shall give prompt notice to the Appropriate Lenders of such request and determine whether the requested Interest Period is acceptable to all of them and (y) not later than 11:00 a.m., three Business Days before the requested date of such Borrowing, conversion or continuation, the Administrative Agent shall notify the Borrowing Agent or WFS Singapore, as applicable (which notice may be by telephone) whether or not the requested Interest Period has been consented to by all the Appropriate Lenders. Each telephonic notice by the Borrowing Agent or WFS Singapore, as applicable,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Committed Loan Notice, appropriately completed and signed by a Responsible Officer of the Borrowing Agent or WFS Singapore, as applicable. Each Borrowing of, conversion to or continuation of Eurodollar Rate Loans shall be in a principal amount of $5,000,000 or a whole multiple of $1,000,000 in excess thereof. Except as provided in </w:t>
      </w:r>
      <w:r>
        <w:rPr>
          <w:rFonts w:ascii="Arial" w:cs="Arial" w:eastAsia="Arial" w:hAnsi="Arial"/>
          <w:sz w:val="16"/>
          <w:szCs w:val="16"/>
          <w:u w:val="single" w:color="auto"/>
          <w:color w:val="auto"/>
        </w:rPr>
        <w:t>Sections 2.03(d)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Loans shall be in a principal amount of $500,000 or a whole multiple of $100,000 in excess thereof. Each Committed Loan Notice for Revolving Loans or Domestic Term Loans (whether telephonic or written) shall specify (i) the applicable Facility and whether the Borrowing Agent is requesting a Borrowing, a conversion of Loans from one Type to the other, as the case may be, under such Facility,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Each Committed Loan Notice for Singapore Term Loans (whether telephonic or written) shall specify (i) whether WFS Singapore is requesting a conversion of Loans from one Type to the other, as the case may be, or a continuation of Eurodollar Rate Loans, (ii) the requested date of the conversion or continuation, as the case may be (which shall be a Business Day), (iii) the principal amount of Loans to be converted or continued, (iv) the Type of Loans to be borrowed or to which existing Loans are to be converted,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(v) if applicable, the duration of the Interest Period with respect thereto. If the Borrowing Agent or WFS Singapore, as applicable, fails to specify a Type of Loan in a Committed Loan Notice or if the Borrowing Agent or WFS Singapore, as applicable,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Borrowing Agent or WFS Singapore, as applicable, requests a Borrowing of, conversion to, or continuation of Eurodollar Rate Loans in any such Committed Loan Notice, but fails to specify an Interest Period, it will be deemed to have specified an Interest Period of one month. Notwithstanding anything to the contrary herein, a Swing Line Loan may not be converted to a Eurodollar Rate Loan.</w:t>
      </w:r>
    </w:p>
    <w:p>
      <w:pPr>
        <w:spacing w:after="0" w:line="189" w:lineRule="exact"/>
        <w:rPr>
          <w:sz w:val="20"/>
          <w:szCs w:val="20"/>
          <w:color w:val="auto"/>
        </w:rPr>
      </w:pPr>
    </w:p>
    <w:p>
      <w:pPr>
        <w:ind w:right="20" w:firstLine="656"/>
        <w:spacing w:after="0" w:line="269" w:lineRule="auto"/>
        <w:tabs>
          <w:tab w:leader="none" w:pos="1353"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Following receipt of a Committed Loan Notice for a Facility, the Administrative Agent shall promptly notify each Appropriate Lender of the amount of its Applicable Percentage under such Facility of the applicable Loans, and if no timely notice of a conversion or continuation is provided by the Borrowing Agent or WFS Singapore, as applicable, the Administrative Agent shall notify each Appropriate Lender of the details of any automatic conversion to Base Rate Loans described in the preceding subsection. In the case of a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Administrative Agent shall make all funds so received available to the Borrowing Agent in like funds as received by the Administrative Agent either by (i) crediting the account of the Borrowing Agent on the books of Bank of America with the amount of such funds or (ii) wire transfer of such funds, in each case in accordance with instructions provided to (and reasonably acceptable to) the Administrative Agent by the Borrowing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on the date the Committed Loan Notice with respect to a Revolving Borrowing is given by the Borrowing Agent, there are L/C-BA Borrowings outstanding, then the proceeds of such Revolving Borrowing,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shall be applied to the payment in full of any such L/C-BA Borrowings, and </w:t>
      </w:r>
      <w:r>
        <w:rPr>
          <w:rFonts w:ascii="Arial" w:cs="Arial" w:eastAsia="Arial" w:hAnsi="Arial"/>
          <w:sz w:val="17"/>
          <w:szCs w:val="17"/>
          <w:u w:val="single" w:color="auto"/>
          <w:color w:val="auto"/>
        </w:rPr>
        <w:t>second</w:t>
      </w:r>
      <w:r>
        <w:rPr>
          <w:rFonts w:ascii="Arial" w:cs="Arial" w:eastAsia="Arial" w:hAnsi="Arial"/>
          <w:sz w:val="17"/>
          <w:szCs w:val="17"/>
          <w:color w:val="auto"/>
        </w:rPr>
        <w:t>, shall be made available to the applicable Borrower as provided above.</w:t>
      </w:r>
    </w:p>
    <w:p>
      <w:pPr>
        <w:spacing w:after="0" w:line="179" w:lineRule="exact"/>
        <w:rPr>
          <w:rFonts w:ascii="Arial" w:cs="Arial" w:eastAsia="Arial" w:hAnsi="Arial"/>
          <w:sz w:val="17"/>
          <w:szCs w:val="17"/>
          <w:color w:val="auto"/>
        </w:rPr>
      </w:pPr>
    </w:p>
    <w:p>
      <w:pPr>
        <w:ind w:right="40" w:firstLine="656"/>
        <w:spacing w:after="0" w:line="264" w:lineRule="auto"/>
        <w:tabs>
          <w:tab w:leader="none" w:pos="13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Facility Lenders.</w:t>
      </w:r>
    </w:p>
    <w:p>
      <w:pPr>
        <w:spacing w:after="0" w:line="181" w:lineRule="exact"/>
        <w:rPr>
          <w:rFonts w:ascii="Arial" w:cs="Arial" w:eastAsia="Arial" w:hAnsi="Arial"/>
          <w:sz w:val="18"/>
          <w:szCs w:val="18"/>
          <w:color w:val="auto"/>
        </w:rPr>
      </w:pPr>
    </w:p>
    <w:p>
      <w:pPr>
        <w:ind w:right="300" w:firstLine="656"/>
        <w:spacing w:after="0" w:line="259" w:lineRule="auto"/>
        <w:tabs>
          <w:tab w:leader="none" w:pos="13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Borrowing Agent and the Appropriate Lenders of the interest rate applicable to any Interest Period for Eurodollar Rate Loans upon determination of such interest rate. At any time that Base Rate Loans are outstanding, the Administrative Agent shall notify the Borrowing Agent and the Appropriate Lenders of any change in Bank of America’s prime rate used in determining the Base Rate promptly following the public announcement of such change.</w:t>
      </w:r>
    </w:p>
    <w:p>
      <w:pPr>
        <w:spacing w:after="0" w:line="186" w:lineRule="exact"/>
        <w:rPr>
          <w:rFonts w:ascii="Arial" w:cs="Arial" w:eastAsia="Arial" w:hAnsi="Arial"/>
          <w:sz w:val="18"/>
          <w:szCs w:val="18"/>
          <w:color w:val="auto"/>
        </w:rPr>
      </w:pPr>
    </w:p>
    <w:p>
      <w:pPr>
        <w:ind w:right="200" w:firstLine="656"/>
        <w:spacing w:after="0" w:line="277" w:lineRule="auto"/>
        <w:tabs>
          <w:tab w:leader="none" w:pos="13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After giving effect to all Domestic Term Loan Borrowings, all Singapore Term Loan Borrowings, all conversions of Term Loans from one Type to the other, and all</w:t>
      </w:r>
    </w:p>
    <w:p>
      <w:pPr>
        <w:sectPr>
          <w:pgSz w:w="11900" w:h="16851"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51" w:orient="portrait"/>
          <w:cols w:equalWidth="0" w:num="1">
            <w:col w:w="11420"/>
          </w:cols>
          <w:pgMar w:left="240" w:top="125" w:right="239" w:bottom="0" w:gutter="0" w:footer="0" w:header="0"/>
          <w:type w:val="continuous"/>
        </w:sectPr>
      </w:pPr>
    </w:p>
    <w:bookmarkStart w:id="27" w:name="page28"/>
    <w:bookmarkEnd w:id="2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continuations of Term Loans as the same Type, there shall not be more than five (5) Interest Periods in effect in respect of each of the Domestic Term Loan Facility and the Singapore Term Loan Facility. (ii) After giving effect to all Revolving Borrowings, all conversions of Revolving Loans from one Type to the other, and all continuations of Revolving Loans as the same Type, there shall not be more than five (5) Interest Periods in effect in respect of the Revolving Credit Facility.</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ind w:left="1360" w:hanging="704"/>
        <w:spacing w:after="0"/>
        <w:tabs>
          <w:tab w:leader="none" w:pos="1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Letter of Credit–BA Commitment.</w:t>
      </w:r>
    </w:p>
    <w:p>
      <w:pPr>
        <w:spacing w:after="0" w:line="225" w:lineRule="exact"/>
        <w:rPr>
          <w:rFonts w:ascii="Arial" w:cs="Arial" w:eastAsia="Arial" w:hAnsi="Arial"/>
          <w:sz w:val="18"/>
          <w:szCs w:val="18"/>
          <w:color w:val="auto"/>
        </w:rPr>
      </w:pPr>
    </w:p>
    <w:p>
      <w:pPr>
        <w:ind w:left="820" w:firstLine="647"/>
        <w:spacing w:after="0" w:line="267" w:lineRule="auto"/>
        <w:tabs>
          <w:tab w:leader="none" w:pos="2178"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the L/C-BA Issuer agrees, in reliance upon the agreements of the Revolving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(1) from time to time on any Business Day during the period from the Closing Date until the Maturity Date, to issue Letters of Credit and Clean BAs for the account of any Borrower or a Restricted Subsidiary, and to amend or extend Letters of Credit previously issued by it, in accordance with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(2) to honor drawings under the Letters of Credit and to make payments under Bankers’ Acceptances; and (3) with respect to Acceptance Credits, to create L/C Issued BAs in accordance with the terms thereof and hereof, and (B) the Revolving Lenders severally agree to participate in Letters of Credit and Bankers’ Acceptances issued for the account of the applicable Borrower or applicable Restricted Subsidiary and any drawings or payments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after giving effect to any L/C-BA Credit Extension, (x) the Total Revolving Outstandings shall not exceed the Aggregate Revolving Commitments, (y) the aggregate Outstanding Amount of the Revolving Loans of any Revolving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Revolving Lender’s Applicable Revolving Percentage of the Outstanding Amount of all L/C-BA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Revolving Lender’s Applicable Revolving Percentage of the Outstanding Amount of all Swing Line Loans shall not exceed such Revolving Lender’s Commitment, and (z) the Outstanding Amount of the L/C-BA Obligations shall not exceed the L/C-BA Sublimit and (B) as to Clean BAs and Acceptance Credits, the Bankers’ Acceptance created or to be created thereunder shall be an eligible bankers’ acceptance under Section 13 of the Federal Reserve Act (12 U.S. C. §372). Each request by the Borrowing Agent for the issuance (or amendment, as applicable) of a Letter of Credit or Bankers’ Acceptance, each of which shall identify the Borrower or Restricted Subsidiary for whose account such Letter of Credit or Bankers’ Acceptance is to be issued, shall be deemed to be a representation by the Borrowing Agent (on behalf of itself and the applicable Borrower or Restricted Subsidiary) that the L/C-BA Credit Extension so requested complies with the conditions set forth in the proviso to the preceding sentence. Within the foregoing limits, and subject to the terms and conditions hereof, the Borrowers’ ability to obtain Letters of Credit and Bankers’ Acceptances shall be fully revolving, and accordingly the Borrowers may, during the foregoing period, obtain Letters of Credit and Bankers’ Acceptances to replace Letters of Credit that have expired or that have been drawn upon and reimbursed and Bankers’ Acceptances that have matured and been reimbursed. All Existing Letters of Credit shall be deemed to have been issued pursuant hereto, and from and after the Closing Date shall be subject to and governed by the terms and conditions 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80" w:hanging="713"/>
        <w:spacing w:after="0"/>
        <w:tabs>
          <w:tab w:leader="none" w:pos="2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L/C-BA Issuer shall not issue any Letter of Credit or Bankers’ Acceptance, if:</w:t>
      </w:r>
    </w:p>
    <w:p>
      <w:pPr>
        <w:spacing w:after="0" w:line="225" w:lineRule="exact"/>
        <w:rPr>
          <w:rFonts w:ascii="Arial" w:cs="Arial" w:eastAsia="Arial" w:hAnsi="Arial"/>
          <w:sz w:val="18"/>
          <w:szCs w:val="18"/>
          <w:color w:val="auto"/>
        </w:rPr>
      </w:pPr>
    </w:p>
    <w:p>
      <w:pPr>
        <w:ind w:left="1300" w:right="200" w:firstLine="653"/>
        <w:spacing w:after="0" w:line="308" w:lineRule="auto"/>
        <w:tabs>
          <w:tab w:leader="none" w:pos="2648" w:val="left"/>
        </w:tabs>
        <w:numPr>
          <w:ilvl w:val="1"/>
          <w:numId w:val="37"/>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2.03(b)(iii)</w:t>
      </w:r>
      <w:r>
        <w:rPr>
          <w:rFonts w:ascii="Arial" w:cs="Arial" w:eastAsia="Arial" w:hAnsi="Arial"/>
          <w:sz w:val="17"/>
          <w:szCs w:val="17"/>
          <w:color w:val="auto"/>
        </w:rPr>
        <w:t>, the expiry date of such requested Letter of Credit would occur more than twelve months after the date of issuance or last extension unless the Required Revolving Lenders have approved such expiry date;</w:t>
      </w:r>
    </w:p>
    <w:p>
      <w:pPr>
        <w:spacing w:after="0" w:line="146" w:lineRule="exact"/>
        <w:rPr>
          <w:rFonts w:ascii="Arial" w:cs="Arial" w:eastAsia="Arial" w:hAnsi="Arial"/>
          <w:sz w:val="17"/>
          <w:szCs w:val="17"/>
          <w:color w:val="auto"/>
        </w:rPr>
      </w:pPr>
    </w:p>
    <w:p>
      <w:pPr>
        <w:ind w:left="1300" w:right="300" w:firstLine="653"/>
        <w:spacing w:after="0" w:line="277" w:lineRule="auto"/>
        <w:tabs>
          <w:tab w:leader="none" w:pos="26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maturity date of any Bankers’ Acceptance would occur earlier than 30 or later than 90 days from date of issuance, unless the Required Revolving Lenders have approved such maturity date;</w:t>
      </w:r>
    </w:p>
    <w:p>
      <w:pPr>
        <w:spacing w:after="0" w:line="170" w:lineRule="exact"/>
        <w:rPr>
          <w:rFonts w:ascii="Arial" w:cs="Arial" w:eastAsia="Arial" w:hAnsi="Arial"/>
          <w:sz w:val="18"/>
          <w:szCs w:val="18"/>
          <w:color w:val="auto"/>
        </w:rPr>
      </w:pPr>
    </w:p>
    <w:p>
      <w:pPr>
        <w:ind w:left="1300" w:right="240" w:firstLine="653"/>
        <w:spacing w:after="0" w:line="264" w:lineRule="auto"/>
        <w:tabs>
          <w:tab w:leader="none" w:pos="26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or the maturity date of any Bankers’ Acceptance (including any L/C Issued BA issued under a Letter of Credit), would occur after the Maturity Date, unless all the Revolving Lenders have approved such expiry date or maturity date, as applicable; or</w:t>
      </w:r>
    </w:p>
    <w:p>
      <w:pPr>
        <w:spacing w:after="0" w:line="181" w:lineRule="exact"/>
        <w:rPr>
          <w:rFonts w:ascii="Arial" w:cs="Arial" w:eastAsia="Arial" w:hAnsi="Arial"/>
          <w:sz w:val="18"/>
          <w:szCs w:val="18"/>
          <w:color w:val="auto"/>
        </w:rPr>
      </w:pPr>
    </w:p>
    <w:p>
      <w:pPr>
        <w:ind w:left="2660" w:hanging="707"/>
        <w:spacing w:after="0"/>
        <w:tabs>
          <w:tab w:leader="none" w:pos="2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such Letter of Credit or Bankers’ Acceptance is to be denominated in a currency other than Dollars.</w:t>
      </w:r>
    </w:p>
    <w:p>
      <w:pPr>
        <w:spacing w:after="0" w:line="225" w:lineRule="exact"/>
        <w:rPr>
          <w:rFonts w:ascii="Arial" w:cs="Arial" w:eastAsia="Arial" w:hAnsi="Arial"/>
          <w:sz w:val="18"/>
          <w:szCs w:val="18"/>
          <w:color w:val="auto"/>
        </w:rPr>
      </w:pPr>
    </w:p>
    <w:p>
      <w:pPr>
        <w:ind w:left="2180" w:hanging="713"/>
        <w:spacing w:after="0"/>
        <w:tabs>
          <w:tab w:leader="none" w:pos="2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L/C-BA Issuer shall not be under any obligation to issue any Letter of Credit or Bankers’ Acceptance if:</w:t>
      </w:r>
    </w:p>
    <w:p>
      <w:pPr>
        <w:spacing w:after="0" w:line="225" w:lineRule="exact"/>
        <w:rPr>
          <w:rFonts w:ascii="Arial" w:cs="Arial" w:eastAsia="Arial" w:hAnsi="Arial"/>
          <w:sz w:val="18"/>
          <w:szCs w:val="18"/>
          <w:color w:val="auto"/>
        </w:rPr>
      </w:pPr>
    </w:p>
    <w:p>
      <w:pPr>
        <w:ind w:left="1300" w:firstLine="653"/>
        <w:spacing w:after="0" w:line="271" w:lineRule="auto"/>
        <w:tabs>
          <w:tab w:leader="none" w:pos="2648"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the L/C-BA Issuer from issuing such Letter of Credit or Bankers’ Acceptance, or any Law applicable to the L/C-BA Issuer or any request or directive (whether or not having the force of law) from any Governmental Authority with jurisdiction over the L/C-BA Issuer shall prohibit, or request that the L/C-BA Issuer refrain from, the issuance of letters of credit or related bankers’ acceptances generally or such Letter of Credit or Bankers’ Acceptance in particular or shall impose upon the L/C-BA Issuer with respect to such Letter of Credit or Bankers’ Acceptance any restriction, reserve or capital requirement (for which the L/C-BA Issuer is not otherwise compensated hereunder) not in effect on the Closing Date, or shall impose upon the L/C-BA Issuer any unreimbursed loss, cost or expense which was not applicable on the Closing Date and, in each case, which the L/C-BA Issuer in good faith deems material to it;</w:t>
      </w:r>
    </w:p>
    <w:p>
      <w:pPr>
        <w:spacing w:after="0" w:line="178" w:lineRule="exact"/>
        <w:rPr>
          <w:rFonts w:ascii="Arial" w:cs="Arial" w:eastAsia="Arial" w:hAnsi="Arial"/>
          <w:sz w:val="17"/>
          <w:szCs w:val="17"/>
          <w:color w:val="auto"/>
        </w:rPr>
      </w:pPr>
    </w:p>
    <w:p>
      <w:pPr>
        <w:ind w:left="1300" w:right="40" w:firstLine="653"/>
        <w:spacing w:after="0" w:line="264" w:lineRule="auto"/>
        <w:tabs>
          <w:tab w:leader="none" w:pos="26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issuance of such Letter of Credit or Bankers’ Acceptance would violate one or more policies of the L/C-BA Issuer, or the creation of such Bankers’ Acceptance would cause the L/C-BA Issuer to exceed the maximum amount of outstanding bankers’ acceptances permitted by applicable law;</w:t>
      </w:r>
    </w:p>
    <w:p>
      <w:pPr>
        <w:spacing w:after="0" w:line="181" w:lineRule="exact"/>
        <w:rPr>
          <w:rFonts w:ascii="Arial" w:cs="Arial" w:eastAsia="Arial" w:hAnsi="Arial"/>
          <w:sz w:val="18"/>
          <w:szCs w:val="18"/>
          <w:color w:val="auto"/>
        </w:rPr>
      </w:pPr>
    </w:p>
    <w:p>
      <w:pPr>
        <w:ind w:left="1300" w:right="600" w:firstLine="653"/>
        <w:spacing w:after="0" w:line="277" w:lineRule="auto"/>
        <w:tabs>
          <w:tab w:leader="none" w:pos="26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L/C-BA Issuer, such Letter of Credit or Bankers’ Acceptance is in an initial stated amount less than $5,000;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572" w:gutter="0" w:footer="0" w:header="0"/>
        </w:sectPr>
      </w:pPr>
    </w:p>
    <w:bookmarkStart w:id="28" w:name="page29"/>
    <w:bookmarkEnd w:id="28"/>
    <w:p>
      <w:pPr>
        <w:spacing w:after="0" w:line="106" w:lineRule="exact"/>
        <w:rPr>
          <w:sz w:val="20"/>
          <w:szCs w:val="20"/>
          <w:color w:val="auto"/>
        </w:rPr>
      </w:pPr>
    </w:p>
    <w:p>
      <w:pPr>
        <w:ind w:left="644" w:right="280" w:firstLine="653"/>
        <w:spacing w:after="0" w:line="276" w:lineRule="auto"/>
        <w:tabs>
          <w:tab w:leader="none" w:pos="1992" w:val="left"/>
        </w:tabs>
        <w:numPr>
          <w:ilvl w:val="3"/>
          <w:numId w:val="38"/>
        </w:numPr>
        <w:rPr>
          <w:rFonts w:ascii="Arial" w:cs="Arial" w:eastAsia="Arial" w:hAnsi="Arial"/>
          <w:sz w:val="17"/>
          <w:szCs w:val="17"/>
          <w:color w:val="auto"/>
        </w:rPr>
      </w:pPr>
      <w:r>
        <w:rPr>
          <w:rFonts w:ascii="Arial" w:cs="Arial" w:eastAsia="Arial" w:hAnsi="Arial"/>
          <w:sz w:val="17"/>
          <w:szCs w:val="17"/>
          <w:color w:val="auto"/>
        </w:rPr>
        <w:t xml:space="preserve">any Revolving Lender is at that time a Defaulting Lender, unless the L/C-BA Issuer has entered into arrangements, including the delivery of Cash Collateral, satisfactory to the L/C-BA Issuer (in its sole discretion) with the Borrowers or such Defaulting Lender to eliminate the L/C-BA Issuer’s Fronting Exposure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with respect to such Defaulting Lender arising from either the Letter of Credit then proposed to be issued or that Letter of Credit and all other L/C-BA Obligations as to which the L/C-BA Issuer has Fronting Exposure, as it may elect in its sole discretion;</w:t>
      </w:r>
    </w:p>
    <w:p>
      <w:pPr>
        <w:spacing w:after="0" w:line="172" w:lineRule="exact"/>
        <w:rPr>
          <w:rFonts w:ascii="Arial" w:cs="Arial" w:eastAsia="Arial" w:hAnsi="Arial"/>
          <w:sz w:val="17"/>
          <w:szCs w:val="17"/>
          <w:color w:val="auto"/>
        </w:rPr>
      </w:pPr>
    </w:p>
    <w:p>
      <w:pPr>
        <w:ind w:left="2024" w:hanging="727"/>
        <w:spacing w:after="0"/>
        <w:tabs>
          <w:tab w:leader="none" w:pos="2024" w:val="left"/>
        </w:tabs>
        <w:numPr>
          <w:ilvl w:val="3"/>
          <w:numId w:val="38"/>
        </w:numPr>
        <w:rPr>
          <w:rFonts w:ascii="Arial" w:cs="Arial" w:eastAsia="Arial" w:hAnsi="Arial"/>
          <w:sz w:val="16"/>
          <w:szCs w:val="16"/>
          <w:color w:val="auto"/>
        </w:rPr>
      </w:pPr>
      <w:r>
        <w:rPr>
          <w:rFonts w:ascii="Arial" w:cs="Arial" w:eastAsia="Arial" w:hAnsi="Arial"/>
          <w:sz w:val="16"/>
          <w:szCs w:val="16"/>
          <w:color w:val="auto"/>
        </w:rPr>
        <w:t xml:space="preserve">such Bankers’ Acceptance is to be used for a purpose other than as described in the last sentence of </w:t>
      </w:r>
      <w:r>
        <w:rPr>
          <w:rFonts w:ascii="Arial" w:cs="Arial" w:eastAsia="Arial" w:hAnsi="Arial"/>
          <w:sz w:val="16"/>
          <w:szCs w:val="16"/>
          <w:u w:val="single" w:color="auto"/>
          <w:color w:val="auto"/>
        </w:rPr>
        <w:t>Section 2.03(c)(i)</w:t>
      </w:r>
      <w:r>
        <w:rPr>
          <w:rFonts w:ascii="Arial" w:cs="Arial" w:eastAsia="Arial" w:hAnsi="Arial"/>
          <w:sz w:val="16"/>
          <w:szCs w:val="16"/>
          <w:color w:val="auto"/>
        </w:rPr>
        <w:t>; or</w:t>
      </w:r>
    </w:p>
    <w:p>
      <w:pPr>
        <w:spacing w:after="0" w:line="248" w:lineRule="exact"/>
        <w:rPr>
          <w:rFonts w:ascii="Arial" w:cs="Arial" w:eastAsia="Arial" w:hAnsi="Arial"/>
          <w:sz w:val="16"/>
          <w:szCs w:val="16"/>
          <w:color w:val="auto"/>
        </w:rPr>
      </w:pPr>
    </w:p>
    <w:p>
      <w:pPr>
        <w:ind w:left="2004" w:hanging="707"/>
        <w:spacing w:after="0"/>
        <w:tabs>
          <w:tab w:leader="none" w:pos="2004" w:val="left"/>
        </w:tabs>
        <w:numPr>
          <w:ilvl w:val="3"/>
          <w:numId w:val="38"/>
        </w:numPr>
        <w:rPr>
          <w:rFonts w:ascii="Arial" w:cs="Arial" w:eastAsia="Arial" w:hAnsi="Arial"/>
          <w:sz w:val="17"/>
          <w:szCs w:val="17"/>
          <w:color w:val="auto"/>
        </w:rPr>
      </w:pPr>
      <w:r>
        <w:rPr>
          <w:rFonts w:ascii="Arial" w:cs="Arial" w:eastAsia="Arial" w:hAnsi="Arial"/>
          <w:sz w:val="17"/>
          <w:szCs w:val="17"/>
          <w:color w:val="auto"/>
        </w:rPr>
        <w:t>the Letter of Credit contains any provisions for automatic reinstatement of the stated amount after any drawing</w:t>
      </w:r>
    </w:p>
    <w:p>
      <w:pPr>
        <w:spacing w:after="0" w:line="34" w:lineRule="exact"/>
        <w:rPr>
          <w:rFonts w:ascii="Arial" w:cs="Arial" w:eastAsia="Arial" w:hAnsi="Arial"/>
          <w:sz w:val="17"/>
          <w:szCs w:val="17"/>
          <w:color w:val="auto"/>
        </w:rPr>
      </w:pPr>
    </w:p>
    <w:p>
      <w:pPr>
        <w:ind w:left="644"/>
        <w:spacing w:after="0"/>
        <w:rPr>
          <w:rFonts w:ascii="Arial" w:cs="Arial" w:eastAsia="Arial" w:hAnsi="Arial"/>
          <w:sz w:val="17"/>
          <w:szCs w:val="17"/>
          <w:color w:val="auto"/>
        </w:rPr>
      </w:pPr>
      <w:r>
        <w:rPr>
          <w:rFonts w:ascii="Arial" w:cs="Arial" w:eastAsia="Arial" w:hAnsi="Arial"/>
          <w:sz w:val="18"/>
          <w:szCs w:val="18"/>
          <w:color w:val="auto"/>
        </w:rPr>
        <w:t>thereunder.</w:t>
      </w:r>
    </w:p>
    <w:p>
      <w:pPr>
        <w:spacing w:after="0" w:line="210" w:lineRule="exact"/>
        <w:rPr>
          <w:rFonts w:ascii="Arial" w:cs="Arial" w:eastAsia="Arial" w:hAnsi="Arial"/>
          <w:sz w:val="17"/>
          <w:szCs w:val="17"/>
          <w:color w:val="auto"/>
        </w:rPr>
      </w:pPr>
    </w:p>
    <w:p>
      <w:pPr>
        <w:ind w:left="164" w:firstLine="647"/>
        <w:spacing w:after="0" w:line="277" w:lineRule="auto"/>
        <w:tabs>
          <w:tab w:leader="none" w:pos="1522"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L/C-BA Issuer shall not amend any Letter of Credit or Bankers’ Acceptance if the L/C-BA Issuer would not be permitted at such time to issue such Letter of Credit or Bankers’ Acceptance in its amended form under the terms hereof.</w:t>
      </w:r>
    </w:p>
    <w:p>
      <w:pPr>
        <w:spacing w:after="0" w:line="170" w:lineRule="exact"/>
        <w:rPr>
          <w:rFonts w:ascii="Arial" w:cs="Arial" w:eastAsia="Arial" w:hAnsi="Arial"/>
          <w:sz w:val="18"/>
          <w:szCs w:val="18"/>
          <w:color w:val="auto"/>
        </w:rPr>
      </w:pPr>
    </w:p>
    <w:p>
      <w:pPr>
        <w:ind w:left="164" w:right="80" w:firstLine="647"/>
        <w:spacing w:after="0" w:line="291" w:lineRule="auto"/>
        <w:tabs>
          <w:tab w:leader="none" w:pos="1517" w:val="left"/>
        </w:tabs>
        <w:numPr>
          <w:ilvl w:val="2"/>
          <w:numId w:val="39"/>
        </w:numPr>
        <w:rPr>
          <w:rFonts w:ascii="Arial" w:cs="Arial" w:eastAsia="Arial" w:hAnsi="Arial"/>
          <w:sz w:val="16"/>
          <w:szCs w:val="16"/>
          <w:color w:val="auto"/>
        </w:rPr>
      </w:pPr>
      <w:r>
        <w:rPr>
          <w:rFonts w:ascii="Arial" w:cs="Arial" w:eastAsia="Arial" w:hAnsi="Arial"/>
          <w:sz w:val="16"/>
          <w:szCs w:val="16"/>
          <w:color w:val="auto"/>
        </w:rPr>
        <w:t>The L/C-BA Issuer shall not be under any obligation to amend any Letter of Credit or Bankers’ Acceptance if (A) the L/C-BA Issuer would have no obligation at such time to issue such Letter of Credit or Bankers’ Acceptance in its amended form under the terms hereof, or</w:t>
      </w:r>
    </w:p>
    <w:p>
      <w:pPr>
        <w:ind w:left="164" w:right="120" w:hanging="2"/>
        <w:spacing w:after="0" w:line="261" w:lineRule="auto"/>
        <w:tabs>
          <w:tab w:leader="none" w:pos="449"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beneficiary of such Letter of Credit or Bankers’ Acceptance does not accept the proposed amendment to such Letter of Credit or Bankers’ Acceptance.</w:t>
      </w:r>
    </w:p>
    <w:p>
      <w:pPr>
        <w:spacing w:after="0" w:line="183" w:lineRule="exact"/>
        <w:rPr>
          <w:rFonts w:ascii="Arial" w:cs="Arial" w:eastAsia="Arial" w:hAnsi="Arial"/>
          <w:sz w:val="18"/>
          <w:szCs w:val="18"/>
          <w:color w:val="auto"/>
        </w:rPr>
      </w:pPr>
    </w:p>
    <w:p>
      <w:pPr>
        <w:ind w:left="164" w:right="100" w:firstLine="647"/>
        <w:spacing w:after="0" w:line="273" w:lineRule="auto"/>
        <w:tabs>
          <w:tab w:leader="none" w:pos="1522" w:val="left"/>
        </w:tabs>
        <w:numPr>
          <w:ilvl w:val="2"/>
          <w:numId w:val="40"/>
        </w:numPr>
        <w:rPr>
          <w:rFonts w:ascii="Arial" w:cs="Arial" w:eastAsia="Arial" w:hAnsi="Arial"/>
          <w:sz w:val="17"/>
          <w:szCs w:val="17"/>
          <w:color w:val="auto"/>
        </w:rPr>
      </w:pPr>
      <w:r>
        <w:rPr>
          <w:rFonts w:ascii="Arial" w:cs="Arial" w:eastAsia="Arial" w:hAnsi="Arial"/>
          <w:sz w:val="17"/>
          <w:szCs w:val="17"/>
          <w:color w:val="auto"/>
        </w:rPr>
        <w:t xml:space="preserve">The L/C-BA Issuer shall act on behalf of the Revolving Lenders with respect to any Letters of Credit or Bankers’ Acceptance issued by it and the documents associated therewith, and the L/C-BA Issuer shall have all of the benefits and immunities (A) provided to the Administrative Agent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 respect to any acts taken or omissions suffered by the L/C-BA Issuer in connection with Letters of Credit and Bankers’ Acceptances issued by it or proposed to be issued by it and Issuer Documents pertaining to such Letters of Credit and Bankers’ Acceptances as fully as if the term “Administrative Agent” as used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included the L/C-BA Issuer with respect to such acts or omissions, and (B) as additionally provided herein with respect to the L/C-BA Issuer.</w:t>
      </w:r>
    </w:p>
    <w:p>
      <w:pPr>
        <w:spacing w:after="0" w:line="178" w:lineRule="exact"/>
        <w:rPr>
          <w:rFonts w:ascii="Arial" w:cs="Arial" w:eastAsia="Arial" w:hAnsi="Arial"/>
          <w:sz w:val="17"/>
          <w:szCs w:val="17"/>
          <w:color w:val="auto"/>
        </w:rPr>
      </w:pPr>
    </w:p>
    <w:p>
      <w:pPr>
        <w:ind w:left="704" w:hanging="704"/>
        <w:spacing w:after="0"/>
        <w:tabs>
          <w:tab w:leader="none" w:pos="7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Procedures for Issuance and Amendment of Letters of Credit; Auto-Extension Letters of Credit.</w:t>
      </w:r>
    </w:p>
    <w:p>
      <w:pPr>
        <w:spacing w:after="0" w:line="225" w:lineRule="exact"/>
        <w:rPr>
          <w:rFonts w:ascii="Arial" w:cs="Arial" w:eastAsia="Arial" w:hAnsi="Arial"/>
          <w:sz w:val="18"/>
          <w:szCs w:val="18"/>
          <w:color w:val="auto"/>
        </w:rPr>
      </w:pPr>
    </w:p>
    <w:p>
      <w:pPr>
        <w:jc w:val="both"/>
        <w:ind w:left="164" w:right="60" w:firstLine="647"/>
        <w:spacing w:after="0" w:line="286" w:lineRule="auto"/>
        <w:tabs>
          <w:tab w:leader="none" w:pos="1522" w:val="left"/>
        </w:tabs>
        <w:numPr>
          <w:ilvl w:val="2"/>
          <w:numId w:val="41"/>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Borrowing Agent delivered to the L/C-BA Issuer which, in the case of a Letter of Credit to be issued, shall be the L/C-BA Issuer as selected by the Borrowing Agent (with a copy to the Administrative Agent) in the form of a Letter of Credit Application, appropriately completed and signed by a Responsible Officer of the Borrowing Agent. Such Letter of Credit Application must be received by the L/C-BA Issuer and the Administrative Agent not later than</w:t>
      </w:r>
    </w:p>
    <w:p>
      <w:pPr>
        <w:spacing w:after="0" w:line="1" w:lineRule="exact"/>
        <w:rPr>
          <w:rFonts w:ascii="Arial" w:cs="Arial" w:eastAsia="Arial" w:hAnsi="Arial"/>
          <w:sz w:val="16"/>
          <w:szCs w:val="16"/>
          <w:color w:val="auto"/>
        </w:rPr>
      </w:pPr>
    </w:p>
    <w:p>
      <w:pPr>
        <w:ind w:left="164"/>
        <w:spacing w:after="0"/>
        <w:rPr>
          <w:rFonts w:ascii="Arial" w:cs="Arial" w:eastAsia="Arial" w:hAnsi="Arial"/>
          <w:sz w:val="16"/>
          <w:szCs w:val="16"/>
          <w:color w:val="auto"/>
        </w:rPr>
      </w:pPr>
      <w:r>
        <w:rPr>
          <w:rFonts w:ascii="Arial" w:cs="Arial" w:eastAsia="Arial" w:hAnsi="Arial"/>
          <w:sz w:val="18"/>
          <w:szCs w:val="18"/>
          <w:color w:val="auto"/>
        </w:rPr>
        <w:t>11:00 a.m. at least one Business Day</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4" w:right="60"/>
        <w:spacing w:after="0" w:line="268" w:lineRule="auto"/>
        <w:rPr>
          <w:sz w:val="20"/>
          <w:szCs w:val="20"/>
          <w:color w:val="auto"/>
        </w:rPr>
      </w:pPr>
      <w:r>
        <w:rPr>
          <w:rFonts w:ascii="Arial" w:cs="Arial" w:eastAsia="Arial" w:hAnsi="Arial"/>
          <w:sz w:val="17"/>
          <w:szCs w:val="17"/>
          <w:color w:val="auto"/>
        </w:rPr>
        <w:t>(or such later date and time as the Administrative Agent and the L/C-BA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applicable L/C-BA Issuer: (A) the proposed issuance date of the requested Letter of Credit (which shall be a Business Day); (B) the applicable Borrower or Restricted Subsidiary on whose account the Letter of Credit is being issued (which, in the absence of any such designation, shall be the Borrowing Agent); (C) the amount thereof; (D) the expiry date thereof; (E) the name and address of the beneficiary thereof; (F) the documents to be presented by such beneficiary in case of any drawing thereunder; (G) the full text of any certificate to be presented by such beneficiary in case of any drawing thereunder; (H) the purpose and nature of the requested Letter of Credit; and (I) such other matters as the L/C-BA Issuer may reasonably require. In the case of a request for an amendment of any outstanding Letter of Credit, such Letter of Credit Application shall specify in form and detail satisfactory to the L/C-BA Issuer (A) the Letter of Credit to be amended; (B) the proposed date of amendment thereof (which shall be a Business Day); (C) the nature of the proposed amendment; and (D) such other matters as the L/C-BA Issuer may reasonably require. Additionally, the Borrowing Agent shall, and shall cause any other applicable Borrower or Restricted Subsidiary to, furnish to the L/C-BA Issuer and the Administrative Agent such other documents and information pertaining to such requested Letter of Credit issuance or amendment, including any Issuer Documents, as the L/C-BA Issuer or the Administrative Agent may reasonably require.</w:t>
      </w:r>
    </w:p>
    <w:p>
      <w:pPr>
        <w:spacing w:after="0" w:line="185" w:lineRule="exact"/>
        <w:rPr>
          <w:sz w:val="20"/>
          <w:szCs w:val="20"/>
          <w:color w:val="auto"/>
        </w:rPr>
      </w:pPr>
    </w:p>
    <w:p>
      <w:pPr>
        <w:ind w:left="164" w:right="40" w:firstLine="647"/>
        <w:spacing w:after="0" w:line="288" w:lineRule="auto"/>
        <w:tabs>
          <w:tab w:leader="none" w:pos="1527"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L/C-BA Issuer will confirm with the Administrative Agent (by telephone or in writing) that the Administrative Agent has received a copy of such Letter of Credit Application from the Borrowing Agent and, if not, the L/C-BA Issuer will provide the Administrative Agent with a copy thereof. Unless the L/C-BA Issuer has received written notice from any Revolving Lender, the Administrative Agent or the Borrowing Agent, at least one Business Day prior to the requested date of issuance or amendment of the applicable Letter of Credit, that one or more applicable conditions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then be satisfied, then, subject to the terms and conditions hereof, the L/C-BA Issuer shall, on the requested date, issue a Letter of Credit for the account of the applicable Borrower (or the applicable Restricted Subsidiary) or enter into the applicable amendment, as the case may be, in each case in accordance with the L/C-BA Issuer’s usual and customary business practices. Immediately upon the issuance of each Letter of Credit, each Revolving Lender shall be deemed to, and hereby irrevocably and unconditionally agrees to, purchase from the L/C-BA Issuer a risk participation in such Letter of Credit in an amount equal to the product of such Revolving Lender’s Applicable Revolving Percentage times the amount of such Letter of Credit.</w:t>
      </w:r>
    </w:p>
    <w:p>
      <w:pPr>
        <w:spacing w:after="0" w:line="169" w:lineRule="exact"/>
        <w:rPr>
          <w:rFonts w:ascii="Arial" w:cs="Arial" w:eastAsia="Arial" w:hAnsi="Arial"/>
          <w:sz w:val="16"/>
          <w:szCs w:val="16"/>
          <w:color w:val="auto"/>
        </w:rPr>
      </w:pPr>
    </w:p>
    <w:p>
      <w:pPr>
        <w:ind w:left="164" w:right="80" w:firstLine="647"/>
        <w:spacing w:after="0" w:line="312" w:lineRule="auto"/>
        <w:tabs>
          <w:tab w:leader="none" w:pos="15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the Borrowing Agent so requests in any applicable Letter of Credit Application, the L/C-BA Issuer may, in its sole and absolute discretion, agree to issue a standby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L/C-BA Issuer to prevent any such extension at least once in each</w:t>
      </w:r>
    </w:p>
    <w:p>
      <w:pPr>
        <w:spacing w:after="0" w:line="14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4" w:right="220"/>
        <w:spacing w:after="0" w:line="302" w:lineRule="auto"/>
        <w:rPr>
          <w:sz w:val="20"/>
          <w:szCs w:val="20"/>
          <w:color w:val="auto"/>
        </w:rPr>
      </w:pPr>
      <w:r>
        <w:rPr>
          <w:rFonts w:ascii="Arial" w:cs="Arial" w:eastAsia="Arial" w:hAnsi="Arial"/>
          <w:sz w:val="16"/>
          <w:szCs w:val="16"/>
          <w:color w:val="auto"/>
        </w:rPr>
        <w:t>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w:t>
      </w:r>
      <w:r>
        <w:rPr>
          <w:rFonts w:ascii="Arial" w:cs="Arial" w:eastAsia="Arial" w:hAnsi="Arial"/>
          <w:sz w:val="16"/>
          <w:szCs w:val="16"/>
          <w:color w:val="auto"/>
        </w:rPr>
        <w:t>e”) in each such twelve-month period to be agreed upon at the time such Letter of Credit is issued. Unless otherwise directed by the L/C-BA Issuer, neither the Borrowing Agent nor the applicable Borrower (or applicable Restricted Subsidiary) shall be required to make a specific request to the L/C-BA Issuer for any such extension. Once an Auto-Extension Letter of Credit has been</w:t>
      </w:r>
    </w:p>
    <w:p>
      <w:pPr>
        <w:sectPr>
          <w:pgSz w:w="11900" w:h="16945" w:orient="portrait"/>
          <w:cols w:equalWidth="0" w:num="1">
            <w:col w:w="10764"/>
          </w:cols>
          <w:pgMar w:left="896" w:top="125" w:right="239" w:bottom="0" w:gutter="0" w:footer="0" w:header="0"/>
        </w:sectPr>
      </w:pPr>
    </w:p>
    <w:bookmarkStart w:id="29" w:name="page30"/>
    <w:bookmarkEnd w:id="29"/>
    <w:p>
      <w:pPr>
        <w:spacing w:after="0" w:line="137" w:lineRule="exact"/>
        <w:rPr>
          <w:sz w:val="20"/>
          <w:szCs w:val="20"/>
          <w:color w:val="auto"/>
        </w:rPr>
      </w:pPr>
    </w:p>
    <w:p>
      <w:pPr>
        <w:ind w:left="164" w:right="20"/>
        <w:spacing w:after="0" w:line="286" w:lineRule="auto"/>
        <w:rPr>
          <w:sz w:val="20"/>
          <w:szCs w:val="20"/>
          <w:color w:val="auto"/>
        </w:rPr>
      </w:pPr>
      <w:r>
        <w:rPr>
          <w:rFonts w:ascii="Arial" w:cs="Arial" w:eastAsia="Arial" w:hAnsi="Arial"/>
          <w:sz w:val="16"/>
          <w:szCs w:val="16"/>
          <w:color w:val="auto"/>
        </w:rPr>
        <w:t xml:space="preserve">issued, the Revolving Lenders shall be deemed to have authorized (but may not require) the L/C-BA Issuer to permit the extension of such Letter of Credit at any time to an expiry date not later than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L/C-BA Issuer shall not permit any such extension if (A) the L/C-BA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w:t>
      </w:r>
    </w:p>
    <w:p>
      <w:pPr>
        <w:spacing w:after="0" w:line="2" w:lineRule="exact"/>
        <w:rPr>
          <w:sz w:val="20"/>
          <w:szCs w:val="20"/>
          <w:color w:val="auto"/>
        </w:rPr>
      </w:pPr>
    </w:p>
    <w:p>
      <w:pPr>
        <w:ind w:left="164" w:right="20" w:hanging="2"/>
        <w:spacing w:after="0" w:line="253" w:lineRule="auto"/>
        <w:tabs>
          <w:tab w:leader="none" w:pos="449"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it has received notice (which may be by telephone or in writing) on or before the day that is seven (7) Business Days before the Non-Extension Notice Date (1) from the Administrative Agent that the Required Revolving Lenders have elected not to permit such extension or (2) from the Administrative Agent, any Revolving Lender, the Borrowing Agent or the Borrowers (or applicable Restricted Subsidiary) for whose account the Letter of Credit was issued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the L/C-BA Issuer not to permit such extension.</w:t>
      </w:r>
    </w:p>
    <w:p>
      <w:pPr>
        <w:spacing w:after="0" w:line="191" w:lineRule="exact"/>
        <w:rPr>
          <w:rFonts w:ascii="Arial" w:cs="Arial" w:eastAsia="Arial" w:hAnsi="Arial"/>
          <w:sz w:val="18"/>
          <w:szCs w:val="18"/>
          <w:color w:val="auto"/>
        </w:rPr>
      </w:pPr>
    </w:p>
    <w:p>
      <w:pPr>
        <w:ind w:left="164" w:right="20" w:firstLine="647"/>
        <w:spacing w:after="0" w:line="286" w:lineRule="auto"/>
        <w:tabs>
          <w:tab w:leader="none" w:pos="1522" w:val="left"/>
        </w:tabs>
        <w:numPr>
          <w:ilvl w:val="2"/>
          <w:numId w:val="43"/>
        </w:numPr>
        <w:rPr>
          <w:rFonts w:ascii="Arial" w:cs="Arial" w:eastAsia="Arial" w:hAnsi="Arial"/>
          <w:sz w:val="17"/>
          <w:szCs w:val="17"/>
          <w:color w:val="auto"/>
        </w:rPr>
      </w:pPr>
      <w:r>
        <w:rPr>
          <w:rFonts w:ascii="Arial" w:cs="Arial" w:eastAsia="Arial" w:hAnsi="Arial"/>
          <w:sz w:val="17"/>
          <w:szCs w:val="17"/>
          <w:color w:val="auto"/>
        </w:rPr>
        <w:t>Promptly after its delivery of any Letter of Credit or any amendment to a Letter of Credit to an advising bank with respect thereto or to the beneficiary thereof, the L/C-BA Issuer will also deliver to the Borrowing Agent (for further delivery to the applicable Borrower or Restricted Subsidiary) and the Administrative Agent a true and complete copy of such Letter of Credit or amendment.</w:t>
      </w:r>
    </w:p>
    <w:p>
      <w:pPr>
        <w:spacing w:after="0" w:line="165" w:lineRule="exact"/>
        <w:rPr>
          <w:rFonts w:ascii="Arial" w:cs="Arial" w:eastAsia="Arial" w:hAnsi="Arial"/>
          <w:sz w:val="17"/>
          <w:szCs w:val="17"/>
          <w:color w:val="auto"/>
        </w:rPr>
      </w:pPr>
    </w:p>
    <w:p>
      <w:pPr>
        <w:ind w:left="704" w:hanging="704"/>
        <w:spacing w:after="0"/>
        <w:tabs>
          <w:tab w:leader="none" w:pos="7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Procedure for Issuance of Clean Bankers’ Acceptances.</w:t>
      </w:r>
    </w:p>
    <w:p>
      <w:pPr>
        <w:spacing w:after="0" w:line="225" w:lineRule="exact"/>
        <w:rPr>
          <w:rFonts w:ascii="Arial" w:cs="Arial" w:eastAsia="Arial" w:hAnsi="Arial"/>
          <w:sz w:val="18"/>
          <w:szCs w:val="18"/>
          <w:color w:val="auto"/>
        </w:rPr>
      </w:pPr>
    </w:p>
    <w:p>
      <w:pPr>
        <w:ind w:left="164" w:right="40" w:firstLine="647"/>
        <w:spacing w:after="0" w:line="289" w:lineRule="auto"/>
        <w:tabs>
          <w:tab w:leader="none" w:pos="1522" w:val="left"/>
        </w:tabs>
        <w:numPr>
          <w:ilvl w:val="2"/>
          <w:numId w:val="44"/>
        </w:numPr>
        <w:rPr>
          <w:rFonts w:ascii="Arial" w:cs="Arial" w:eastAsia="Arial" w:hAnsi="Arial"/>
          <w:sz w:val="16"/>
          <w:szCs w:val="16"/>
          <w:color w:val="auto"/>
        </w:rPr>
      </w:pPr>
      <w:r>
        <w:rPr>
          <w:rFonts w:ascii="Arial" w:cs="Arial" w:eastAsia="Arial" w:hAnsi="Arial"/>
          <w:sz w:val="16"/>
          <w:szCs w:val="16"/>
          <w:color w:val="auto"/>
        </w:rPr>
        <w:t>Each Clean Bankers’ Acceptance shall be issued upon the request of the Borrowing Agent delivered to the L/C-BA Issuer (with a copy to the Administrative Agent) in the form of a Bankers’ Acceptance Request, appropriately completed and signed by a Responsible Officer of the Borrowing Agent. Bankers’ Acceptances Requests may be delivered and accepted electronically. Such Bankers’ Acceptance Request must be received by the L/C-BA Issuer and the Administrative Agent not later than 2:00 p.m. (or such later date and time as the L/C-BA Issuer may agree in a particular instance in its sole discretion) of the proposed issuance date. Each Bankers’ Acceptance Request shall specify in form and detail satisfactory to the L/C-BA Issuer: (A) the proposed issuance date of the requested Clean Bankers’ Acceptance (which shall be a Business Day); (B) the amount thereof; (C) the expiry date thereof; (D) the shipping information; (E) a description of the fuel; and (F) such other matters as the L/C-BA Issuer may reasonably require. Each Clean Bankers’ Acceptance shall be in a minimum increment $50,000, shall be endorsed in blank, shall cover the purchase or sale of fuel, the payment of freight or the financing of insurance, port charges and</w:t>
      </w:r>
    </w:p>
    <w:p>
      <w:pPr>
        <w:spacing w:after="0" w:line="16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4" w:right="360"/>
        <w:spacing w:after="0" w:line="277" w:lineRule="auto"/>
        <w:rPr>
          <w:sz w:val="20"/>
          <w:szCs w:val="20"/>
          <w:color w:val="auto"/>
        </w:rPr>
      </w:pPr>
      <w:r>
        <w:rPr>
          <w:rFonts w:ascii="Arial" w:cs="Arial" w:eastAsia="Arial" w:hAnsi="Arial"/>
          <w:sz w:val="18"/>
          <w:szCs w:val="18"/>
          <w:color w:val="auto"/>
        </w:rPr>
        <w:t>advances on purchases, shall mature on a Business Day up to ninety (90) days after the date thereof, and shall not be payable prior to its stated maturity date.</w:t>
      </w:r>
    </w:p>
    <w:p>
      <w:pPr>
        <w:spacing w:after="0" w:line="170" w:lineRule="exact"/>
        <w:rPr>
          <w:sz w:val="20"/>
          <w:szCs w:val="20"/>
          <w:color w:val="auto"/>
        </w:rPr>
      </w:pPr>
    </w:p>
    <w:p>
      <w:pPr>
        <w:ind w:left="164" w:firstLine="647"/>
        <w:spacing w:after="0" w:line="270" w:lineRule="auto"/>
        <w:tabs>
          <w:tab w:leader="none" w:pos="1527" w:val="left"/>
        </w:tabs>
        <w:numPr>
          <w:ilvl w:val="2"/>
          <w:numId w:val="45"/>
        </w:numPr>
        <w:rPr>
          <w:rFonts w:ascii="Arial" w:cs="Arial" w:eastAsia="Arial" w:hAnsi="Arial"/>
          <w:sz w:val="17"/>
          <w:szCs w:val="17"/>
          <w:color w:val="auto"/>
        </w:rPr>
      </w:pPr>
      <w:r>
        <w:rPr>
          <w:rFonts w:ascii="Arial" w:cs="Arial" w:eastAsia="Arial" w:hAnsi="Arial"/>
          <w:sz w:val="17"/>
          <w:szCs w:val="17"/>
          <w:color w:val="auto"/>
        </w:rPr>
        <w:t>Promptly after receipt of any Bankers’ Acceptance Request, the L/C-BA Issuer will confirm with the Administrative Agent (by telephone or in writing) that the Administrative Agent has received a copy of such Bankers’ Acceptance Request from the Borrowing Agent and, if not, the L/C-BA Issuer will provide the Administrative Agent with a copy thereof. Upon receipt by the L/C-BA Issuer of confirmation from the Administrative Agent that the requested issuance is permitted in accordance with the terms hereof, then, subject to the terms and conditions hereof, the L/C-BA Issuer shall, on the requested date, issue a Clean Bankers’ Acceptance for the account of the applicable Borrower or Restricted Subsidiary, in each case in accordance with the L/C-BA Issuer’s usual and customary business practices. Immediately upon the issuance of each Clean Bankers’ Acceptance, each Revolving Lender shall be deemed to, and hereby irrevocably and unconditionally agrees to, purchase from the L/C-BA Issuer a risk participation in such Clean Bankers’ Acceptance in an amount equal to the product of such Revolving Lender’s Applicable Revolving Percentage times the amount of such Clean Bankers’ Acceptance.</w:t>
      </w:r>
    </w:p>
    <w:p>
      <w:pPr>
        <w:spacing w:after="0" w:line="181" w:lineRule="exact"/>
        <w:rPr>
          <w:rFonts w:ascii="Arial" w:cs="Arial" w:eastAsia="Arial" w:hAnsi="Arial"/>
          <w:sz w:val="17"/>
          <w:szCs w:val="17"/>
          <w:color w:val="auto"/>
        </w:rPr>
      </w:pPr>
    </w:p>
    <w:p>
      <w:pPr>
        <w:ind w:left="164" w:right="100" w:firstLine="647"/>
        <w:spacing w:after="0" w:line="286" w:lineRule="auto"/>
        <w:tabs>
          <w:tab w:leader="none" w:pos="1532" w:val="left"/>
        </w:tabs>
        <w:numPr>
          <w:ilvl w:val="2"/>
          <w:numId w:val="45"/>
        </w:numPr>
        <w:rPr>
          <w:rFonts w:ascii="Arial" w:cs="Arial" w:eastAsia="Arial" w:hAnsi="Arial"/>
          <w:sz w:val="16"/>
          <w:szCs w:val="16"/>
          <w:color w:val="auto"/>
        </w:rPr>
      </w:pPr>
      <w:r>
        <w:rPr>
          <w:rFonts w:ascii="Arial" w:cs="Arial" w:eastAsia="Arial" w:hAnsi="Arial"/>
          <w:sz w:val="16"/>
          <w:szCs w:val="16"/>
          <w:color w:val="auto"/>
        </w:rPr>
        <w:t xml:space="preserve">In the event that the L/C-BA Issuer presents a draft on a matured Clean Bankers’ Acceptance for payment and the applicable Borrower or Restricted Subsidiary, at the time of such presentment, does not have funds on deposit in its account at the Administrative Agent sufficient to pay the entire amount of the draft (including any charges or expenses paid or incurred by the L/C-BA Issuer in connection with such draft), the Administrative Agent shall deem this to be an Unreimbursed Amount and proceed in accordance with the provisions of </w:t>
      </w:r>
      <w:r>
        <w:rPr>
          <w:rFonts w:ascii="Arial" w:cs="Arial" w:eastAsia="Arial" w:hAnsi="Arial"/>
          <w:sz w:val="16"/>
          <w:szCs w:val="16"/>
          <w:u w:val="single" w:color="auto"/>
          <w:color w:val="auto"/>
        </w:rPr>
        <w:t>Section 2.03(d)</w:t>
      </w:r>
    </w:p>
    <w:p>
      <w:pPr>
        <w:spacing w:after="0" w:line="1" w:lineRule="exact"/>
        <w:rPr>
          <w:rFonts w:ascii="Arial" w:cs="Arial" w:eastAsia="Arial" w:hAnsi="Arial"/>
          <w:sz w:val="16"/>
          <w:szCs w:val="16"/>
          <w:color w:val="auto"/>
        </w:rPr>
      </w:pPr>
    </w:p>
    <w:p>
      <w:pPr>
        <w:ind w:left="484" w:hanging="322"/>
        <w:spacing w:after="0"/>
        <w:tabs>
          <w:tab w:leader="none" w:pos="484" w:val="left"/>
        </w:tabs>
        <w:numPr>
          <w:ilvl w:val="1"/>
          <w:numId w:val="46"/>
        </w:numPr>
        <w:rPr>
          <w:rFonts w:ascii="Arial" w:cs="Arial" w:eastAsia="Arial" w:hAnsi="Arial"/>
          <w:sz w:val="18"/>
          <w:szCs w:val="18"/>
          <w:u w:val="single" w:color="auto"/>
          <w:color w:val="auto"/>
        </w:rPr>
      </w:pPr>
      <w:r>
        <w:rPr>
          <w:rFonts w:ascii="Arial" w:cs="Arial" w:eastAsia="Arial" w:hAnsi="Arial"/>
          <w:sz w:val="18"/>
          <w:szCs w:val="18"/>
          <w:color w:val="auto"/>
        </w:rPr>
        <w:t>which relate to a Bankers’ Acceptance not paid on maturity.</w:t>
      </w:r>
    </w:p>
    <w:p>
      <w:pPr>
        <w:spacing w:after="0" w:line="210" w:lineRule="exact"/>
        <w:rPr>
          <w:rFonts w:ascii="Arial" w:cs="Arial" w:eastAsia="Arial" w:hAnsi="Arial"/>
          <w:sz w:val="18"/>
          <w:szCs w:val="18"/>
          <w:u w:val="single" w:color="auto"/>
          <w:color w:val="auto"/>
        </w:rPr>
      </w:pPr>
    </w:p>
    <w:p>
      <w:pPr>
        <w:ind w:left="704" w:hanging="704"/>
        <w:spacing w:after="0"/>
        <w:tabs>
          <w:tab w:leader="none" w:pos="7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Drawings and Reimbursements; Funding of Participations.</w:t>
      </w:r>
    </w:p>
    <w:p>
      <w:pPr>
        <w:spacing w:after="0" w:line="225" w:lineRule="exact"/>
        <w:rPr>
          <w:rFonts w:ascii="Arial" w:cs="Arial" w:eastAsia="Arial" w:hAnsi="Arial"/>
          <w:sz w:val="18"/>
          <w:szCs w:val="18"/>
          <w:color w:val="auto"/>
        </w:rPr>
      </w:pPr>
    </w:p>
    <w:p>
      <w:pPr>
        <w:ind w:left="164" w:right="100" w:firstLine="647"/>
        <w:spacing w:after="0" w:line="269" w:lineRule="auto"/>
        <w:tabs>
          <w:tab w:leader="none" w:pos="1522" w:val="left"/>
        </w:tabs>
        <w:numPr>
          <w:ilvl w:val="2"/>
          <w:numId w:val="47"/>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a drawing or, with respect to any Acceptance Credit, presentation of documents under such Letter of Credit, or any presentation for payment of a Bankers’ Acceptance, the L/C-BA Issuer shall notify the Borrowing Agent (for itself and the applicable Borrower) and the Administrative Agent thereof. Not later than 12:00 noon on the date of any payment by an L/C-BA Issuer under a Letter of Credit or Bankers’ Acceptance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xml:space="preserve">”), the applicable Borrower shall reimburse the L/C-BA Issuer in an amount equal to the amount of such drawing or Bankers’ Acceptance,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WFS Europe and WFS Singapore shall have no reimbursement obligations in connection with Letters of Credit or Bankers’ Acceptances issued solely for the account of WFS or any Domestic Subsidiary. If the applicable Borrower fails to so reimburse the L/C-BA Issuer by such time, the L/C-BA Issuer shall promptly notify the Administrative Agent thereof, and the Administrative Agent shall promptly thereafter notify each Revolving Lender of the Honor Date, the amount of the unreimbursed drawing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and the amount of such Revolving Lender’s Applicable Revolving Percentage thereof. In such event, the Borrowing Agent shall be deemed to have requested on behalf of such applicable</w:t>
      </w:r>
    </w:p>
    <w:p>
      <w:pPr>
        <w:spacing w:after="0" w:line="18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4" w:right="20"/>
        <w:spacing w:after="0" w:line="255" w:lineRule="auto"/>
        <w:rPr>
          <w:sz w:val="20"/>
          <w:szCs w:val="20"/>
          <w:color w:val="auto"/>
        </w:rPr>
      </w:pPr>
      <w:r>
        <w:rPr>
          <w:rFonts w:ascii="Arial" w:cs="Arial" w:eastAsia="Arial" w:hAnsi="Arial"/>
          <w:sz w:val="18"/>
          <w:szCs w:val="18"/>
          <w:color w:val="auto"/>
        </w:rPr>
        <w:t xml:space="preserve">Borrower a Revolving Borrowing of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amount of the unutilized portion of the Aggregate Revolving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Committed Loan Notice). Any notice given by the L/C-BA Issuer or the Administrative Agent pursuant to this </w:t>
      </w:r>
      <w:r>
        <w:rPr>
          <w:rFonts w:ascii="Arial" w:cs="Arial" w:eastAsia="Arial" w:hAnsi="Arial"/>
          <w:sz w:val="18"/>
          <w:szCs w:val="18"/>
          <w:u w:val="single" w:color="auto"/>
          <w:color w:val="auto"/>
        </w:rPr>
        <w:t>Section 2.03(d)(i)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93" w:lineRule="exact"/>
        <w:rPr>
          <w:sz w:val="20"/>
          <w:szCs w:val="20"/>
          <w:color w:val="auto"/>
        </w:rPr>
      </w:pPr>
    </w:p>
    <w:p>
      <w:pPr>
        <w:ind w:left="164" w:right="140" w:firstLine="647"/>
        <w:spacing w:after="0" w:line="342" w:lineRule="auto"/>
        <w:tabs>
          <w:tab w:leader="none" w:pos="1527"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Each Revolving Lender shall upon any notice pursuant to </w:t>
      </w:r>
      <w:r>
        <w:rPr>
          <w:rFonts w:ascii="Arial" w:cs="Arial" w:eastAsia="Arial" w:hAnsi="Arial"/>
          <w:sz w:val="16"/>
          <w:szCs w:val="16"/>
          <w:u w:val="single" w:color="auto"/>
          <w:color w:val="auto"/>
        </w:rPr>
        <w:t>Section 2.03(d)(i)</w:t>
      </w:r>
      <w:r>
        <w:rPr>
          <w:rFonts w:ascii="Arial" w:cs="Arial" w:eastAsia="Arial" w:hAnsi="Arial"/>
          <w:sz w:val="16"/>
          <w:szCs w:val="16"/>
          <w:color w:val="auto"/>
        </w:rPr>
        <w:t xml:space="preserve"> make funds available to the Administrative Agent for the account of the L/C-BA Issuer at the Administrative Agent’s Office in an amount equal to its Applicable Revolving Percentage of the</w:t>
      </w:r>
    </w:p>
    <w:p>
      <w:pPr>
        <w:sectPr>
          <w:pgSz w:w="11900" w:h="16975" w:orient="portrait"/>
          <w:cols w:equalWidth="0" w:num="1">
            <w:col w:w="10764"/>
          </w:cols>
          <w:pgMar w:left="896" w:top="125" w:right="239" w:bottom="0" w:gutter="0" w:footer="0" w:header="0"/>
        </w:sectPr>
      </w:pPr>
    </w:p>
    <w:bookmarkStart w:id="30" w:name="page31"/>
    <w:bookmarkEnd w:id="30"/>
    <w:p>
      <w:pPr>
        <w:spacing w:after="0" w:line="114" w:lineRule="exact"/>
        <w:rPr>
          <w:sz w:val="20"/>
          <w:szCs w:val="20"/>
          <w:color w:val="auto"/>
        </w:rPr>
      </w:pPr>
    </w:p>
    <w:p>
      <w:pPr>
        <w:ind w:left="820" w:right="60"/>
        <w:spacing w:after="0" w:line="286" w:lineRule="auto"/>
        <w:rPr>
          <w:sz w:val="20"/>
          <w:szCs w:val="20"/>
          <w:color w:val="auto"/>
        </w:rPr>
      </w:pPr>
      <w:r>
        <w:rPr>
          <w:rFonts w:ascii="Arial" w:cs="Arial" w:eastAsia="Arial" w:hAnsi="Arial"/>
          <w:sz w:val="17"/>
          <w:szCs w:val="17"/>
          <w:color w:val="auto"/>
        </w:rPr>
        <w:t xml:space="preserve">Unreimbursed Amount not later than 2:00 p.m. on the Business Day specified in such notice by the Administrative Agent, whereupon, subject to the provisions of </w:t>
      </w:r>
      <w:r>
        <w:rPr>
          <w:rFonts w:ascii="Arial" w:cs="Arial" w:eastAsia="Arial" w:hAnsi="Arial"/>
          <w:sz w:val="17"/>
          <w:szCs w:val="17"/>
          <w:u w:val="single" w:color="auto"/>
          <w:color w:val="auto"/>
        </w:rPr>
        <w:t>Section 2.03(d)(iii)</w:t>
      </w:r>
      <w:r>
        <w:rPr>
          <w:rFonts w:ascii="Arial" w:cs="Arial" w:eastAsia="Arial" w:hAnsi="Arial"/>
          <w:sz w:val="17"/>
          <w:szCs w:val="17"/>
          <w:color w:val="auto"/>
        </w:rPr>
        <w:t>, each Revolving Lender that so makes funds available shall be deemed to have made a Base Rate Loan to the applicable Borrower in such amount. The Administrative Agent shall remit the funds so received to the L/C-BA Issuer.</w:t>
      </w:r>
    </w:p>
    <w:p>
      <w:pPr>
        <w:spacing w:after="0" w:line="166" w:lineRule="exact"/>
        <w:rPr>
          <w:sz w:val="20"/>
          <w:szCs w:val="20"/>
          <w:color w:val="auto"/>
        </w:rPr>
      </w:pPr>
    </w:p>
    <w:p>
      <w:pPr>
        <w:ind w:left="820" w:right="40" w:firstLine="647"/>
        <w:spacing w:after="0" w:line="255" w:lineRule="auto"/>
        <w:tabs>
          <w:tab w:leader="none" w:pos="21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Revolving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cannot be satisfied or for any other reason, the applicable Borrower shall be deemed to have incurred from the L/C-BA Issuer an L/C-BA Borrowing in the amount of the Unreimbursed Amount that is not so refinanced, which L/C-BA Borrowing shall be due and payable on demand (together with interest) and shall bear interest at the Default Rate. In such event, each Revolving Lender’s payment to the Administrative Agent for the account of the L/C-BA Issuer pursuant to </w:t>
      </w:r>
      <w:r>
        <w:rPr>
          <w:rFonts w:ascii="Arial" w:cs="Arial" w:eastAsia="Arial" w:hAnsi="Arial"/>
          <w:sz w:val="18"/>
          <w:szCs w:val="18"/>
          <w:u w:val="single" w:color="auto"/>
          <w:color w:val="auto"/>
        </w:rPr>
        <w:t>Section 2.03(d)(ii)</w:t>
      </w:r>
      <w:r>
        <w:rPr>
          <w:rFonts w:ascii="Arial" w:cs="Arial" w:eastAsia="Arial" w:hAnsi="Arial"/>
          <w:sz w:val="18"/>
          <w:szCs w:val="18"/>
          <w:color w:val="auto"/>
        </w:rPr>
        <w:t xml:space="preserve"> shall be deemed payment in respect of its participation in such L/C-BA Borrowing and shall constitute an L/C-BA Advance from such Revolving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820" w:right="240" w:firstLine="647"/>
        <w:spacing w:after="0" w:line="286" w:lineRule="auto"/>
        <w:tabs>
          <w:tab w:leader="none" w:pos="2178"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Until each Revolving Lender funds its Revolving Loan or L/C-BA Advance pursuant to this </w:t>
      </w:r>
      <w:r>
        <w:rPr>
          <w:rFonts w:ascii="Arial" w:cs="Arial" w:eastAsia="Arial" w:hAnsi="Arial"/>
          <w:sz w:val="17"/>
          <w:szCs w:val="17"/>
          <w:u w:val="single" w:color="auto"/>
          <w:color w:val="auto"/>
        </w:rPr>
        <w:t>Section 2.03(d)</w:t>
      </w:r>
      <w:r>
        <w:rPr>
          <w:rFonts w:ascii="Arial" w:cs="Arial" w:eastAsia="Arial" w:hAnsi="Arial"/>
          <w:sz w:val="17"/>
          <w:szCs w:val="17"/>
          <w:color w:val="auto"/>
        </w:rPr>
        <w:t xml:space="preserve"> to reimburse the L/C-BA Issuer for any amount drawn under any Letter of Credit or payments made on any Bankers’ Acceptance, interest in respect of such Revolving Lender’s Applicable Revolving Percentage of such amount shall be solely for the account of the L/C-BA Issuer.</w:t>
      </w:r>
    </w:p>
    <w:p>
      <w:pPr>
        <w:spacing w:after="0" w:line="165" w:lineRule="exact"/>
        <w:rPr>
          <w:rFonts w:ascii="Arial" w:cs="Arial" w:eastAsia="Arial" w:hAnsi="Arial"/>
          <w:sz w:val="17"/>
          <w:szCs w:val="17"/>
          <w:color w:val="auto"/>
        </w:rPr>
      </w:pPr>
    </w:p>
    <w:p>
      <w:pPr>
        <w:ind w:left="820" w:right="80" w:firstLine="647"/>
        <w:spacing w:after="0" w:line="255" w:lineRule="auto"/>
        <w:tabs>
          <w:tab w:leader="none" w:pos="21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Each Revolving Lender’s obligation to make Revolving Loans or L/C-BA Advances to reimburse the L/C-BA Issuer for amounts drawn under Letters of Credit and payments made on Bankers’ Acceptances, as contemplated by this </w:t>
      </w:r>
      <w:r>
        <w:rPr>
          <w:rFonts w:ascii="Arial" w:cs="Arial" w:eastAsia="Arial" w:hAnsi="Arial"/>
          <w:sz w:val="18"/>
          <w:szCs w:val="18"/>
          <w:u w:val="single" w:color="auto"/>
          <w:color w:val="auto"/>
        </w:rPr>
        <w:t>Section 2.03(d)</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Revolving Lender may have against the L/C-BA Issuer, any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Revolving Lender’s obligation to make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60"/>
        <w:spacing w:after="0" w:line="259" w:lineRule="auto"/>
        <w:rPr>
          <w:sz w:val="20"/>
          <w:szCs w:val="20"/>
          <w:color w:val="auto"/>
        </w:rPr>
      </w:pPr>
      <w:r>
        <w:rPr>
          <w:rFonts w:ascii="Arial" w:cs="Arial" w:eastAsia="Arial" w:hAnsi="Arial"/>
          <w:sz w:val="18"/>
          <w:szCs w:val="18"/>
          <w:color w:val="auto"/>
        </w:rPr>
        <w:t xml:space="preserve">Revolving Loans pursuant to this </w:t>
      </w:r>
      <w:r>
        <w:rPr>
          <w:rFonts w:ascii="Arial" w:cs="Arial" w:eastAsia="Arial" w:hAnsi="Arial"/>
          <w:sz w:val="18"/>
          <w:szCs w:val="18"/>
          <w:u w:val="single" w:color="auto"/>
          <w:color w:val="auto"/>
        </w:rPr>
        <w:t>Section 2.03(d)</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the Borrowing Agent of a Committed Loan Notice). 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no such making of an L/C-BA Advance shall relieve or otherwise impair the joint and several obligation of the Borrowers to reimburse the L/C-BA Issuer for the amount of any payment made by the L/C-BA Issuer under any Letter of Credit or Bankers’ Acceptance, together with interest as provided herein.</w:t>
      </w:r>
    </w:p>
    <w:p>
      <w:pPr>
        <w:spacing w:after="0" w:line="187" w:lineRule="exact"/>
        <w:rPr>
          <w:sz w:val="20"/>
          <w:szCs w:val="20"/>
          <w:color w:val="auto"/>
        </w:rPr>
      </w:pPr>
    </w:p>
    <w:p>
      <w:pPr>
        <w:ind w:left="820" w:right="20" w:firstLine="647"/>
        <w:spacing w:after="0" w:line="288" w:lineRule="auto"/>
        <w:tabs>
          <w:tab w:leader="none" w:pos="2178"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If any Revolving Lender fails to make available to the Administrative Agent for the account of the L/C-BA Issuer any amount required to be paid by such Revolving Lender pursuant to the foregoing provisions of this </w:t>
      </w:r>
      <w:r>
        <w:rPr>
          <w:rFonts w:ascii="Arial" w:cs="Arial" w:eastAsia="Arial" w:hAnsi="Arial"/>
          <w:sz w:val="16"/>
          <w:szCs w:val="16"/>
          <w:u w:val="single" w:color="auto"/>
          <w:color w:val="auto"/>
        </w:rPr>
        <w:t>Section 2.03(d)</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2.03(d)</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the L/C-BA Issuer shall be entitled to recover from such Revolving Lender (acting through the Administrative Agent), on demand, such amount with interest thereon for the period from the date such payment is required to the date on which such payment is immediately available to the L/C-BA Issuer at a rate per annum equal to the greater of the Federal Funds Rate and a rate determined by the L/C-BA Issuer in accordance with banking industry rules on interbank compensation, plus any administrative, processing or similar fees customarily charged by the L/C-BA Issuer in connection with the foregoing. If such Revolving Lender pays such amount (with interest and fees as aforesaid), the amount so paid shall constitute such Revolving Lender’s Revolving Loan included in the relevant Borrowing or L/C-BA Advance in respect of the relevant L/C-BA Borrowing, as the case may be. A certificate of the L/C-BA Issuer submitted to any Revolving Lender (through the Administrative Agent) with respect to any amounts owing under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be conclusive absent manifest error.</w:t>
      </w:r>
    </w:p>
    <w:p>
      <w:pPr>
        <w:spacing w:after="0" w:line="169" w:lineRule="exact"/>
        <w:rPr>
          <w:rFonts w:ascii="Arial" w:cs="Arial" w:eastAsia="Arial" w:hAnsi="Arial"/>
          <w:sz w:val="16"/>
          <w:szCs w:val="16"/>
          <w:color w:val="auto"/>
        </w:rPr>
      </w:pPr>
    </w:p>
    <w:p>
      <w:pPr>
        <w:ind w:left="1360" w:hanging="704"/>
        <w:spacing w:after="0"/>
        <w:tabs>
          <w:tab w:leader="none" w:pos="1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Repayment of Participations.</w:t>
      </w:r>
    </w:p>
    <w:p>
      <w:pPr>
        <w:spacing w:after="0" w:line="225" w:lineRule="exact"/>
        <w:rPr>
          <w:rFonts w:ascii="Arial" w:cs="Arial" w:eastAsia="Arial" w:hAnsi="Arial"/>
          <w:sz w:val="18"/>
          <w:szCs w:val="18"/>
          <w:color w:val="auto"/>
        </w:rPr>
      </w:pPr>
    </w:p>
    <w:p>
      <w:pPr>
        <w:ind w:left="820" w:right="120" w:firstLine="647"/>
        <w:spacing w:after="0" w:line="255" w:lineRule="auto"/>
        <w:tabs>
          <w:tab w:leader="none" w:pos="2178"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At any time after the L/C-BA Issuer has made a payment under any Letter of Credit or Bankers’ Acceptance and has received from any Revolving Lender such Revolving Lender’s L/C-BA Advance in respect of such payment in accordance with </w:t>
      </w:r>
      <w:r>
        <w:rPr>
          <w:rFonts w:ascii="Arial" w:cs="Arial" w:eastAsia="Arial" w:hAnsi="Arial"/>
          <w:sz w:val="18"/>
          <w:szCs w:val="18"/>
          <w:u w:val="single" w:color="auto"/>
          <w:color w:val="auto"/>
        </w:rPr>
        <w:t>Section 2.03(d)</w:t>
      </w:r>
      <w:r>
        <w:rPr>
          <w:rFonts w:ascii="Arial" w:cs="Arial" w:eastAsia="Arial" w:hAnsi="Arial"/>
          <w:sz w:val="18"/>
          <w:szCs w:val="18"/>
          <w:color w:val="auto"/>
        </w:rPr>
        <w:t>, if the Administrative Agent receives for the account of the L/C-BA Issuer any payment in respect of the related Unreimbursed Amount or interest thereon (whether directly from the Borrowing Agent, the applicable Borrower or otherwise, including proceeds of Cash Collateral applied thereto by the Administrative Agent), the Administrative Agent will distribute to such Revolving Lender its Applicable Revolving Percentage thereof in the same funds as those received by the Administrative Agent.</w:t>
      </w:r>
    </w:p>
    <w:p>
      <w:pPr>
        <w:spacing w:after="0" w:line="193" w:lineRule="exact"/>
        <w:rPr>
          <w:rFonts w:ascii="Arial" w:cs="Arial" w:eastAsia="Arial" w:hAnsi="Arial"/>
          <w:sz w:val="18"/>
          <w:szCs w:val="18"/>
          <w:color w:val="auto"/>
        </w:rPr>
      </w:pPr>
    </w:p>
    <w:p>
      <w:pPr>
        <w:ind w:left="820" w:right="60" w:firstLine="647"/>
        <w:spacing w:after="0" w:line="276" w:lineRule="auto"/>
        <w:tabs>
          <w:tab w:leader="none" w:pos="2183"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If any payment received by the Administrative Agent for the account of the L/C-BA Issuer pursuant to </w:t>
      </w:r>
      <w:r>
        <w:rPr>
          <w:rFonts w:ascii="Arial" w:cs="Arial" w:eastAsia="Arial" w:hAnsi="Arial"/>
          <w:sz w:val="17"/>
          <w:szCs w:val="17"/>
          <w:u w:val="single" w:color="auto"/>
          <w:color w:val="auto"/>
        </w:rPr>
        <w:t>Section 2.03(d)(i)</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(including pursuant to any settlement entered into by the L/C-BA Issuer in its discretion), each Revolving Lender shall pay to the Administrative Agent for the account of the L/C-BA Issuer its Applicable Revolving Percentage thereof on demand of the Administrative Agent, plus interest thereon from the date of such demand to the date such amount is returned by such Revolving Lender, at a rate per annum equal to the Federal Funds Rate from time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80"/>
        <w:spacing w:after="0" w:line="277" w:lineRule="auto"/>
        <w:rPr>
          <w:sz w:val="20"/>
          <w:szCs w:val="20"/>
          <w:color w:val="auto"/>
        </w:rPr>
      </w:pPr>
      <w:r>
        <w:rPr>
          <w:rFonts w:ascii="Arial" w:cs="Arial" w:eastAsia="Arial" w:hAnsi="Arial"/>
          <w:sz w:val="18"/>
          <w:szCs w:val="18"/>
          <w:color w:val="auto"/>
        </w:rPr>
        <w:t>time in effect. The obligations of the Revolving Lenders under this clause shall survive the payment in full of the Obligations and the termination of this Agreement.</w:t>
      </w:r>
    </w:p>
    <w:p>
      <w:pPr>
        <w:spacing w:after="0" w:line="170" w:lineRule="exact"/>
        <w:rPr>
          <w:sz w:val="20"/>
          <w:szCs w:val="20"/>
          <w:color w:val="auto"/>
        </w:rPr>
      </w:pPr>
    </w:p>
    <w:p>
      <w:pPr>
        <w:ind w:firstLine="656"/>
        <w:spacing w:after="0" w:line="259" w:lineRule="auto"/>
        <w:tabs>
          <w:tab w:leader="none" w:pos="136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the joint and several obligation of the applicable Borrower (and, pursuant to this Agreement or any other Loan Document, any other Borrower) to reimburse the L/C-BA Issuer for each drawing under each Letter of Credit and each payment under any Bankers’ Acceptance, and to repay each L/C-BA Borrowing shall be absolute, unconditional and irrevocable, and shall be paid strictly in accordance with the terms of this Agreement under all circumstances, including the following:</w:t>
      </w:r>
    </w:p>
    <w:p>
      <w:pPr>
        <w:spacing w:after="0" w:line="186" w:lineRule="exact"/>
        <w:rPr>
          <w:rFonts w:ascii="Arial" w:cs="Arial" w:eastAsia="Arial" w:hAnsi="Arial"/>
          <w:sz w:val="18"/>
          <w:szCs w:val="18"/>
          <w:color w:val="auto"/>
        </w:rPr>
      </w:pPr>
    </w:p>
    <w:p>
      <w:pPr>
        <w:ind w:left="2180" w:hanging="713"/>
        <w:spacing w:after="0"/>
        <w:tabs>
          <w:tab w:leader="none" w:pos="21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any lack of validity or enforceability of such Letter of Credit or Bankers’ Acceptance, this Agreement, or any other Loan</w:t>
      </w:r>
    </w:p>
    <w:p>
      <w:pPr>
        <w:spacing w:after="0" w:line="34"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8"/>
          <w:szCs w:val="18"/>
          <w:color w:val="auto"/>
        </w:rPr>
        <w:t>Document;</w:t>
      </w:r>
    </w:p>
    <w:p>
      <w:pPr>
        <w:spacing w:after="0" w:line="210" w:lineRule="exact"/>
        <w:rPr>
          <w:rFonts w:ascii="Arial" w:cs="Arial" w:eastAsia="Arial" w:hAnsi="Arial"/>
          <w:sz w:val="17"/>
          <w:szCs w:val="17"/>
          <w:color w:val="auto"/>
        </w:rPr>
      </w:pPr>
    </w:p>
    <w:p>
      <w:pPr>
        <w:ind w:left="820" w:right="20" w:firstLine="647"/>
        <w:spacing w:after="0" w:line="312" w:lineRule="auto"/>
        <w:tabs>
          <w:tab w:leader="none" w:pos="2183"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existence of any claim, counterclaim, setoff, defense or other right that any Borrower or any Restricted Subsidiary may have at any time against any beneficiary or any transferee of such Letter of Credit or Bankers’ Acceptance (or any Person for whom any such beneficiary or any such transferee may be acting), the L/C-BA Issuer or any other Person, whether in connection with this Agreement, the</w:t>
      </w:r>
    </w:p>
    <w:p>
      <w:pPr>
        <w:sectPr>
          <w:pgSz w:w="11900" w:h="16952" w:orient="portrait"/>
          <w:cols w:equalWidth="0" w:num="1">
            <w:col w:w="11420"/>
          </w:cols>
          <w:pgMar w:left="240" w:top="125" w:right="239" w:bottom="0" w:gutter="0" w:footer="0" w:header="0"/>
        </w:sectPr>
      </w:pPr>
    </w:p>
    <w:bookmarkStart w:id="31" w:name="page32"/>
    <w:bookmarkEnd w:id="31"/>
    <w:p>
      <w:pPr>
        <w:spacing w:after="0" w:line="94" w:lineRule="exact"/>
        <w:rPr>
          <w:sz w:val="20"/>
          <w:szCs w:val="20"/>
          <w:color w:val="auto"/>
        </w:rPr>
      </w:pPr>
    </w:p>
    <w:p>
      <w:pPr>
        <w:ind w:left="820" w:right="300"/>
        <w:spacing w:after="0" w:line="277" w:lineRule="auto"/>
        <w:rPr>
          <w:sz w:val="20"/>
          <w:szCs w:val="20"/>
          <w:color w:val="auto"/>
        </w:rPr>
      </w:pPr>
      <w:r>
        <w:rPr>
          <w:rFonts w:ascii="Arial" w:cs="Arial" w:eastAsia="Arial" w:hAnsi="Arial"/>
          <w:sz w:val="18"/>
          <w:szCs w:val="18"/>
          <w:color w:val="auto"/>
        </w:rPr>
        <w:t>transactions contemplated hereby or by such Letter of Credit or payment on such Bankers’ Acceptance or any agreement or instrument relating thereto, or any unrelated transaction;</w:t>
      </w:r>
    </w:p>
    <w:p>
      <w:pPr>
        <w:spacing w:after="0" w:line="170" w:lineRule="exact"/>
        <w:rPr>
          <w:sz w:val="20"/>
          <w:szCs w:val="20"/>
          <w:color w:val="auto"/>
        </w:rPr>
      </w:pPr>
    </w:p>
    <w:p>
      <w:pPr>
        <w:ind w:left="820" w:right="180" w:firstLine="647"/>
        <w:spacing w:after="0" w:line="312" w:lineRule="auto"/>
        <w:tabs>
          <w:tab w:leader="none" w:pos="2188"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draft, demand, certificate or other document presented under such Letter of Credit or Bankers’ Acceptance proving to be forged, fraudulent, invalid or insufficient in any respect or any statement therein being untrue or inaccurate in any respect; or any loss or delay in the transmission or otherwise of any document required in order to make a drawing under such Letter of Credit or Bankers’ Acceptance;</w:t>
      </w:r>
    </w:p>
    <w:p>
      <w:pPr>
        <w:spacing w:after="0" w:line="146" w:lineRule="exact"/>
        <w:rPr>
          <w:rFonts w:ascii="Arial" w:cs="Arial" w:eastAsia="Arial" w:hAnsi="Arial"/>
          <w:sz w:val="16"/>
          <w:szCs w:val="16"/>
          <w:color w:val="auto"/>
        </w:rPr>
      </w:pPr>
    </w:p>
    <w:p>
      <w:pPr>
        <w:ind w:left="820" w:right="360" w:firstLine="647"/>
        <w:spacing w:after="0" w:line="277" w:lineRule="auto"/>
        <w:tabs>
          <w:tab w:leader="none" w:pos="21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waiver by the L/C-BA Issuer of any requirement that exists for the L/C-BA Issuer’s protection and not the protection of the Borrower or any waiver by the L/C-BA Issuer which does not in fact materially prejudice the Borrower;</w:t>
      </w:r>
    </w:p>
    <w:p>
      <w:pPr>
        <w:spacing w:after="0" w:line="170" w:lineRule="exact"/>
        <w:rPr>
          <w:rFonts w:ascii="Arial" w:cs="Arial" w:eastAsia="Arial" w:hAnsi="Arial"/>
          <w:sz w:val="18"/>
          <w:szCs w:val="18"/>
          <w:color w:val="auto"/>
        </w:rPr>
      </w:pPr>
    </w:p>
    <w:p>
      <w:pPr>
        <w:ind w:left="820" w:right="420" w:firstLine="647"/>
        <w:spacing w:after="0" w:line="277" w:lineRule="auto"/>
        <w:tabs>
          <w:tab w:leader="none" w:pos="2173"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honor of a demand for payment presented electronically even if such Letter of Credit or Bankers’ Acceptance requires that demand be in the form of a draft;</w:t>
      </w:r>
    </w:p>
    <w:p>
      <w:pPr>
        <w:spacing w:after="0" w:line="170" w:lineRule="exact"/>
        <w:rPr>
          <w:rFonts w:ascii="Arial" w:cs="Arial" w:eastAsia="Arial" w:hAnsi="Arial"/>
          <w:sz w:val="18"/>
          <w:szCs w:val="18"/>
          <w:color w:val="auto"/>
        </w:rPr>
      </w:pPr>
    </w:p>
    <w:p>
      <w:pPr>
        <w:ind w:left="820" w:right="80" w:firstLine="647"/>
        <w:spacing w:after="0" w:line="264" w:lineRule="auto"/>
        <w:tabs>
          <w:tab w:leader="none" w:pos="21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payment made by the L/C-BA Issuer in respect of an otherwise complying item presented after the date specified as the expiration date of, or the date by which documents must be received under such Letter of Credit or Bankers’ Acceptance if presentation after such date is authorized by the UCC, the ISP or the UCP, as applicable;</w:t>
      </w:r>
    </w:p>
    <w:p>
      <w:pPr>
        <w:spacing w:after="0" w:line="181" w:lineRule="exact"/>
        <w:rPr>
          <w:rFonts w:ascii="Arial" w:cs="Arial" w:eastAsia="Arial" w:hAnsi="Arial"/>
          <w:sz w:val="18"/>
          <w:szCs w:val="18"/>
          <w:color w:val="auto"/>
        </w:rPr>
      </w:pPr>
    </w:p>
    <w:p>
      <w:pPr>
        <w:ind w:left="820" w:right="220" w:firstLine="647"/>
        <w:spacing w:after="0" w:line="279" w:lineRule="auto"/>
        <w:tabs>
          <w:tab w:leader="none" w:pos="218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payment by the L/C-BA Issuer under such Letter of Credit or Bankers’ Acceptance against presentation of a draft or certificate that does not strictly comply with the terms of such Letter of Credit or Bankers’ Acceptance; or any payment made by the L/C-BA Issuer under such Letter of Credit or Bankers’ Acceptance to any Person purporting to be a trustee in bankruptcy, debtor-in-possession, assignee for the benefit of creditors, liquidator, receiver or other representative of or successor to 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120"/>
        <w:spacing w:after="0" w:line="277" w:lineRule="auto"/>
        <w:rPr>
          <w:sz w:val="20"/>
          <w:szCs w:val="20"/>
          <w:color w:val="auto"/>
        </w:rPr>
      </w:pPr>
      <w:r>
        <w:rPr>
          <w:rFonts w:ascii="Arial" w:cs="Arial" w:eastAsia="Arial" w:hAnsi="Arial"/>
          <w:sz w:val="18"/>
          <w:szCs w:val="18"/>
          <w:color w:val="auto"/>
        </w:rPr>
        <w:t>beneficiary or any transferee of such Letter of Credit or Bankers’ Acceptance, including any arising in connection with any proceeding under any Debtor Relief Law; or</w:t>
      </w:r>
    </w:p>
    <w:p>
      <w:pPr>
        <w:spacing w:after="0" w:line="170" w:lineRule="exact"/>
        <w:rPr>
          <w:sz w:val="20"/>
          <w:szCs w:val="20"/>
          <w:color w:val="auto"/>
        </w:rPr>
      </w:pPr>
    </w:p>
    <w:p>
      <w:pPr>
        <w:ind w:left="820" w:right="840" w:firstLine="647"/>
        <w:spacing w:after="0" w:line="342" w:lineRule="auto"/>
        <w:tabs>
          <w:tab w:leader="none" w:pos="2188"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other circumstance or happening whatsoever, whether or not similar to any of the foregoing, including any other circumstance that might otherwise constitute a defense available to, or a discharge of, any Borrower or any Restricted Subsidiary.</w:t>
      </w:r>
    </w:p>
    <w:p>
      <w:pPr>
        <w:spacing w:after="0" w:line="12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Each of the Borrowing Agent and the applicable Borrower shall promptly examine a copy of each Letter of Credit and each amendment thereto, and each Bankers’ Acceptance, that is delivered to it and, in the event of any claim of noncompliance with the Borrowing Agent’s instructions or other irregularity, the Borrowing Agent or the applicable Borrower will immediately notify the L/C-BA Issuer. Each of the applicable Borrower and the Borrowing Agent shall be conclusively deemed to have waived any such claim against any L/C-BA Issuer and its correspondents unless such notice is given as aforesaid.</w:t>
      </w:r>
    </w:p>
    <w:p>
      <w:pPr>
        <w:spacing w:after="0" w:line="154" w:lineRule="exact"/>
        <w:rPr>
          <w:sz w:val="20"/>
          <w:szCs w:val="20"/>
          <w:color w:val="auto"/>
        </w:rPr>
      </w:pPr>
    </w:p>
    <w:p>
      <w:pPr>
        <w:ind w:firstLine="656"/>
        <w:spacing w:after="0" w:line="285" w:lineRule="auto"/>
        <w:tabs>
          <w:tab w:leader="none" w:pos="135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Role of L/C-BA Issuer</w:t>
      </w:r>
      <w:r>
        <w:rPr>
          <w:rFonts w:ascii="Arial" w:cs="Arial" w:eastAsia="Arial" w:hAnsi="Arial"/>
          <w:sz w:val="16"/>
          <w:szCs w:val="16"/>
          <w:color w:val="auto"/>
        </w:rPr>
        <w:t xml:space="preserve">. Each Revolving Lender and each of the Borrowers agree that, in paying any drawing under a Letter of Credit or making any payment under a Bankers’ Acceptance, the L/C-BA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L/C-BA Issuer, the Administrative Agent, any of their respective Related Parties nor any correspondent, participant or assignee of the L/C-BA Issuer shall be liable to any Revolving Lender for (i) any action taken or omitted in connection herewith at the request or with the approval of the Revolving Lenders or the Required Revolving Lenders, as applicable; (ii) any action taken or omitted in the absence of gross negligence or willful misconduct; or (iii) the due execution, effectiveness, validity or enforceability of any document or instrument related to any Letter of Credit, Bankers’ Acceptance or Issuer Document. Subject to </w:t>
      </w:r>
      <w:r>
        <w:rPr>
          <w:rFonts w:ascii="Arial" w:cs="Arial" w:eastAsia="Arial" w:hAnsi="Arial"/>
          <w:sz w:val="16"/>
          <w:szCs w:val="16"/>
          <w:u w:val="single" w:color="auto"/>
          <w:color w:val="auto"/>
        </w:rPr>
        <w:t>Section 2.17(b)</w:t>
      </w:r>
      <w:r>
        <w:rPr>
          <w:rFonts w:ascii="Arial" w:cs="Arial" w:eastAsia="Arial" w:hAnsi="Arial"/>
          <w:sz w:val="16"/>
          <w:szCs w:val="16"/>
          <w:color w:val="auto"/>
        </w:rPr>
        <w:t xml:space="preserve">, the Borrowers hereby jointly and severally assume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Borrowers’ pursuing such rights and remedies as any of them may have against the beneficiary or transferee at law or under any other agreement. None of the L/C-BA Issuer, the Administrative Agent, any of their respective Related Parties nor any correspondent, participant or assignee of the L/C-BA Issuer shall be liable or responsible for any of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Borrowers or Restricted Subsidiaries for whose benefit such Letter of Credit or Bankers’ Acceptance was issued may have a claim against the L/C-BA Issuer, and the L/C-BA Issuer may be liable to such Borrower or Restricted Subsidiary, to the extent, but only to the extent, of any direct, as opposed to consequential or exemplary, damages suffered by such Borrower or Restricted Subsidiary which such Borrower or Restricted Subsidiary proves were caused by the L/C-BA Issuer’s willful misconduct or gross negligence or the L/C-BA Issuer’s willful failure to pay under any Letter of Credit after the presentation to it by the beneficiary of a sight draft and certificate(s) strictly complying with the terms and conditions of a Letter of Credit or to honor any Bankers’ Acceptance presented for payment in strict compliance with its terms and conditions. In furtherance and not in limitation of the foregoing, the L/C-BA Issuer may accept documents that appear on their face to be in order,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without responsibility for further investigation, regardless of any notice or information to the contrary, and the L/C-BA Issuer shall not be responsible for the validity or sufficiency of any instrument transferring or assigning or purporting to transfer or assign a Letter of Credit or Bankers’ Acceptance or the rights or benefits thereunder or proceeds thereof, in whole or in part, which may prove to be invalid or ineffective for any reason.</w:t>
      </w:r>
    </w:p>
    <w:p>
      <w:pPr>
        <w:spacing w:after="0" w:line="166" w:lineRule="exact"/>
        <w:rPr>
          <w:sz w:val="20"/>
          <w:szCs w:val="20"/>
          <w:color w:val="auto"/>
        </w:rPr>
      </w:pPr>
    </w:p>
    <w:p>
      <w:pPr>
        <w:ind w:right="80" w:firstLine="656"/>
        <w:spacing w:after="0" w:line="291" w:lineRule="auto"/>
        <w:tabs>
          <w:tab w:leader="none" w:pos="1353"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w:t>
      </w:r>
      <w:r>
        <w:rPr>
          <w:rFonts w:ascii="Arial" w:cs="Arial" w:eastAsia="Arial" w:hAnsi="Arial"/>
          <w:sz w:val="16"/>
          <w:szCs w:val="16"/>
          <w:color w:val="auto"/>
        </w:rPr>
        <w:t>. Unless otherwise expressly agreed by the L/C-BA Issuer and the Borrowing Agent when a Letter of Credit is issued (including any such agreement applicable to an Existing Letter of Credit), (i) the rules of the ISP shall apply to each standby Letter of Credit, and</w:t>
      </w: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rules of the UCP shall apply to each commercial Letter of Credit.</w:t>
      </w:r>
    </w:p>
    <w:p>
      <w:pPr>
        <w:spacing w:after="0" w:line="210" w:lineRule="exact"/>
        <w:rPr>
          <w:rFonts w:ascii="Arial" w:cs="Arial" w:eastAsia="Arial" w:hAnsi="Arial"/>
          <w:sz w:val="18"/>
          <w:szCs w:val="18"/>
          <w:color w:val="auto"/>
        </w:rPr>
      </w:pPr>
    </w:p>
    <w:p>
      <w:pPr>
        <w:ind w:right="20" w:firstLine="656"/>
        <w:spacing w:after="0" w:line="291" w:lineRule="auto"/>
        <w:tabs>
          <w:tab w:leader="none" w:pos="1358"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Borrowers shall pay to the Administrative Agent for the account of each Revolving Lender in accordance with its Applicable Revolving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(i) for each commercial Letter of Credit equal to 0.250% per annum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and (ii) for each standby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any Letter of Credit Fees otherwise payable for the account of a Defaulting Lender with respect to any Letter of Credit as to which such Defaulting Lender has not provided Cash Collateral satisfactory to the L/C-BA Issuer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be payable, to the maximum extent permitted by applicable Law, to the other Revolving Lenders in accordance with the upward adjustments in their respective Applicable Revolving Percentages allocable to such Letter of Credit pursuant to </w:t>
      </w:r>
      <w:r>
        <w:rPr>
          <w:rFonts w:ascii="Arial" w:cs="Arial" w:eastAsia="Arial" w:hAnsi="Arial"/>
          <w:sz w:val="16"/>
          <w:szCs w:val="16"/>
          <w:u w:val="single" w:color="auto"/>
          <w:color w:val="auto"/>
        </w:rPr>
        <w:t>Section 2.16(a)(iv)</w:t>
      </w:r>
      <w:r>
        <w:rPr>
          <w:rFonts w:ascii="Arial" w:cs="Arial" w:eastAsia="Arial" w:hAnsi="Arial"/>
          <w:sz w:val="16"/>
          <w:szCs w:val="16"/>
          <w:color w:val="auto"/>
        </w:rPr>
        <w:t>, with the balance of such</w:t>
      </w:r>
    </w:p>
    <w:p>
      <w:pPr>
        <w:sectPr>
          <w:pgSz w:w="11900" w:h="16932" w:orient="portrait"/>
          <w:cols w:equalWidth="0" w:num="1">
            <w:col w:w="11420"/>
          </w:cols>
          <w:pgMar w:left="240" w:top="125" w:right="239" w:bottom="0" w:gutter="0" w:footer="0" w:header="0"/>
        </w:sectPr>
      </w:pPr>
    </w:p>
    <w:bookmarkStart w:id="32" w:name="page33"/>
    <w:bookmarkEnd w:id="32"/>
    <w:p>
      <w:pPr>
        <w:spacing w:after="0" w:line="7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fee, if any, payable to the L/C-BA Issuer for its own account.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Letter of Credit Fees shall be (i) due and payable on the first Business Day after the end of each March, June, 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 Notwithstanding the foregoing, WFS Europe and WFS Singapore shall have no obligation to pay any Letter of Credit Fee in connection with Letters of Credit issued solely for the account of WFS or any Domestic Subsidiary.</w:t>
      </w:r>
    </w:p>
    <w:p>
      <w:pPr>
        <w:spacing w:after="0" w:line="182" w:lineRule="exact"/>
        <w:rPr>
          <w:sz w:val="20"/>
          <w:szCs w:val="20"/>
          <w:color w:val="auto"/>
        </w:rPr>
      </w:pPr>
    </w:p>
    <w:p>
      <w:pPr>
        <w:ind w:right="80" w:firstLine="656"/>
        <w:spacing w:after="0" w:line="273" w:lineRule="auto"/>
        <w:tabs>
          <w:tab w:leader="none" w:pos="1358"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BA Fees</w:t>
      </w:r>
      <w:r>
        <w:rPr>
          <w:rFonts w:ascii="Arial" w:cs="Arial" w:eastAsia="Arial" w:hAnsi="Arial"/>
          <w:sz w:val="17"/>
          <w:szCs w:val="17"/>
          <w:color w:val="auto"/>
        </w:rPr>
        <w:t>. The Borrowers shall pay to the Administrative Agent for the account of each Revolving Lender in accordance with its Applicable Revolving Percentage a Bankers’ Acceptance fee (the “</w:t>
      </w:r>
      <w:r>
        <w:rPr>
          <w:rFonts w:ascii="Arial" w:cs="Arial" w:eastAsia="Arial" w:hAnsi="Arial"/>
          <w:sz w:val="17"/>
          <w:szCs w:val="17"/>
          <w:u w:val="single" w:color="auto"/>
          <w:color w:val="auto"/>
        </w:rPr>
        <w:t>BA Fee</w:t>
      </w:r>
      <w:r>
        <w:rPr>
          <w:rFonts w:ascii="Arial" w:cs="Arial" w:eastAsia="Arial" w:hAnsi="Arial"/>
          <w:sz w:val="17"/>
          <w:szCs w:val="17"/>
          <w:color w:val="auto"/>
        </w:rPr>
        <w:t xml:space="preserve">”) equal to the Bankers’ Acceptance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maximum stated amount of all then outstanding Bankers’ Acceptances. BA Fees shall be (i) due and payable on the first Business Day after the end of each March, June, September and December, commencing with the first such date to occur after the issuance of such Bankers’ Acceptance, on the Maturity Date and thereafter on demand and (ii) computed on a quarterly basis in arrears. If there is any change in the Bankers’ Acceptance Rate or the Applicable Rate for Bankers’ Acceptances during any quarter, the maximum stated amount of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outstanding Bankers’ Acceptances shall be computed and multiplied by the Bankers’ Acceptance Rate or Applicable Rate, as applicable, separately for each period during such quarter that such Bankers’ Acceptance Rate or Applicable Rate, as applicable, was in effect. Notwithstanding anything to the contrary contained herein, upon the request of the Required Revolving Lenders, while any Event of Default exists, all BA Fees shall accrue at the Default Rate. Notwithstanding the foregoing, WFS Europe and WFS Singapore shall have no obligation to pay any BA Fee in connection with Bankers’ Acceptances issued solely for the account of WFS or any Domestic Subsidiary.</w:t>
      </w:r>
    </w:p>
    <w:p>
      <w:pPr>
        <w:spacing w:after="0" w:line="188" w:lineRule="exact"/>
        <w:rPr>
          <w:sz w:val="20"/>
          <w:szCs w:val="20"/>
          <w:color w:val="auto"/>
        </w:rPr>
      </w:pPr>
    </w:p>
    <w:p>
      <w:pPr>
        <w:ind w:firstLine="656"/>
        <w:spacing w:after="0" w:line="285" w:lineRule="auto"/>
        <w:tabs>
          <w:tab w:leader="none" w:pos="1353"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L/C-BA Issuer</w:t>
      </w:r>
      <w:r>
        <w:rPr>
          <w:rFonts w:ascii="Arial" w:cs="Arial" w:eastAsia="Arial" w:hAnsi="Arial"/>
          <w:sz w:val="16"/>
          <w:szCs w:val="16"/>
          <w:color w:val="auto"/>
        </w:rPr>
        <w:t xml:space="preserve">. The Borrowers shall pay directly to the L/C-BA Issuer for its own account a fronting fee (i) with respect to each commercial Letter of Credit or Bankers’ Acceptance, at the rate specified therefor, with respect to Bank of America, in the BofA Fee Letter, computed on the amount of such Letter of Credit or Bankers’ Acceptance, as applicable, and payable upon the issuance thereof, (ii) with respect to any amendment of a commercial Letter of Credit increasing the amount of such Letter of Credit, at a rate separately agreed between the Borrowing Agent and the L/C-BA Issuer, computed on the amount of such increase, and payable upon the effectiveness of such amendment, (iii) with respect to each standby Letter of Credit, at the rate per annum specified with respect to Bank of America, in the BofA Fee Letter, computed on the daily amount available to be drawn under such Letter of Credit on a quarterly basis in arrears. Such fronting fee payable under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2.03(k)</w:t>
      </w:r>
      <w:r>
        <w:rPr>
          <w:rFonts w:ascii="Arial" w:cs="Arial" w:eastAsia="Arial" w:hAnsi="Arial"/>
          <w:sz w:val="16"/>
          <w:szCs w:val="16"/>
          <w:color w:val="auto"/>
        </w:rPr>
        <w:t xml:space="preserv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or Bankers’ Acceptance, as applicable, on the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In addition, the Borrowers shall pay directly to the L/C-BA Issuer for its own account the customary issuance, presentation, amendment and other processing fees, and other standard costs and charges, of the L/C-BA Issuer relating to letters of credit and bankers’ acceptances as from time to time in effect. Such customary fees and standard costs and charges are due and payable on demand and are nonrefundable. Notwithstanding the foregoing, WFS Europe and WFS Singapore shall have no obligation to pay any fronting fee or customary processing fee (including standard costs and charges) in connection with Letters of Credit or Bankers’ Acceptances issued solely for the account of WFS or any Domestic Subsidiary.</w:t>
      </w:r>
    </w:p>
    <w:p>
      <w:pPr>
        <w:spacing w:after="0" w:line="177" w:lineRule="exact"/>
        <w:rPr>
          <w:rFonts w:ascii="Arial" w:cs="Arial" w:eastAsia="Arial" w:hAnsi="Arial"/>
          <w:sz w:val="16"/>
          <w:szCs w:val="16"/>
          <w:color w:val="auto"/>
        </w:rPr>
      </w:pPr>
    </w:p>
    <w:p>
      <w:pPr>
        <w:ind w:right="280" w:firstLine="656"/>
        <w:spacing w:after="0" w:line="277" w:lineRule="auto"/>
        <w:tabs>
          <w:tab w:leader="none" w:pos="135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170" w:lineRule="exact"/>
        <w:rPr>
          <w:rFonts w:ascii="Arial" w:cs="Arial" w:eastAsia="Arial" w:hAnsi="Arial"/>
          <w:sz w:val="18"/>
          <w:szCs w:val="18"/>
          <w:color w:val="auto"/>
        </w:rPr>
      </w:pPr>
    </w:p>
    <w:p>
      <w:pPr>
        <w:ind w:right="80" w:firstLine="656"/>
        <w:spacing w:after="0" w:line="276" w:lineRule="auto"/>
        <w:tabs>
          <w:tab w:leader="none" w:pos="1358"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Subsidiaries</w:t>
      </w:r>
      <w:r>
        <w:rPr>
          <w:rFonts w:ascii="Arial" w:cs="Arial" w:eastAsia="Arial" w:hAnsi="Arial"/>
          <w:sz w:val="17"/>
          <w:szCs w:val="17"/>
          <w:color w:val="auto"/>
        </w:rPr>
        <w:t>. Notwithstanding that a Letter of Credit or Bankers’ Acceptance issued or outstanding hereunder is in support of any obligations of, or is for the account of, a Restricted Subsidiary, WFS shall be obligated to reimburse the L/C-BA Issuer hereunder for any and all drawings under such Letter of Credit or Bankers’ Acceptance, and WFS Europe and WFS Singapore shall be obligated to reimburse the L/C-BA Issuer hereunder for any and all drawings or payments under each Letter of Credit or Bankers’ Acceptance issued for their own account or for the account of any other Foreign Subsidiary. Each Borrower hereby acknowledges that the issuance of Letters of Credit and/or Bankers’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Acceptances for the account of Restricted Subsidiaries inures to the benefit of the Borrowers, and that the Borrowers’ business derives substantial benefits from the businesses of such Restricted Subsidiaries.</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color w:val="auto"/>
        </w:rPr>
        <w:t>Swing Line Loans</w:t>
      </w:r>
      <w:r>
        <w:rPr>
          <w:rFonts w:ascii="Arial" w:cs="Arial" w:eastAsia="Arial" w:hAnsi="Arial"/>
          <w:sz w:val="16"/>
          <w:szCs w:val="16"/>
          <w:color w:val="auto"/>
        </w:rPr>
        <w:t>.</w:t>
      </w:r>
    </w:p>
    <w:p>
      <w:pPr>
        <w:spacing w:after="0" w:line="229" w:lineRule="exact"/>
        <w:rPr>
          <w:sz w:val="20"/>
          <w:szCs w:val="20"/>
          <w:color w:val="auto"/>
        </w:rPr>
      </w:pPr>
    </w:p>
    <w:p>
      <w:pPr>
        <w:ind w:right="60" w:firstLine="656"/>
        <w:spacing w:after="0" w:line="284" w:lineRule="auto"/>
        <w:tabs>
          <w:tab w:leader="none" w:pos="1343"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The Swing Line</w:t>
      </w:r>
      <w:r>
        <w:rPr>
          <w:rFonts w:ascii="Arial" w:cs="Arial" w:eastAsia="Arial" w:hAnsi="Arial"/>
          <w:sz w:val="16"/>
          <w:szCs w:val="16"/>
          <w:color w:val="auto"/>
        </w:rPr>
        <w:t xml:space="preserve">. Subject to the terms and conditions set forth herein, the Swing Line Lender, in reliance upon the agreements of the other Revolving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may in its sole discretion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Borrowers from time to time on any Business Day during the Availability Period in an aggregate amount not to exceed at any time outstanding the amount of the Swing Line Sublimit, notwithstanding the fact that such Swing Line Loans, when aggregated with the Applicable Revolving Percentage of the Outstanding Amount of Revolving Loans and L/C-BA Obligations of the Swing Line Lender, may exceed the amount of such Revolving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giving effect to any Swing Line Loan, (i) the Total Revolving Outstandings shall not exceed the Aggregate Revolving Commitments, and</w:t>
      </w:r>
    </w:p>
    <w:p>
      <w:pPr>
        <w:spacing w:after="0" w:line="4" w:lineRule="exact"/>
        <w:rPr>
          <w:rFonts w:ascii="Arial" w:cs="Arial" w:eastAsia="Arial" w:hAnsi="Arial"/>
          <w:sz w:val="16"/>
          <w:szCs w:val="16"/>
          <w:color w:val="auto"/>
        </w:rPr>
      </w:pPr>
    </w:p>
    <w:p>
      <w:pPr>
        <w:ind w:right="20" w:firstLine="8"/>
        <w:spacing w:after="0" w:line="268" w:lineRule="auto"/>
        <w:tabs>
          <w:tab w:leader="none" w:pos="26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the aggregate Outstanding Amount of the Revolving Loans of any Revolving Lender (other than the Swing Line Lender),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Revolving Lender’s Applicable Revolving Percentage of the Outstanding Amount of all L/C-BA Obligations,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such Revolving Lender’s Applicable Revolving Percentage of the Outstanding Amount of all Swing Line Loans shall not exceed such Revolving Lender’s Revolving Commitment,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Borrowers shall not use the proceeds of any Swing Line Loan to refinance any outstanding Swing Line Loan. Within the foregoing limits, and subject to the other terms and conditions hereof, the Borrowers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Each Swing Line Loan shall be a Base Rate Loan. Immediately upon the making of a Swing Line Loan, each Revolving Lender shall be deemed to, and hereby irrevocably and unconditionally agrees to, purchase from the Swing Line Lender a risk participation in such Swing Line Loan in an amount equal to the product of such Revolving Lender’s Applicable Revolving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ectPr>
          <w:pgSz w:w="11900" w:h="16915" w:orient="portrait"/>
          <w:cols w:equalWidth="0" w:num="1">
            <w:col w:w="11420"/>
          </w:cols>
          <w:pgMar w:left="240" w:top="125" w:right="239" w:bottom="0" w:gutter="0" w:footer="0" w:header="0"/>
        </w:sectPr>
      </w:pPr>
    </w:p>
    <w:bookmarkStart w:id="33" w:name="page34"/>
    <w:bookmarkEnd w:id="33"/>
    <w:p>
      <w:pPr>
        <w:ind w:right="20" w:firstLine="656"/>
        <w:spacing w:after="0" w:line="288" w:lineRule="auto"/>
        <w:tabs>
          <w:tab w:leader="none" w:pos="1353"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Each Swing Line Borrowing shall be made upon the Borrowing Agent’s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$500,000, and</w:t>
      </w:r>
    </w:p>
    <w:p>
      <w:pPr>
        <w:ind w:firstLine="8"/>
        <w:spacing w:after="0" w:line="252" w:lineRule="auto"/>
        <w:tabs>
          <w:tab w:leader="none" w:pos="2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Borrowing Agent.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or (B) that one 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more of the applicable conditions specified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Borrowing Agent at its office either by (i) crediting the account of the Borrowing Agent on the books of the Swing Line Lender in immediately available funds or</w:t>
      </w:r>
    </w:p>
    <w:p>
      <w:pPr>
        <w:ind w:right="500" w:firstLine="8"/>
        <w:spacing w:after="0" w:line="261" w:lineRule="auto"/>
        <w:tabs>
          <w:tab w:leader="none" w:pos="2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wire transfer of such funds, in each case in accordance with instructions provided to (and reasonably acceptable to) the Administrative Agent by the Borrowing Agent.</w:t>
      </w:r>
    </w:p>
    <w:p>
      <w:pPr>
        <w:spacing w:after="0" w:line="183" w:lineRule="exact"/>
        <w:rPr>
          <w:rFonts w:ascii="Arial" w:cs="Arial" w:eastAsia="Arial" w:hAnsi="Arial"/>
          <w:sz w:val="18"/>
          <w:szCs w:val="18"/>
          <w:color w:val="auto"/>
        </w:rPr>
      </w:pPr>
    </w:p>
    <w:p>
      <w:pPr>
        <w:ind w:left="1360" w:hanging="704"/>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Refinancing of Swing Line Loans.</w:t>
      </w:r>
    </w:p>
    <w:p>
      <w:pPr>
        <w:spacing w:after="0" w:line="225" w:lineRule="exact"/>
        <w:rPr>
          <w:rFonts w:ascii="Arial" w:cs="Arial" w:eastAsia="Arial" w:hAnsi="Arial"/>
          <w:sz w:val="18"/>
          <w:szCs w:val="18"/>
          <w:color w:val="auto"/>
        </w:rPr>
      </w:pPr>
    </w:p>
    <w:p>
      <w:pPr>
        <w:ind w:left="820" w:right="20" w:firstLine="647"/>
        <w:spacing w:after="0" w:line="268" w:lineRule="auto"/>
        <w:tabs>
          <w:tab w:leader="none" w:pos="2178" w:val="left"/>
        </w:tabs>
        <w:numPr>
          <w:ilvl w:val="2"/>
          <w:numId w:val="64"/>
        </w:numPr>
        <w:rPr>
          <w:rFonts w:ascii="Arial" w:cs="Arial" w:eastAsia="Arial" w:hAnsi="Arial"/>
          <w:sz w:val="17"/>
          <w:szCs w:val="17"/>
          <w:color w:val="auto"/>
        </w:rPr>
      </w:pPr>
      <w:r>
        <w:rPr>
          <w:rFonts w:ascii="Arial" w:cs="Arial" w:eastAsia="Arial" w:hAnsi="Arial"/>
          <w:sz w:val="17"/>
          <w:szCs w:val="17"/>
          <w:color w:val="auto"/>
        </w:rPr>
        <w:t xml:space="preserve">The Swing Line Lender at any time in its sole discretion may request, on behalf of the Borrowing Agent (which hereby irrevocably authorizes the Swing Line Lender to so request on its behalf), that each Revolving Lender make a Base Rate Loan in an amount equal to such Revolving Lender’s Applicable Revolving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Swing Line Lender shall furnish the Borrowing Agent with a copy of the applicable Committed Loan Notice promptly after delivering such notice to the Administrative Agent. Each Revolving Lender shall make an amount equal to its Applicable Revolving Percentage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Committed Loan Notice, whereupon, subject to </w:t>
      </w:r>
      <w:r>
        <w:rPr>
          <w:rFonts w:ascii="Arial" w:cs="Arial" w:eastAsia="Arial" w:hAnsi="Arial"/>
          <w:sz w:val="17"/>
          <w:szCs w:val="17"/>
          <w:u w:val="single" w:color="auto"/>
          <w:color w:val="auto"/>
        </w:rPr>
        <w:t>Section 2.04(c)(ii)</w:t>
      </w:r>
      <w:r>
        <w:rPr>
          <w:rFonts w:ascii="Arial" w:cs="Arial" w:eastAsia="Arial" w:hAnsi="Arial"/>
          <w:sz w:val="17"/>
          <w:szCs w:val="17"/>
          <w:color w:val="auto"/>
        </w:rPr>
        <w:t>, each Revolving Lender that so makes funds available shall be deemed to have made a Base Rate Loan to the Borrowers in such amount. The Administrative Agent shall remit the funds so received to the Swing Line Lender.</w:t>
      </w:r>
    </w:p>
    <w:p>
      <w:pPr>
        <w:spacing w:after="0" w:line="187" w:lineRule="exact"/>
        <w:rPr>
          <w:rFonts w:ascii="Arial" w:cs="Arial" w:eastAsia="Arial" w:hAnsi="Arial"/>
          <w:sz w:val="17"/>
          <w:szCs w:val="17"/>
          <w:color w:val="auto"/>
        </w:rPr>
      </w:pPr>
    </w:p>
    <w:p>
      <w:pPr>
        <w:ind w:left="2180" w:hanging="713"/>
        <w:spacing w:after="0"/>
        <w:tabs>
          <w:tab w:leader="none" w:pos="2180" w:val="left"/>
        </w:tabs>
        <w:numPr>
          <w:ilvl w:val="2"/>
          <w:numId w:val="64"/>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Revolving Borrowing in accordance with </w:t>
      </w:r>
      <w:r>
        <w:rPr>
          <w:rFonts w:ascii="Arial" w:cs="Arial" w:eastAsia="Arial" w:hAnsi="Arial"/>
          <w:sz w:val="16"/>
          <w:szCs w:val="16"/>
          <w:u w:val="single" w:color="auto"/>
          <w:color w:val="auto"/>
        </w:rPr>
        <w:t>Section 2.04(c)</w:t>
      </w:r>
    </w:p>
    <w:p>
      <w:pPr>
        <w:spacing w:after="0" w:line="46" w:lineRule="exact"/>
        <w:rPr>
          <w:rFonts w:ascii="Arial" w:cs="Arial" w:eastAsia="Arial" w:hAnsi="Arial"/>
          <w:sz w:val="16"/>
          <w:szCs w:val="16"/>
          <w:color w:val="auto"/>
        </w:rPr>
      </w:pPr>
    </w:p>
    <w:p>
      <w:pPr>
        <w:ind w:left="820" w:right="20"/>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the request for Base Rate Loans submitted by the Swing Line Lender as set forth herein shall be deemed to be a request by the Swing Line Lender that each of the Revolving Lenders fund its risk participation in the relevant Swing Line Loan and each Revolving Lender’s payment to the Administrative Agent for the account of the Swing Line Lender pursuant to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shall be deemed payment in respect of such participation.</w:t>
      </w:r>
    </w:p>
    <w:p>
      <w:pPr>
        <w:spacing w:after="0" w:line="189" w:lineRule="exact"/>
        <w:rPr>
          <w:rFonts w:ascii="Arial" w:cs="Arial" w:eastAsia="Arial" w:hAnsi="Arial"/>
          <w:sz w:val="16"/>
          <w:szCs w:val="16"/>
          <w:color w:val="auto"/>
        </w:rPr>
      </w:pPr>
    </w:p>
    <w:p>
      <w:pPr>
        <w:ind w:left="820" w:right="160" w:firstLine="647"/>
        <w:spacing w:after="0" w:line="257" w:lineRule="auto"/>
        <w:tabs>
          <w:tab w:leader="none" w:pos="2188" w:val="left"/>
        </w:tabs>
        <w:numPr>
          <w:ilvl w:val="2"/>
          <w:numId w:val="64"/>
        </w:numPr>
        <w:rPr>
          <w:rFonts w:ascii="Arial" w:cs="Arial" w:eastAsia="Arial" w:hAnsi="Arial"/>
          <w:sz w:val="18"/>
          <w:szCs w:val="18"/>
          <w:color w:val="auto"/>
        </w:rPr>
      </w:pPr>
      <w:r>
        <w:rPr>
          <w:rFonts w:ascii="Arial" w:cs="Arial" w:eastAsia="Arial" w:hAnsi="Arial"/>
          <w:sz w:val="18"/>
          <w:szCs w:val="18"/>
          <w:color w:val="auto"/>
        </w:rPr>
        <w:t xml:space="preserve">If any Revolving Lender fails to make available to the Administrative Agent for the account of the Swing Line Lender any amount required to be paid by such Revolving Lender pursuant to the foregoing provisions of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2.04(c)(i)</w:t>
      </w:r>
      <w:r>
        <w:rPr>
          <w:rFonts w:ascii="Arial" w:cs="Arial" w:eastAsia="Arial" w:hAnsi="Arial"/>
          <w:sz w:val="18"/>
          <w:szCs w:val="18"/>
          <w:color w:val="auto"/>
        </w:rPr>
        <w:t>, the Swing Line Lender shall be entitled to recover from such Revolving Lender (acting through the Administrative Agent), on demand, such amount with interest thereon for the period from the date such payment is required to the date on which such payment is immediately available to the Swing Line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20" w:right="320"/>
        <w:spacing w:after="0" w:line="293" w:lineRule="auto"/>
        <w:rPr>
          <w:sz w:val="20"/>
          <w:szCs w:val="20"/>
          <w:color w:val="auto"/>
        </w:rPr>
      </w:pPr>
      <w:r>
        <w:rPr>
          <w:rFonts w:ascii="Arial" w:cs="Arial" w:eastAsia="Arial" w:hAnsi="Arial"/>
          <w:sz w:val="16"/>
          <w:szCs w:val="16"/>
          <w:color w:val="auto"/>
        </w:rPr>
        <w:t xml:space="preserve">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Revolving Lender pays such amount (with interest and fees as aforesaid), the amount so paid shall constitute such Revolving Lender’s Revolving Loan included in the relevant Revolving Borrowing or funded participation in the relevant Swing Line Loan, as the case may be. A certificate of the Swing Line Lender submitted to any Revolving Lender (through the Administrative Agent) with respect to any amounts owing under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shall be conclusive absent manifest error.</w:t>
      </w:r>
    </w:p>
    <w:p>
      <w:pPr>
        <w:spacing w:after="0" w:line="165" w:lineRule="exact"/>
        <w:rPr>
          <w:sz w:val="20"/>
          <w:szCs w:val="20"/>
          <w:color w:val="auto"/>
        </w:rPr>
      </w:pPr>
    </w:p>
    <w:p>
      <w:pPr>
        <w:ind w:left="820" w:right="100" w:firstLine="647"/>
        <w:spacing w:after="0" w:line="272" w:lineRule="auto"/>
        <w:tabs>
          <w:tab w:leader="none" w:pos="2178"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Each Revolving Lender’s obligation to make Revolving Loans or to purchase and fund risk participations in Swing Line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Revolving Lender may have against the Swing Line Lender, the Borrowers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Revolving Lender’s obligation to make Revolving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No such funding of risk participations shall relieve or otherwise impair the obligation of the Borrowers to repay Swing Line Loans, together with interest as provided herein.</w:t>
      </w:r>
    </w:p>
    <w:p>
      <w:pPr>
        <w:spacing w:after="0" w:line="177" w:lineRule="exact"/>
        <w:rPr>
          <w:rFonts w:ascii="Arial" w:cs="Arial" w:eastAsia="Arial" w:hAnsi="Arial"/>
          <w:sz w:val="17"/>
          <w:szCs w:val="17"/>
          <w:color w:val="auto"/>
        </w:rPr>
      </w:pPr>
    </w:p>
    <w:p>
      <w:pPr>
        <w:ind w:left="1360" w:hanging="704"/>
        <w:spacing w:after="0"/>
        <w:tabs>
          <w:tab w:leader="none" w:pos="1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Repayment of Participations.</w:t>
      </w:r>
    </w:p>
    <w:p>
      <w:pPr>
        <w:spacing w:after="0" w:line="225" w:lineRule="exact"/>
        <w:rPr>
          <w:rFonts w:ascii="Arial" w:cs="Arial" w:eastAsia="Arial" w:hAnsi="Arial"/>
          <w:sz w:val="18"/>
          <w:szCs w:val="18"/>
          <w:color w:val="auto"/>
        </w:rPr>
      </w:pPr>
    </w:p>
    <w:p>
      <w:pPr>
        <w:ind w:left="820" w:right="40" w:firstLine="647"/>
        <w:spacing w:after="0" w:line="264" w:lineRule="auto"/>
        <w:tabs>
          <w:tab w:leader="none" w:pos="217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At any time after any Revolving Lender has purchased and funded a risk participation in a Swing Line Loan, if the Swing Line Lender receives any payment on account of such Swing Line Loan, the Swing Line Lender will distribute to such Revolving Lender its Applicable Revolving Percentage thereof in the same funds as those received by the Swing Line Lender.</w:t>
      </w:r>
    </w:p>
    <w:p>
      <w:pPr>
        <w:sectPr>
          <w:pgSz w:w="11900" w:h="16838" w:orient="portrait"/>
          <w:cols w:equalWidth="0" w:num="1">
            <w:col w:w="11420"/>
          </w:cols>
          <w:pgMar w:left="240" w:top="341" w:right="239" w:bottom="0" w:gutter="0" w:footer="0" w:header="0"/>
        </w:sectPr>
      </w:pPr>
    </w:p>
    <w:bookmarkStart w:id="34" w:name="page35"/>
    <w:bookmarkEnd w:id="34"/>
    <w:p>
      <w:pPr>
        <w:ind w:left="820" w:right="120" w:firstLine="647"/>
        <w:spacing w:after="0" w:line="293" w:lineRule="auto"/>
        <w:tabs>
          <w:tab w:leader="none" w:pos="2183"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(including pursuant to any settlement entered into by the Swing Line Lender in its discretion), each Revolving Lender shall pay to the Swing Line Lender its Applicable Revolving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Revolving Lenders under this clause shall survive the payment in full of the Obligations and the termination of this Agreement.</w:t>
      </w:r>
    </w:p>
    <w:p>
      <w:pPr>
        <w:spacing w:after="0" w:line="164" w:lineRule="exact"/>
        <w:rPr>
          <w:rFonts w:ascii="Arial" w:cs="Arial" w:eastAsia="Arial" w:hAnsi="Arial"/>
          <w:sz w:val="16"/>
          <w:szCs w:val="16"/>
          <w:color w:val="auto"/>
        </w:rPr>
      </w:pPr>
    </w:p>
    <w:p>
      <w:pPr>
        <w:ind w:right="300" w:firstLine="656"/>
        <w:spacing w:after="0" w:line="277" w:lineRule="auto"/>
        <w:tabs>
          <w:tab w:leader="none" w:pos="1343"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Borrowers for interest on the Swing Line Loans. Until each Revolving Lender funds its Base Rate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refinance such Revolving Lender’s Applicable Revolving Percentage of any Swing Line Loan, interest in respect of such Applicable Revolving Percentage shall be solely for the account of the Swing Line Lender.</w:t>
      </w:r>
    </w:p>
    <w:p>
      <w:pPr>
        <w:spacing w:after="0" w:line="170" w:lineRule="exact"/>
        <w:rPr>
          <w:sz w:val="20"/>
          <w:szCs w:val="20"/>
          <w:color w:val="auto"/>
        </w:rPr>
      </w:pPr>
    </w:p>
    <w:p>
      <w:pPr>
        <w:ind w:right="260" w:firstLine="656"/>
        <w:spacing w:after="0" w:line="277" w:lineRule="auto"/>
        <w:tabs>
          <w:tab w:leader="none" w:pos="1368"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Borrowers shall make all payments of principal and interest in respect of the Swing Line Loans directly to the Swing Line Lender.</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color w:val="auto"/>
        </w:rPr>
        <w:t>Prepayments</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83" w:lineRule="auto"/>
        <w:tabs>
          <w:tab w:leader="none" w:pos="1343"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Borrowers may, upon notice (which notice may be by telephone and immediately confirmed in writing) from the Borrowing Agent to the Administrative Agent, at any time or from time to time voluntarily prepay Term Loans and Revolving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Administrative Agent not later than 11:00 a.m. (A) three Business Days prior to any date of prepayment of Eurodollar Rate Loans and (B) on the date of prepayment of Base Rate Loans; (ii) any prepayment of Eurodollar Rate Loans shall be in a principal amount of $5,000,000 or a whole multiple of $1,000,000 in excess thereof; (iii) any prepayment of Base Rate Loans shall be in a principal amount of $500,000 or a whole multiple of $100,000 in excess thereof or, in each case, if less, the entire principal amount thereof then outstanding; and (iv) subject to </w:t>
      </w:r>
      <w:r>
        <w:rPr>
          <w:rFonts w:ascii="Arial" w:cs="Arial" w:eastAsia="Arial" w:hAnsi="Arial"/>
          <w:sz w:val="16"/>
          <w:szCs w:val="16"/>
          <w:u w:val="single" w:color="auto"/>
          <w:color w:val="auto"/>
        </w:rPr>
        <w:t>Section 2.05(e)</w:t>
      </w:r>
      <w:r>
        <w:rPr>
          <w:rFonts w:ascii="Arial" w:cs="Arial" w:eastAsia="Arial" w:hAnsi="Arial"/>
          <w:sz w:val="16"/>
          <w:szCs w:val="16"/>
          <w:color w:val="auto"/>
        </w:rPr>
        <w:t xml:space="preserve">, any prepayment of Term Loans shall be applied to the Singapore Term Loans and the Domestic Term Loans on a pro rata basis, based upon the Outstanding Amounts thereof. Each such notice shall specify the date and amount of such prepayment, whether the Loans to be repaid are Term Loans or Revolving Loans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upon such Lenders’ Applicable Percentage in respect of the relevant Facility). If such notice is given by the Borrowing Agent, the Borrowers shall make such prepayment and the payment amount specified in such notice shall be due and payable on the date specified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the case of a prepayment in anticipation of a refinancing of all or a portion of a Facility, any such notice may state that it is conditioned upon the effectiveness of other credit facilities, in which case such notice may be revoked by the Borrowing Agent (by notice to the Administrative Agent on or prior to the specified date) if such condition is not satisfied. Any prepayment of a Eurodollar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Each prepayment of the outstanding Term Loans pursuant to this</w:t>
      </w:r>
    </w:p>
    <w:p>
      <w:pPr>
        <w:ind w:right="22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be applied to the principal repayment installments thereof in inverse order of maturity.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 each such prepayment shall be applied to the Loans of the Lenders in accordance with their respective Applicable Percentages in respect of the relevant Facilities.</w:t>
      </w:r>
    </w:p>
    <w:p>
      <w:pPr>
        <w:spacing w:after="0" w:line="138" w:lineRule="exact"/>
        <w:rPr>
          <w:rFonts w:ascii="Arial" w:cs="Arial" w:eastAsia="Arial" w:hAnsi="Arial"/>
          <w:sz w:val="16"/>
          <w:szCs w:val="16"/>
          <w:color w:val="auto"/>
        </w:rPr>
      </w:pPr>
    </w:p>
    <w:p>
      <w:pPr>
        <w:ind w:right="220" w:firstLine="656"/>
        <w:spacing w:after="0" w:line="279" w:lineRule="auto"/>
        <w:tabs>
          <w:tab w:leader="none" w:pos="1353"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Borrowers may, upon notice from the Borrowing Agent to the Swing Line Lender (with a copy to the Administrative Agent), at any time or from time to 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received by the Swing Line Lender and the Administrative Agent not later than 1:00 p.m. on the date of the prepayment, and (ii) any such prepayment shall be in a minimum principal amount of $100,000. Each such notice shall specify the date and amount of such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prepayment. If such notice is given by the Borrower, the Borrowers shall make such prepayment and the payment amount specified in such notice shall be due and payable on the date specified therein.</w:t>
      </w:r>
    </w:p>
    <w:p>
      <w:pPr>
        <w:spacing w:after="0" w:line="170" w:lineRule="exact"/>
        <w:rPr>
          <w:sz w:val="20"/>
          <w:szCs w:val="20"/>
          <w:color w:val="auto"/>
        </w:rPr>
      </w:pPr>
    </w:p>
    <w:p>
      <w:pPr>
        <w:ind w:left="1360" w:hanging="704"/>
        <w:spacing w:after="0"/>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2.05(e)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20" w:right="20" w:firstLine="647"/>
        <w:spacing w:after="0" w:line="268" w:lineRule="auto"/>
        <w:tabs>
          <w:tab w:leader="none" w:pos="2178"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Dispositions of Assets</w:t>
      </w:r>
      <w:r>
        <w:rPr>
          <w:rFonts w:ascii="Arial" w:cs="Arial" w:eastAsia="Arial" w:hAnsi="Arial"/>
          <w:sz w:val="17"/>
          <w:szCs w:val="17"/>
          <w:color w:val="auto"/>
        </w:rPr>
        <w:t xml:space="preserve">. If any Loan Party or any of their respective Restricted Subsidiaries Disposes of any properties or assets (other than any Disposition of any properties or assets permitted by any of </w:t>
      </w:r>
      <w:r>
        <w:rPr>
          <w:rFonts w:ascii="Arial" w:cs="Arial" w:eastAsia="Arial" w:hAnsi="Arial"/>
          <w:sz w:val="17"/>
          <w:szCs w:val="17"/>
          <w:u w:val="single" w:color="auto"/>
          <w:color w:val="auto"/>
        </w:rPr>
        <w:t>Sections 7.05</w:t>
      </w:r>
      <w:r>
        <w:rPr>
          <w:rFonts w:ascii="Arial" w:cs="Arial" w:eastAsia="Arial" w:hAnsi="Arial"/>
          <w:sz w:val="17"/>
          <w:szCs w:val="17"/>
          <w:color w:val="auto"/>
        </w:rPr>
        <w:t xml:space="preserve">) in a single or series of related transactions which results in the realization by such Person of Net Cash Proceeds in excess of the Threshold Amount that has not been previously applied to mandatory prepayment, an aggregate principal amount of Loans equal to 100% of the amount of all such Net Cash Proceeds shall be prepaid promptly (but in any case within fifteen (15) Business Days) after receipt thereof by such Loan Party or Restricted Subsidiary and the expiration of the reinvestment period applicable thereto as specified in the proviso to the following sentence. The Borrowing Agent shall provide Administrative Agent upon not less than three (3) Business Days’ prior written notice of each such prepayment, which notice shall include a certificate of a Responsible Officer of the Borrowing Agent setting forth in reasonable detail the calculations utilized in computing the Net Cash Proceeds of such Disposition or Dispositions;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Net Cash Proceeds otherwise resulting from any Disposition shall be computed net of cash amounts utilized by WFS or any of its Restricted Subsidiaries within two hundred seventy (270) days of such Disposition to purchase replacement or other assets useful to the operation of the business of WFS or any of its Restricted Subsidiaries (or the 90th day after expiry of such 270-day period if WFS or any of its Restricted Subsidiaries has entered into a legally binding commitment to utilize such proceeds in accordance with the foregoing).</w:t>
      </w:r>
    </w:p>
    <w:p>
      <w:pPr>
        <w:spacing w:after="0" w:line="187" w:lineRule="exact"/>
        <w:rPr>
          <w:rFonts w:ascii="Arial" w:cs="Arial" w:eastAsia="Arial" w:hAnsi="Arial"/>
          <w:sz w:val="17"/>
          <w:szCs w:val="17"/>
          <w:color w:val="auto"/>
        </w:rPr>
      </w:pPr>
    </w:p>
    <w:p>
      <w:pPr>
        <w:ind w:left="820" w:right="60" w:firstLine="647"/>
        <w:spacing w:after="0" w:line="302" w:lineRule="auto"/>
        <w:tabs>
          <w:tab w:leader="none" w:pos="2183"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Within fifteen (15) Business Days after receipt of proceeds from each private or public issuance or incurrence of any Loan Party or any of its Restricted Subsidiaries of any Indebtedness (other than Indebtedness permitted by </w:t>
      </w:r>
      <w:r>
        <w:rPr>
          <w:rFonts w:ascii="Arial" w:cs="Arial" w:eastAsia="Arial" w:hAnsi="Arial"/>
          <w:sz w:val="16"/>
          <w:szCs w:val="16"/>
          <w:u w:val="single" w:color="auto"/>
          <w:color w:val="auto"/>
        </w:rPr>
        <w:t>Section 7.03</w:t>
      </w:r>
      <w:r>
        <w:rPr>
          <w:rFonts w:ascii="Arial" w:cs="Arial" w:eastAsia="Arial" w:hAnsi="Arial"/>
          <w:sz w:val="16"/>
          <w:szCs w:val="16"/>
          <w:color w:val="auto"/>
        </w:rPr>
        <w:t>), an aggregate principal amount of Loans equal to 100% of all Net Cash Proceeds received therefrom shall be prepaid. The Borrowing Agent shall provide Administrative Agent upon not less than three (3) Business Days’ prior written notice of each such prepayment, which notice shall include a</w:t>
      </w:r>
    </w:p>
    <w:p>
      <w:pPr>
        <w:sectPr>
          <w:pgSz w:w="11900" w:h="16838" w:orient="portrait"/>
          <w:cols w:equalWidth="0" w:num="1">
            <w:col w:w="11420"/>
          </w:cols>
          <w:pgMar w:left="240" w:top="125" w:right="239" w:bottom="0" w:gutter="0" w:footer="0" w:header="0"/>
        </w:sectPr>
      </w:pPr>
    </w:p>
    <w:bookmarkStart w:id="35" w:name="page36"/>
    <w:bookmarkEnd w:id="35"/>
    <w:p>
      <w:pPr>
        <w:ind w:left="820" w:right="200"/>
        <w:spacing w:after="0" w:line="277" w:lineRule="auto"/>
        <w:rPr>
          <w:sz w:val="20"/>
          <w:szCs w:val="20"/>
          <w:color w:val="auto"/>
        </w:rPr>
      </w:pPr>
      <w:r>
        <w:rPr>
          <w:rFonts w:ascii="Arial" w:cs="Arial" w:eastAsia="Arial" w:hAnsi="Arial"/>
          <w:sz w:val="18"/>
          <w:szCs w:val="18"/>
          <w:color w:val="auto"/>
        </w:rPr>
        <w:t>certificate of a Responsible Officer of the Borrowing Agent setting forth in reasonable detail the calculations utilized in computing the Net Cash Proceeds of such issuance or incurrence.</w:t>
      </w:r>
    </w:p>
    <w:p>
      <w:pPr>
        <w:spacing w:after="0" w:line="170" w:lineRule="exact"/>
        <w:rPr>
          <w:sz w:val="20"/>
          <w:szCs w:val="20"/>
          <w:color w:val="auto"/>
        </w:rPr>
      </w:pPr>
    </w:p>
    <w:p>
      <w:pPr>
        <w:ind w:left="820" w:firstLine="647"/>
        <w:spacing w:after="0" w:line="286" w:lineRule="auto"/>
        <w:tabs>
          <w:tab w:leader="none" w:pos="2188"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Extraordinary Receipts</w:t>
      </w:r>
      <w:r>
        <w:rPr>
          <w:rFonts w:ascii="Arial" w:cs="Arial" w:eastAsia="Arial" w:hAnsi="Arial"/>
          <w:sz w:val="16"/>
          <w:szCs w:val="16"/>
          <w:color w:val="auto"/>
        </w:rPr>
        <w:t>. Within fifteen (15) Business Days of any Extraordinary Receipt in excess of the Threshold Amount received by or paid to or for the account of any Loan Party or any of their respective Restricted Subsidiaries and the expiration of any reinvestment period applicable thereto as specified in the proviso to the following sentence, an aggregate principal amount of Loans equal to 100% of all Net Cash Proceeds received therefrom shall be prepaid. The Borrowing Agent shall provide Administrative Agent upon not less than three</w:t>
      </w:r>
    </w:p>
    <w:p>
      <w:pPr>
        <w:spacing w:after="0" w:line="1" w:lineRule="exact"/>
        <w:rPr>
          <w:rFonts w:ascii="Arial" w:cs="Arial" w:eastAsia="Arial" w:hAnsi="Arial"/>
          <w:sz w:val="16"/>
          <w:szCs w:val="16"/>
          <w:color w:val="auto"/>
        </w:rPr>
      </w:pPr>
    </w:p>
    <w:p>
      <w:pPr>
        <w:ind w:left="1080" w:hanging="26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Business Days’ prior written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80"/>
        <w:spacing w:after="0" w:line="293" w:lineRule="auto"/>
        <w:rPr>
          <w:sz w:val="20"/>
          <w:szCs w:val="20"/>
          <w:color w:val="auto"/>
        </w:rPr>
      </w:pPr>
      <w:r>
        <w:rPr>
          <w:rFonts w:ascii="Arial" w:cs="Arial" w:eastAsia="Arial" w:hAnsi="Arial"/>
          <w:sz w:val="16"/>
          <w:szCs w:val="16"/>
          <w:color w:val="auto"/>
        </w:rPr>
        <w:t xml:space="preserve">notice of each such prepayment, which notice shall include a certificate of a Responsible Officer of the Borrowing Agent setting forth in reasonable detail the calculations utilized in computing the Net Cash Proceeds of such Extraordinary Receipt;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Net Cash Proceeds otherwise resulting from any Extraordinary Receipts shall be computed net of cash amounts utilized by WFS or any of its Restricted Subsidiaries within two hundred seventy (270) days of receipt of such Extraordinary Receipts to acquire replacement assets for, restore or make repairs to, the affected assets giving rise to such Extraordinary Receipts (or the 90th day after expiry of such 270-day period if WFS or any of its Restricted Subsidiaries has entered into a legally binding commitment to utilize such proceeds in accordance with the foregoing).</w:t>
      </w:r>
    </w:p>
    <w:p>
      <w:pPr>
        <w:spacing w:after="0" w:line="165" w:lineRule="exact"/>
        <w:rPr>
          <w:sz w:val="20"/>
          <w:szCs w:val="20"/>
          <w:color w:val="auto"/>
        </w:rPr>
      </w:pPr>
    </w:p>
    <w:p>
      <w:pPr>
        <w:ind w:left="820" w:right="40" w:firstLine="647"/>
        <w:spacing w:after="0" w:line="276" w:lineRule="auto"/>
        <w:tabs>
          <w:tab w:leader="none" w:pos="2178"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Overadvances</w:t>
      </w:r>
      <w:r>
        <w:rPr>
          <w:rFonts w:ascii="Arial" w:cs="Arial" w:eastAsia="Arial" w:hAnsi="Arial"/>
          <w:sz w:val="17"/>
          <w:szCs w:val="17"/>
          <w:color w:val="auto"/>
        </w:rPr>
        <w:t xml:space="preserve">. If the Administrative Agent notifies the Borrowing Agent that the Total Revolving Outstandings at such time exceed the Aggregate Revolving Commitments then in effect, the Borrowers shall immediately prepay Revolving Loans and/or Cash Collateralize the L/C-BA Obligations in an aggregate amount equal to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Borrowers shall not be required to Cash Collateralize the L/C-BA Obligations pursuant to this </w:t>
      </w:r>
      <w:r>
        <w:rPr>
          <w:rFonts w:ascii="Arial" w:cs="Arial" w:eastAsia="Arial" w:hAnsi="Arial"/>
          <w:sz w:val="17"/>
          <w:szCs w:val="17"/>
          <w:u w:val="single" w:color="auto"/>
          <w:color w:val="auto"/>
        </w:rPr>
        <w:t>Section 2.05(c)</w:t>
      </w:r>
      <w:r>
        <w:rPr>
          <w:rFonts w:ascii="Arial" w:cs="Arial" w:eastAsia="Arial" w:hAnsi="Arial"/>
          <w:sz w:val="17"/>
          <w:szCs w:val="17"/>
          <w:color w:val="auto"/>
        </w:rPr>
        <w:t xml:space="preserve"> unless after the prepayment in full of the Revolving Loans and Swing Line Loans the Total Revolving Outstandings exceed the Aggregate Revolving Commitments then in effect.</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Each prepayment of Loans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shall be applied first to the repayment of the principal amount of the Domestic Term Loan and the Singapore Term Loan, on a pro rata basis, (to be applied to the principal repayment installments of each of the Domestic Term Loans and the Singapore Term Loans in inverse order of maturity), and second to the repayment of the principal amount of Revolving Loans then outstanding (without any reduction of the Revolving Commitments). Amounts to be applied pursuant to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to the prepayment of Revolving Loans or the Domestic Term Loans and Singapore Term Loans shall be applied, as applicable, first to reduce outstanding Base Rate Loans. Any amounts remaining after each such application shall be applied to prepay Eurodollar Rate Loans. Notwithstanding the foregoing, if the amount of any prepayment of Loans required under this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shall be in excess of the amount of the outstanding Base Rate Loans, only the portion of the amount of such prepayment as is equal to the amount of such outstanding Base Rate Loans shall be immediately prepaid and, at the election of Borrower, the balance of such required prepayment shall be either (A) deposited in a collateral account and applied to the prepayment of Eurodollar Rate Loans on the last day of the then next-expiring Interest Period therefor (with all interest accruing thereon for the account of Borrower) or (B) prepaid immediately, together with any amounts owing to the Lenders under </w:t>
      </w:r>
      <w:r>
        <w:rPr>
          <w:rFonts w:ascii="Arial" w:cs="Arial" w:eastAsia="Arial" w:hAnsi="Arial"/>
          <w:sz w:val="16"/>
          <w:szCs w:val="16"/>
          <w:u w:val="single" w:color="auto"/>
          <w:color w:val="auto"/>
        </w:rPr>
        <w:t>Section 3.05</w:t>
      </w:r>
      <w:r>
        <w:rPr>
          <w:rFonts w:ascii="Arial" w:cs="Arial" w:eastAsia="Arial" w:hAnsi="Arial"/>
          <w:sz w:val="16"/>
          <w:szCs w:val="16"/>
          <w:color w:val="auto"/>
        </w:rPr>
        <w:t>. Notwithstanding any such deposit in a collateral account, interest shall continue to accrue on such Eurodollar Rate Loans until prepayment.</w:t>
      </w:r>
    </w:p>
    <w:p>
      <w:pPr>
        <w:spacing w:after="0" w:line="173" w:lineRule="exact"/>
        <w:rPr>
          <w:sz w:val="20"/>
          <w:szCs w:val="20"/>
          <w:color w:val="auto"/>
        </w:rPr>
      </w:pPr>
    </w:p>
    <w:p>
      <w:pPr>
        <w:ind w:right="20" w:firstLine="656"/>
        <w:spacing w:after="0" w:line="264" w:lineRule="auto"/>
        <w:tabs>
          <w:tab w:leader="none" w:pos="134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Effect on Obligations of WFS Europe or WFS Singapore</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2.17</w:t>
      </w:r>
      <w:r>
        <w:rPr>
          <w:rFonts w:ascii="Arial" w:cs="Arial" w:eastAsia="Arial" w:hAnsi="Arial"/>
          <w:sz w:val="18"/>
          <w:szCs w:val="18"/>
          <w:color w:val="auto"/>
        </w:rPr>
        <w:t>, the obligations of each of WFS Europe and WFS Singapore with respect to prepayment of Loans shall not exceed their respective share of the obligations in respect of the Loans to which such prepayment is to be applied.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6"/>
          <w:szCs w:val="16"/>
          <w:b w:val="1"/>
          <w:bCs w:val="1"/>
          <w:color w:val="auto"/>
        </w:rPr>
        <w:t>Termination or Reduction of Commitments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69" w:lineRule="auto"/>
        <w:tabs>
          <w:tab w:leader="none" w:pos="1343"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Optional</w:t>
      </w:r>
      <w:r>
        <w:rPr>
          <w:rFonts w:ascii="Arial" w:cs="Arial" w:eastAsia="Arial" w:hAnsi="Arial"/>
          <w:sz w:val="17"/>
          <w:szCs w:val="17"/>
          <w:color w:val="auto"/>
        </w:rPr>
        <w:t xml:space="preserve">. The Borrowing Agent may, upon notice to the Administrative Agent, terminate the Aggregate Revolving Commitments, or from time to time permanently reduce the Aggregate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Borrowing Agent shall not terminate or reduce the Aggregate Revolving Commitments if, after giving effect thereto and to any concurrent prepayments hereunder, the Total Revolving Outstandings would exceed the Aggregate Revolving Commitments, and (iv) if, after giving effect to any reduction of the Aggregate Revolving Commitments, the L/C-BA Sublimit or the Swing Line Sublimit exceeds the amount of the Aggregate Revolving Commitments, the applicable sublimit shall be automatically reduced by the amount of such excess. The Administrative Agent will promptly notify the Revolving Lenders of any such notice of termination or reduction of the Aggregate Revolving Commitments. Any reduction of the Aggregate Revolving Commitments shall be applied to the Revolving Commitment of each Revolving Lender according to its Applicable Revolving Percentage. All fees accrued until the effective date of any termination of the Aggregate Revolving Commitments shall be paid on the effective date of such termination.</w:t>
      </w:r>
    </w:p>
    <w:p>
      <w:pPr>
        <w:spacing w:after="0" w:line="182" w:lineRule="exact"/>
        <w:rPr>
          <w:rFonts w:ascii="Arial" w:cs="Arial" w:eastAsia="Arial" w:hAnsi="Arial"/>
          <w:sz w:val="17"/>
          <w:szCs w:val="17"/>
          <w:color w:val="auto"/>
        </w:rPr>
      </w:pPr>
    </w:p>
    <w:p>
      <w:pPr>
        <w:ind w:right="900" w:firstLine="656"/>
        <w:spacing w:after="0" w:line="277" w:lineRule="auto"/>
        <w:tabs>
          <w:tab w:leader="none" w:pos="135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(i) As of the Closing Date, aggregate Domestic Term Loan Commitments and the aggregate Singapore Term Loan Commitments are zero.</w:t>
      </w:r>
    </w:p>
    <w:p>
      <w:pPr>
        <w:spacing w:after="0" w:line="170" w:lineRule="exact"/>
        <w:rPr>
          <w:rFonts w:ascii="Arial" w:cs="Arial" w:eastAsia="Arial" w:hAnsi="Arial"/>
          <w:sz w:val="18"/>
          <w:szCs w:val="18"/>
          <w:color w:val="auto"/>
        </w:rPr>
      </w:pPr>
    </w:p>
    <w:p>
      <w:pPr>
        <w:ind w:left="660" w:right="200" w:firstLine="645"/>
        <w:spacing w:after="0" w:line="264" w:lineRule="auto"/>
        <w:tabs>
          <w:tab w:leader="none" w:pos="2023"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If after giving effect to any reduction or termination of Revolving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the Letter of Credit Sublimit or the Swing Line Sublimit exceeds the Aggregate Revolving Commitments at such time, the Letter of Credit Sublimit or the Swing Line Sublimit, as the case may be, shall be automatically reduced by the amount of such excess.</w:t>
      </w:r>
    </w:p>
    <w:p>
      <w:pPr>
        <w:spacing w:after="0" w:line="181" w:lineRule="exact"/>
        <w:rPr>
          <w:rFonts w:ascii="Arial" w:cs="Arial" w:eastAsia="Arial" w:hAnsi="Arial"/>
          <w:sz w:val="18"/>
          <w:szCs w:val="18"/>
          <w:color w:val="auto"/>
        </w:rPr>
      </w:pPr>
    </w:p>
    <w:p>
      <w:pPr>
        <w:ind w:right="20" w:firstLine="656"/>
        <w:spacing w:after="0" w:line="257" w:lineRule="auto"/>
        <w:tabs>
          <w:tab w:leader="none" w:pos="134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 Payment of Fees</w:t>
      </w:r>
      <w:r>
        <w:rPr>
          <w:rFonts w:ascii="Arial" w:cs="Arial" w:eastAsia="Arial" w:hAnsi="Arial"/>
          <w:sz w:val="18"/>
          <w:szCs w:val="18"/>
          <w:color w:val="auto"/>
        </w:rPr>
        <w:t xml:space="preserve">. The Administrative Agent will promptly notify the Lenders of any termination or reduction of the Letter of Credit Sublimit, Swing Line Sublimit or the Revolving Commitment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any reduction of the Revolving Commitments, the Revolving Commitment of each Revolving Lender shall be reduced by such Lender’s Applicable Revolving Percentage of such reduction amount. All fees in respect of the Revolving Credit Facility accrued until the effective date of any termination of the Revolving Credit Facility shall be paid on the effective date of such termination.</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color w:val="auto"/>
        </w:rPr>
        <w:t>Repayment of Loans</w:t>
      </w:r>
      <w:r>
        <w:rPr>
          <w:rFonts w:ascii="Arial" w:cs="Arial" w:eastAsia="Arial" w:hAnsi="Arial"/>
          <w:sz w:val="16"/>
          <w:szCs w:val="16"/>
          <w:color w:val="auto"/>
        </w:rPr>
        <w:t>.</w:t>
      </w:r>
    </w:p>
    <w:p>
      <w:pPr>
        <w:sectPr>
          <w:pgSz w:w="11900" w:h="16838" w:orient="portrait"/>
          <w:cols w:equalWidth="0" w:num="1">
            <w:col w:w="11400"/>
          </w:cols>
          <w:pgMar w:left="240" w:top="125" w:right="259" w:bottom="36" w:gutter="0" w:footer="0" w:header="0"/>
        </w:sectPr>
      </w:pPr>
    </w:p>
    <w:bookmarkStart w:id="36" w:name="page37"/>
    <w:bookmarkEnd w:id="36"/>
    <w:p>
      <w:pPr>
        <w:spacing w:after="0" w:line="90" w:lineRule="exact"/>
        <w:rPr>
          <w:sz w:val="20"/>
          <w:szCs w:val="20"/>
          <w:color w:val="auto"/>
        </w:rPr>
      </w:pPr>
    </w:p>
    <w:p>
      <w:pPr>
        <w:ind w:right="180" w:firstLine="656"/>
        <w:spacing w:after="0" w:line="286" w:lineRule="auto"/>
        <w:tabs>
          <w:tab w:leader="none" w:pos="134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Domestic Term Loans</w:t>
      </w:r>
      <w:r>
        <w:rPr>
          <w:rFonts w:ascii="Arial" w:cs="Arial" w:eastAsia="Arial" w:hAnsi="Arial"/>
          <w:sz w:val="17"/>
          <w:szCs w:val="17"/>
          <w:color w:val="auto"/>
        </w:rPr>
        <w:t xml:space="preserve">. WFS shall repay to the Domestic Term Loan Lenders the aggregate principal amount of all Domestic Term Loans outstanding on the following dates in the respective amounts set forth opposite such dates (which amounts shall be reduced as a result of the application of prepayments in accordance with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if applicable, and with the order of priority set forth in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660" w:type="dxa"/>
            <w:vAlign w:val="bottom"/>
          </w:tcPr>
          <w:p>
            <w:pPr>
              <w:spacing w:after="0"/>
              <w:rPr>
                <w:sz w:val="14"/>
                <w:szCs w:val="14"/>
                <w:color w:val="auto"/>
              </w:rPr>
            </w:pPr>
          </w:p>
        </w:tc>
      </w:tr>
      <w:tr>
        <w:trPr>
          <w:trHeight w:val="210"/>
        </w:trPr>
        <w:tc>
          <w:tcPr>
            <w:tcW w:w="1960" w:type="dxa"/>
            <w:vAlign w:val="bottom"/>
          </w:tcPr>
          <w:p>
            <w:pPr>
              <w:spacing w:after="0"/>
              <w:rPr>
                <w:sz w:val="18"/>
                <w:szCs w:val="18"/>
                <w:color w:val="auto"/>
              </w:rPr>
            </w:pPr>
          </w:p>
        </w:tc>
        <w:tc>
          <w:tcPr>
            <w:tcW w:w="3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2013</w:t>
            </w:r>
          </w:p>
        </w:tc>
        <w:tc>
          <w:tcPr>
            <w:tcW w:w="34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266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35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2014</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2660" w:type="dxa"/>
            <w:vAlign w:val="bottom"/>
          </w:tcPr>
          <w:p>
            <w:pPr>
              <w:spacing w:after="0"/>
              <w:rPr>
                <w:sz w:val="20"/>
                <w:szCs w:val="20"/>
                <w:color w:val="auto"/>
              </w:rPr>
            </w:pPr>
          </w:p>
        </w:tc>
      </w:tr>
      <w:tr>
        <w:trPr>
          <w:trHeight w:val="418"/>
        </w:trPr>
        <w:tc>
          <w:tcPr>
            <w:tcW w:w="19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tcPr>
          <w:p>
            <w:pPr>
              <w:jc w:val="right"/>
              <w:ind w:right="2911"/>
              <w:spacing w:after="0"/>
              <w:rPr>
                <w:sz w:val="20"/>
                <w:szCs w:val="20"/>
                <w:color w:val="auto"/>
              </w:rPr>
            </w:pPr>
            <w:r>
              <w:rPr>
                <w:rFonts w:ascii="Arial" w:cs="Arial" w:eastAsia="Arial" w:hAnsi="Arial"/>
                <w:sz w:val="18"/>
                <w:szCs w:val="18"/>
                <w:color w:val="auto"/>
              </w:rPr>
              <w:t>59</w:t>
            </w:r>
          </w:p>
        </w:tc>
        <w:tc>
          <w:tcPr>
            <w:tcW w:w="2660" w:type="dxa"/>
            <w:vAlign w:val="bottom"/>
          </w:tcPr>
          <w:p>
            <w:pPr>
              <w:spacing w:after="0"/>
              <w:rPr>
                <w:sz w:val="24"/>
                <w:szCs w:val="24"/>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gridSpan w:val="2"/>
          </w:tcPr>
          <w:p>
            <w:pPr>
              <w:spacing w:after="0"/>
              <w:rPr>
                <w:sz w:val="11"/>
                <w:szCs w:val="11"/>
                <w:color w:val="auto"/>
              </w:rPr>
            </w:pPr>
          </w:p>
        </w:tc>
        <w:tc>
          <w:tcPr>
            <w:tcW w:w="328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r>
      <w:tr>
        <w:trPr>
          <w:trHeight w:val="713"/>
        </w:trPr>
        <w:tc>
          <w:tcPr>
            <w:tcW w:w="19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660" w:type="dxa"/>
            <w:vAlign w:val="bottom"/>
          </w:tcPr>
          <w:p>
            <w:pPr>
              <w:spacing w:after="0"/>
              <w:rPr>
                <w:sz w:val="24"/>
                <w:szCs w:val="24"/>
                <w:color w:val="auto"/>
              </w:rPr>
            </w:pPr>
          </w:p>
        </w:tc>
      </w:tr>
      <w:tr>
        <w:trPr>
          <w:trHeight w:val="210"/>
        </w:trPr>
        <w:tc>
          <w:tcPr>
            <w:tcW w:w="1960" w:type="dxa"/>
            <w:vAlign w:val="bottom"/>
          </w:tcPr>
          <w:p>
            <w:pPr>
              <w:spacing w:after="0"/>
              <w:rPr>
                <w:sz w:val="18"/>
                <w:szCs w:val="18"/>
                <w:color w:val="auto"/>
              </w:rPr>
            </w:pPr>
          </w:p>
        </w:tc>
        <w:tc>
          <w:tcPr>
            <w:tcW w:w="3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30, 2014</w:t>
            </w:r>
          </w:p>
        </w:tc>
        <w:tc>
          <w:tcPr>
            <w:tcW w:w="34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2014</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December 31, 2014</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$970,000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2015</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$970,000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June 30, 2015</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$970,000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2015</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$970,000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December 31, 2015</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$1,940,000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2016</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$1,940,000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June 30, 2016</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$1,940,000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2016</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$1,940,000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December 31, 2016</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$2,910,000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2017</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$2,910,000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June 30, 2017</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$2,910,000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2017</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$2,910,000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December 31, 2017</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$3,880,000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2018</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$3,880,000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June 30, 2018</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$3,880,000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2018</w:t>
            </w:r>
          </w:p>
        </w:tc>
        <w:tc>
          <w:tcPr>
            <w:tcW w:w="3280" w:type="dxa"/>
            <w:vAlign w:val="bottom"/>
          </w:tcPr>
          <w:p>
            <w:pPr>
              <w:jc w:val="center"/>
              <w:spacing w:after="0"/>
              <w:rPr>
                <w:sz w:val="20"/>
                <w:szCs w:val="20"/>
                <w:color w:val="auto"/>
              </w:rPr>
            </w:pPr>
            <w:r>
              <w:rPr>
                <w:rFonts w:ascii="Arial" w:cs="Arial" w:eastAsia="Arial" w:hAnsi="Arial"/>
                <w:sz w:val="18"/>
                <w:szCs w:val="18"/>
                <w:color w:val="auto"/>
                <w:w w:val="88"/>
              </w:rPr>
              <w:t>$3,880,000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Maturity Date</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All remaining amounts outstanding</w:t>
            </w:r>
          </w:p>
        </w:tc>
        <w:tc>
          <w:tcPr>
            <w:tcW w:w="26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-3097530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-3097530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final principal repayment installment of the Domestic Term Loans shall be repaid on the Maturity Date for the Domestic Term Loan Facility and in any event shall be in an amount equal to the aggregate principal amount of all Domestic Term Loans outstanding.</w:t>
      </w:r>
    </w:p>
    <w:p>
      <w:pPr>
        <w:spacing w:after="0" w:line="147" w:lineRule="exact"/>
        <w:rPr>
          <w:sz w:val="20"/>
          <w:szCs w:val="20"/>
          <w:color w:val="auto"/>
        </w:rPr>
      </w:pPr>
    </w:p>
    <w:p>
      <w:pPr>
        <w:ind w:right="200" w:firstLine="656"/>
        <w:spacing w:after="0" w:line="286" w:lineRule="auto"/>
        <w:tabs>
          <w:tab w:leader="none" w:pos="1353"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Singapore Term Loans</w:t>
      </w:r>
      <w:r>
        <w:rPr>
          <w:rFonts w:ascii="Arial" w:cs="Arial" w:eastAsia="Arial" w:hAnsi="Arial"/>
          <w:sz w:val="17"/>
          <w:szCs w:val="17"/>
          <w:color w:val="auto"/>
        </w:rPr>
        <w:t xml:space="preserve">. WFS Singapore shall repay to the Singapore Term Loan Lenders the aggregate principal amount of all Singapore Term Loans outstanding on the following dates in the respective amounts set forth opposite such dates (which amounts shall be reduced as a result of the application of prepayments in accordance with </w:t>
      </w:r>
      <w:r>
        <w:rPr>
          <w:rFonts w:ascii="Arial" w:cs="Arial" w:eastAsia="Arial" w:hAnsi="Arial"/>
          <w:sz w:val="17"/>
          <w:szCs w:val="17"/>
          <w:u w:val="single" w:color="auto"/>
          <w:color w:val="auto"/>
        </w:rPr>
        <w:t>Section 2.05(d)</w:t>
      </w:r>
      <w:r>
        <w:rPr>
          <w:rFonts w:ascii="Arial" w:cs="Arial" w:eastAsia="Arial" w:hAnsi="Arial"/>
          <w:sz w:val="17"/>
          <w:szCs w:val="17"/>
          <w:color w:val="auto"/>
        </w:rPr>
        <w:t xml:space="preserve">, if applicable, and with the order of priority set forth in </w:t>
      </w:r>
      <w:r>
        <w:rPr>
          <w:rFonts w:ascii="Arial" w:cs="Arial" w:eastAsia="Arial" w:hAnsi="Arial"/>
          <w:sz w:val="17"/>
          <w:szCs w:val="17"/>
          <w:u w:val="single" w:color="auto"/>
          <w:color w:val="auto"/>
        </w:rPr>
        <w:t>Section 2.05</w:t>
      </w:r>
      <w:r>
        <w:rPr>
          <w:rFonts w:ascii="Arial" w:cs="Arial" w:eastAsia="Arial" w:hAnsi="Arial"/>
          <w:sz w:val="17"/>
          <w:szCs w:val="17"/>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660" w:type="dxa"/>
            <w:vAlign w:val="bottom"/>
          </w:tcPr>
          <w:p>
            <w:pPr>
              <w:spacing w:after="0"/>
              <w:rPr>
                <w:sz w:val="14"/>
                <w:szCs w:val="14"/>
                <w:color w:val="auto"/>
              </w:rPr>
            </w:pPr>
          </w:p>
        </w:tc>
      </w:tr>
      <w:tr>
        <w:trPr>
          <w:trHeight w:val="210"/>
        </w:trPr>
        <w:tc>
          <w:tcPr>
            <w:tcW w:w="1960" w:type="dxa"/>
            <w:vAlign w:val="bottom"/>
          </w:tcPr>
          <w:p>
            <w:pPr>
              <w:spacing w:after="0"/>
              <w:rPr>
                <w:sz w:val="18"/>
                <w:szCs w:val="18"/>
                <w:color w:val="auto"/>
              </w:rPr>
            </w:pPr>
          </w:p>
        </w:tc>
        <w:tc>
          <w:tcPr>
            <w:tcW w:w="3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31, 2013</w:t>
            </w:r>
          </w:p>
        </w:tc>
        <w:tc>
          <w:tcPr>
            <w:tcW w:w="34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2014</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June 30, 2014</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2014</w:t>
            </w:r>
          </w:p>
        </w:tc>
        <w:tc>
          <w:tcPr>
            <w:tcW w:w="328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December 31, 2014</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$242,500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2015</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$242,500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June 30, 2015</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$242,500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 2015</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$242,500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December 31, 2015</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$485,000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March 31, 2016</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$485,000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7"/>
              </w:rPr>
              <w:t>June 30, 2016</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$485,000</w:t>
            </w:r>
          </w:p>
        </w:tc>
        <w:tc>
          <w:tcPr>
            <w:tcW w:w="2660" w:type="dxa"/>
            <w:vAlign w:val="bottom"/>
          </w:tcPr>
          <w:p>
            <w:pPr>
              <w:spacing w:after="0"/>
              <w:rPr>
                <w:sz w:val="18"/>
                <w:szCs w:val="18"/>
                <w:color w:val="auto"/>
              </w:rPr>
            </w:pPr>
          </w:p>
        </w:tc>
      </w:tr>
      <w:tr>
        <w:trPr>
          <w:trHeight w:val="432"/>
        </w:trPr>
        <w:tc>
          <w:tcPr>
            <w:tcW w:w="19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tcPr>
          <w:p>
            <w:pPr>
              <w:jc w:val="right"/>
              <w:ind w:right="2911"/>
              <w:spacing w:after="0"/>
              <w:rPr>
                <w:sz w:val="20"/>
                <w:szCs w:val="20"/>
                <w:color w:val="auto"/>
              </w:rPr>
            </w:pPr>
            <w:r>
              <w:rPr>
                <w:rFonts w:ascii="Arial" w:cs="Arial" w:eastAsia="Arial" w:hAnsi="Arial"/>
                <w:sz w:val="18"/>
                <w:szCs w:val="18"/>
                <w:color w:val="auto"/>
              </w:rPr>
              <w:t>60</w:t>
            </w:r>
          </w:p>
        </w:tc>
        <w:tc>
          <w:tcPr>
            <w:tcW w:w="2660" w:type="dxa"/>
            <w:vAlign w:val="bottom"/>
          </w:tcPr>
          <w:p>
            <w:pPr>
              <w:spacing w:after="0"/>
              <w:rPr>
                <w:sz w:val="24"/>
                <w:szCs w:val="24"/>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gridSpan w:val="2"/>
          </w:tcPr>
          <w:p>
            <w:pPr>
              <w:spacing w:after="0"/>
              <w:rPr>
                <w:sz w:val="11"/>
                <w:szCs w:val="11"/>
                <w:color w:val="auto"/>
              </w:rPr>
            </w:pPr>
          </w:p>
        </w:tc>
        <w:tc>
          <w:tcPr>
            <w:tcW w:w="3280" w:type="dxa"/>
            <w:vAlign w:val="bottom"/>
            <w:tcBorders>
              <w:bottom w:val="single" w:sz="8" w:color="010101"/>
            </w:tcBorders>
          </w:tcPr>
          <w:p>
            <w:pPr>
              <w:spacing w:after="0"/>
              <w:rPr>
                <w:sz w:val="11"/>
                <w:szCs w:val="11"/>
                <w:color w:val="auto"/>
              </w:rPr>
            </w:pPr>
          </w:p>
        </w:tc>
        <w:tc>
          <w:tcPr>
            <w:tcW w:w="2660" w:type="dxa"/>
            <w:vAlign w:val="bottom"/>
            <w:tcBorders>
              <w:bottom w:val="single" w:sz="8" w:color="010101"/>
            </w:tcBorders>
          </w:tcPr>
          <w:p>
            <w:pPr>
              <w:spacing w:after="0"/>
              <w:rPr>
                <w:sz w:val="11"/>
                <w:szCs w:val="11"/>
                <w:color w:val="auto"/>
              </w:rPr>
            </w:pPr>
          </w:p>
        </w:tc>
      </w:tr>
      <w:tr>
        <w:trPr>
          <w:trHeight w:val="713"/>
        </w:trPr>
        <w:tc>
          <w:tcPr>
            <w:tcW w:w="19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660" w:type="dxa"/>
            <w:vAlign w:val="bottom"/>
          </w:tcPr>
          <w:p>
            <w:pPr>
              <w:spacing w:after="0"/>
              <w:rPr>
                <w:sz w:val="24"/>
                <w:szCs w:val="24"/>
                <w:color w:val="auto"/>
              </w:rPr>
            </w:pPr>
          </w:p>
        </w:tc>
      </w:tr>
      <w:tr>
        <w:trPr>
          <w:trHeight w:val="210"/>
        </w:trPr>
        <w:tc>
          <w:tcPr>
            <w:tcW w:w="1960" w:type="dxa"/>
            <w:vAlign w:val="bottom"/>
          </w:tcPr>
          <w:p>
            <w:pPr>
              <w:spacing w:after="0"/>
              <w:rPr>
                <w:sz w:val="18"/>
                <w:szCs w:val="18"/>
                <w:color w:val="auto"/>
              </w:rPr>
            </w:pPr>
          </w:p>
        </w:tc>
        <w:tc>
          <w:tcPr>
            <w:tcW w:w="3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30, 2016</w:t>
            </w:r>
          </w:p>
        </w:tc>
        <w:tc>
          <w:tcPr>
            <w:tcW w:w="34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$485,000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31, 2016</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$727,500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March 31, 2017</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$727,500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June 30, 2017</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$727,500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September 30, 2017</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$727,500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December 31, 2017</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$970,000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March 31, 2018</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$970,000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June 30, 2018</w:t>
            </w:r>
          </w:p>
        </w:tc>
        <w:tc>
          <w:tcPr>
            <w:tcW w:w="3280" w:type="dxa"/>
            <w:vAlign w:val="bottom"/>
          </w:tcPr>
          <w:p>
            <w:pPr>
              <w:jc w:val="center"/>
              <w:spacing w:after="0"/>
              <w:rPr>
                <w:sz w:val="20"/>
                <w:szCs w:val="20"/>
                <w:color w:val="auto"/>
              </w:rPr>
            </w:pPr>
            <w:r>
              <w:rPr>
                <w:rFonts w:ascii="Arial" w:cs="Arial" w:eastAsia="Arial" w:hAnsi="Arial"/>
                <w:sz w:val="18"/>
                <w:szCs w:val="18"/>
                <w:color w:val="auto"/>
                <w:w w:val="90"/>
              </w:rPr>
              <w:t>$970,000</w:t>
            </w:r>
          </w:p>
        </w:tc>
        <w:tc>
          <w:tcPr>
            <w:tcW w:w="266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35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September 30, 2018</w:t>
            </w:r>
          </w:p>
        </w:tc>
        <w:tc>
          <w:tcPr>
            <w:tcW w:w="3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$970,000</w:t>
            </w:r>
          </w:p>
        </w:tc>
        <w:tc>
          <w:tcPr>
            <w:tcW w:w="266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35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Maturity Date</w:t>
            </w:r>
          </w:p>
        </w:tc>
        <w:tc>
          <w:tcPr>
            <w:tcW w:w="3280" w:type="dxa"/>
            <w:vAlign w:val="bottom"/>
          </w:tcPr>
          <w:p>
            <w:pPr>
              <w:jc w:val="center"/>
              <w:spacing w:after="0"/>
              <w:rPr>
                <w:sz w:val="20"/>
                <w:szCs w:val="20"/>
                <w:color w:val="auto"/>
              </w:rPr>
            </w:pPr>
            <w:r>
              <w:rPr>
                <w:rFonts w:ascii="Arial" w:cs="Arial" w:eastAsia="Arial" w:hAnsi="Arial"/>
                <w:sz w:val="18"/>
                <w:szCs w:val="18"/>
                <w:color w:val="auto"/>
                <w:w w:val="92"/>
              </w:rPr>
              <w:t>All remaining amounts outstanding</w:t>
            </w:r>
          </w:p>
        </w:tc>
        <w:tc>
          <w:tcPr>
            <w:tcW w:w="26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-1871345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-1871345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final principal repayment installment of the Singapore Term Loans shall be repaid on the Maturity Date for the Singapore Term Loan Facility and in any event shall be in an amount equal to the aggregate principal amount of all Singapore Term Loans outstanding.</w:t>
      </w:r>
    </w:p>
    <w:p>
      <w:pPr>
        <w:spacing w:after="0" w:line="147" w:lineRule="exact"/>
        <w:rPr>
          <w:sz w:val="20"/>
          <w:szCs w:val="20"/>
          <w:color w:val="auto"/>
        </w:rPr>
      </w:pPr>
    </w:p>
    <w:p>
      <w:pPr>
        <w:ind w:right="140" w:firstLine="656"/>
        <w:spacing w:after="0" w:line="277" w:lineRule="auto"/>
        <w:tabs>
          <w:tab w:leader="none" w:pos="134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Borrowers shall repay to the Revolving Lenders on the Maturity Date the aggregate principal amount of Revolving Loans outstanding on such date.</w:t>
      </w:r>
    </w:p>
    <w:p>
      <w:pPr>
        <w:spacing w:after="0" w:line="170" w:lineRule="exact"/>
        <w:rPr>
          <w:rFonts w:ascii="Arial" w:cs="Arial" w:eastAsia="Arial" w:hAnsi="Arial"/>
          <w:sz w:val="18"/>
          <w:szCs w:val="18"/>
          <w:color w:val="auto"/>
        </w:rPr>
      </w:pPr>
    </w:p>
    <w:p>
      <w:pPr>
        <w:ind w:right="340" w:firstLine="656"/>
        <w:spacing w:after="0" w:line="277" w:lineRule="auto"/>
        <w:tabs>
          <w:tab w:leader="none" w:pos="135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The Borrowers shall repay each Swing Line Loan on the earlier to occur of (i) the date ten (10) Business Days after such Loan is made and (ii) the Maturity Date.</w:t>
      </w:r>
    </w:p>
    <w:p>
      <w:pPr>
        <w:sectPr>
          <w:pgSz w:w="11900" w:h="16929" w:orient="portrait"/>
          <w:cols w:equalWidth="0" w:num="1">
            <w:col w:w="11460"/>
          </w:cols>
          <w:pgMar w:left="240" w:top="125" w:right="199" w:bottom="0" w:gutter="0" w:footer="0" w:header="0"/>
        </w:sectPr>
      </w:pPr>
    </w:p>
    <w:bookmarkStart w:id="37" w:name="page38"/>
    <w:bookmarkEnd w:id="37"/>
    <w:p>
      <w:pPr>
        <w:spacing w:after="0" w:line="3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229" w:lineRule="exact"/>
        <w:rPr>
          <w:sz w:val="20"/>
          <w:szCs w:val="20"/>
          <w:color w:val="auto"/>
        </w:rPr>
      </w:pPr>
    </w:p>
    <w:p>
      <w:pPr>
        <w:ind w:right="60" w:firstLine="656"/>
        <w:spacing w:after="0" w:line="255" w:lineRule="auto"/>
        <w:tabs>
          <w:tab w:leader="none" w:pos="1343"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(i) each Eurodollar Rate Loan under a Facility shall bear interest on the outstanding principal amount thereof for each Interest Period at a rate per annum equal to the Eurodollar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such Eurodollar Rate Loan; (ii) each Base Rate Loan under a Facility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such Base Rate Loan; and (iii) each Swing Line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Base Rate Loans.</w:t>
      </w:r>
    </w:p>
    <w:p>
      <w:pPr>
        <w:spacing w:after="0" w:line="193" w:lineRule="exact"/>
        <w:rPr>
          <w:rFonts w:ascii="Arial" w:cs="Arial" w:eastAsia="Arial" w:hAnsi="Arial"/>
          <w:sz w:val="18"/>
          <w:szCs w:val="18"/>
          <w:color w:val="auto"/>
        </w:rPr>
      </w:pPr>
    </w:p>
    <w:p>
      <w:pPr>
        <w:ind w:right="220" w:firstLine="656"/>
        <w:spacing w:after="0" w:line="264" w:lineRule="auto"/>
        <w:tabs>
          <w:tab w:leader="none" w:pos="13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1" w:lineRule="exact"/>
        <w:rPr>
          <w:rFonts w:ascii="Arial" w:cs="Arial" w:eastAsia="Arial" w:hAnsi="Arial"/>
          <w:sz w:val="18"/>
          <w:szCs w:val="18"/>
          <w:color w:val="auto"/>
        </w:rPr>
      </w:pPr>
    </w:p>
    <w:p>
      <w:pPr>
        <w:ind w:firstLine="656"/>
        <w:spacing w:after="0" w:line="312" w:lineRule="auto"/>
        <w:tabs>
          <w:tab w:leader="none" w:pos="1343"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any amount (other than principal of any Loan) payable by the Borrowers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64" w:lineRule="auto"/>
        <w:tabs>
          <w:tab w:leader="none" w:pos="13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181" w:lineRule="exact"/>
        <w:rPr>
          <w:rFonts w:ascii="Arial" w:cs="Arial" w:eastAsia="Arial" w:hAnsi="Arial"/>
          <w:sz w:val="18"/>
          <w:szCs w:val="18"/>
          <w:color w:val="auto"/>
        </w:rPr>
      </w:pPr>
    </w:p>
    <w:p>
      <w:pPr>
        <w:ind w:left="1360" w:hanging="704"/>
        <w:spacing w:after="0"/>
        <w:tabs>
          <w:tab w:leader="none" w:pos="13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236" w:lineRule="exact"/>
        <w:rPr>
          <w:rFonts w:ascii="Arial" w:cs="Arial" w:eastAsia="Arial" w:hAnsi="Arial"/>
          <w:sz w:val="17"/>
          <w:szCs w:val="17"/>
          <w:color w:val="auto"/>
        </w:rPr>
      </w:pPr>
    </w:p>
    <w:p>
      <w:pPr>
        <w:ind w:firstLine="656"/>
        <w:spacing w:after="0" w:line="257" w:lineRule="auto"/>
        <w:tabs>
          <w:tab w:leader="none" w:pos="136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Notwithstanding the foregoing, WFS Europe and WFS Singapore shall have no obligation to pay interest accrued on Loans advanced solely to WFS (other than Loans advanced to WFS Europe and/or WFS Singapore for their benefit at the request of the Borrowing Agent).</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2.09</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In addition to certain fees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subsections (i)</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(k)</w:t>
      </w:r>
      <w:r>
        <w:rPr>
          <w:rFonts w:ascii="Arial" w:cs="Arial" w:eastAsia="Arial" w:hAnsi="Arial"/>
          <w:sz w:val="16"/>
          <w:szCs w:val="16"/>
          <w:b w:val="1"/>
          <w:bCs w:val="1"/>
          <w:color w:val="auto"/>
        </w:rPr>
        <w:t xml:space="preserve"> </w:t>
      </w:r>
      <w:r>
        <w:rPr>
          <w:rFonts w:ascii="Arial" w:cs="Arial" w:eastAsia="Arial" w:hAnsi="Arial"/>
          <w:sz w:val="16"/>
          <w:szCs w:val="16"/>
          <w:color w:val="auto"/>
        </w:rPr>
        <w:t>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229" w:lineRule="exact"/>
        <w:rPr>
          <w:sz w:val="20"/>
          <w:szCs w:val="20"/>
          <w:color w:val="auto"/>
        </w:rPr>
      </w:pPr>
    </w:p>
    <w:p>
      <w:pPr>
        <w:ind w:right="120" w:firstLine="656"/>
        <w:spacing w:after="0" w:line="271" w:lineRule="auto"/>
        <w:tabs>
          <w:tab w:leader="none" w:pos="1343"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The Borrowers shall pay to the Administrative Agent for the account of each Revolving Lender in accordance with its Applicable Revolving Percentage, a commitment fee equal to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actual daily amount by which the Aggregate Revolving Commitments exceed the sum of (i) the Outstanding Amount of Revolving Loans and (ii) the Outstanding Amount of L/C-BA Obligations, subject to adjustment as provided in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 commitment fee shall accrue at all times during the Availability Period, including at any time during which one or more of the conditions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78" w:lineRule="exact"/>
        <w:rPr>
          <w:rFonts w:ascii="Arial" w:cs="Arial" w:eastAsia="Arial" w:hAnsi="Arial"/>
          <w:sz w:val="17"/>
          <w:szCs w:val="17"/>
          <w:color w:val="auto"/>
        </w:rPr>
      </w:pPr>
    </w:p>
    <w:p>
      <w:pPr>
        <w:ind w:right="180" w:firstLine="656"/>
        <w:spacing w:after="0" w:line="264" w:lineRule="auto"/>
        <w:tabs>
          <w:tab w:leader="none" w:pos="1353"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Borrowers shall pay to each Joint Lead Arranger and the Administrative Agent for their own respective accounts fees in the amounts and at the times specified in the respective Fee Letters. Such fees shall be fully earned when paid and shall not be refundable for any reason whatsoever.</w:t>
      </w:r>
    </w:p>
    <w:p>
      <w:pPr>
        <w:spacing w:after="0" w:line="17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Computation of Interest and Fees; Retroactive Adjustments of Applicable Rate</w:t>
      </w:r>
      <w:r>
        <w:rPr>
          <w:rFonts w:ascii="Arial" w:cs="Arial" w:eastAsia="Arial" w:hAnsi="Arial"/>
          <w:sz w:val="16"/>
          <w:szCs w:val="16"/>
          <w:color w:val="auto"/>
        </w:rPr>
        <w:t>.</w:t>
      </w:r>
    </w:p>
    <w:p>
      <w:pPr>
        <w:spacing w:after="0" w:line="229" w:lineRule="exact"/>
        <w:rPr>
          <w:sz w:val="20"/>
          <w:szCs w:val="20"/>
          <w:color w:val="auto"/>
        </w:rPr>
      </w:pPr>
    </w:p>
    <w:p>
      <w:pPr>
        <w:ind w:right="120" w:firstLine="656"/>
        <w:spacing w:after="0" w:line="279" w:lineRule="auto"/>
        <w:tabs>
          <w:tab w:leader="none" w:pos="1343" w:val="left"/>
        </w:tabs>
        <w:numPr>
          <w:ilvl w:val="0"/>
          <w:numId w:val="83"/>
        </w:numPr>
        <w:rPr>
          <w:rFonts w:ascii="Arial" w:cs="Arial" w:eastAsia="Arial" w:hAnsi="Arial"/>
          <w:sz w:val="17"/>
          <w:szCs w:val="17"/>
          <w:color w:val="auto"/>
        </w:rPr>
      </w:pPr>
      <w:r>
        <w:rPr>
          <w:rFonts w:ascii="Arial" w:cs="Arial" w:eastAsia="Arial" w:hAnsi="Arial"/>
          <w:sz w:val="17"/>
          <w:szCs w:val="17"/>
          <w:color w:val="auto"/>
        </w:rPr>
        <w:t>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81" w:lineRule="exact"/>
        <w:rPr>
          <w:sz w:val="20"/>
          <w:szCs w:val="20"/>
          <w:color w:val="auto"/>
        </w:rPr>
      </w:pPr>
    </w:p>
    <w:p>
      <w:pPr>
        <w:ind w:firstLine="656"/>
        <w:spacing w:after="0" w:line="270" w:lineRule="auto"/>
        <w:tabs>
          <w:tab w:leader="none" w:pos="1353"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If, as a result of any restatement of or other adjustment to the financial statements of WFS or any Restricted Subsidiary or for any other reason, the Borrowers or the Lenders determine that (i) the Consolidated Total Leverage Ratio as calculated by the Borrowers as of any applicable date was inaccurate and (ii) a proper calculation of the Consolidated Total Leverage Ratio would have resulted in higher pricing for such period, the Borrowers shall immediately and retroactively be obligated to pay to the Administrative Agent for the account of the applicable Lenders or the L/C-BA Issuer, as the case may be, promptly on demand by the Administrative Agent (or, after the occurrence of an actual or deemed entry of an order for relief with respect to the Borrowers under any Debtor Relief Law, automatically and without further action by the Administrative Agent, any Lender or the L/C-BA Issuer), an amount equal to the excess of the amount of interest and fees that should have been paid for such period over the amount of interest and fees actually paid for such period. This paragraph shall not limit the rights of the Administrative Agent, any Lender or the L/C-BA Issuer, as the case may be, under </w:t>
      </w:r>
      <w:r>
        <w:rPr>
          <w:rFonts w:ascii="Arial" w:cs="Arial" w:eastAsia="Arial" w:hAnsi="Arial"/>
          <w:sz w:val="17"/>
          <w:szCs w:val="17"/>
          <w:u w:val="single" w:color="auto"/>
          <w:color w:val="auto"/>
        </w:rPr>
        <w:t>Section 2.03(d)(iii)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2.03(i)</w:t>
      </w:r>
      <w:r>
        <w:rPr>
          <w:rFonts w:ascii="Arial" w:cs="Arial" w:eastAsia="Arial" w:hAnsi="Arial"/>
          <w:sz w:val="17"/>
          <w:szCs w:val="17"/>
          <w:color w:val="auto"/>
        </w:rPr>
        <w:t xml:space="preserve">,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(k)</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2.08(b)</w:t>
      </w:r>
      <w:r>
        <w:rPr>
          <w:rFonts w:ascii="Arial" w:cs="Arial" w:eastAsia="Arial" w:hAnsi="Arial"/>
          <w:sz w:val="17"/>
          <w:szCs w:val="17"/>
          <w:color w:val="auto"/>
        </w:rPr>
        <w:t xml:space="preserve"> or under </w:t>
      </w:r>
      <w:r>
        <w:rPr>
          <w:rFonts w:ascii="Arial" w:cs="Arial" w:eastAsia="Arial" w:hAnsi="Arial"/>
          <w:sz w:val="17"/>
          <w:szCs w:val="17"/>
          <w:u w:val="single" w:color="auto"/>
          <w:color w:val="auto"/>
        </w:rPr>
        <w:t>Article VIII</w:t>
      </w:r>
      <w:r>
        <w:rPr>
          <w:rFonts w:ascii="Arial" w:cs="Arial" w:eastAsia="Arial" w:hAnsi="Arial"/>
          <w:sz w:val="17"/>
          <w:szCs w:val="17"/>
          <w:color w:val="auto"/>
        </w:rPr>
        <w:t>. The Borrowers’ obligations under this paragraph shall survive the termination of the Aggregate Commitments and the repayment of all other Obligations hereunder.</w:t>
      </w:r>
    </w:p>
    <w:p>
      <w:pPr>
        <w:spacing w:after="0" w:line="174"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Evidence of Debt</w:t>
      </w:r>
      <w:r>
        <w:rPr>
          <w:rFonts w:ascii="Arial" w:cs="Arial" w:eastAsia="Arial" w:hAnsi="Arial"/>
          <w:sz w:val="16"/>
          <w:szCs w:val="16"/>
          <w:color w:val="auto"/>
        </w:rPr>
        <w:t>.</w:t>
      </w:r>
    </w:p>
    <w:p>
      <w:pPr>
        <w:sectPr>
          <w:pgSz w:w="11900" w:h="16870" w:orient="portrait"/>
          <w:cols w:equalWidth="0" w:num="1">
            <w:col w:w="11420"/>
          </w:cols>
          <w:pgMar w:left="240" w:top="337" w:right="239" w:bottom="0" w:gutter="0" w:footer="0" w:header="0"/>
        </w:sectPr>
      </w:pPr>
    </w:p>
    <w:bookmarkStart w:id="38" w:name="page39"/>
    <w:bookmarkEnd w:id="38"/>
    <w:p>
      <w:pPr>
        <w:spacing w:after="0" w:line="137" w:lineRule="exact"/>
        <w:rPr>
          <w:sz w:val="20"/>
          <w:szCs w:val="20"/>
          <w:color w:val="auto"/>
        </w:rPr>
      </w:pPr>
    </w:p>
    <w:p>
      <w:pPr>
        <w:ind w:firstLine="656"/>
        <w:spacing w:after="0" w:line="289" w:lineRule="auto"/>
        <w:tabs>
          <w:tab w:leader="none" w:pos="1343"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a Revolving Note or a Term Loan Note, as the case may be,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66" w:lineRule="exact"/>
        <w:rPr>
          <w:rFonts w:ascii="Arial" w:cs="Arial" w:eastAsia="Arial" w:hAnsi="Arial"/>
          <w:sz w:val="16"/>
          <w:szCs w:val="16"/>
          <w:color w:val="auto"/>
        </w:rPr>
      </w:pPr>
    </w:p>
    <w:p>
      <w:pPr>
        <w:ind w:right="40" w:firstLine="656"/>
        <w:spacing w:after="0" w:line="257" w:lineRule="auto"/>
        <w:tabs>
          <w:tab w:leader="none" w:pos="13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In addition to the accounts and records referred to in </w:t>
      </w:r>
      <w:r>
        <w:rPr>
          <w:rFonts w:ascii="Arial" w:cs="Arial" w:eastAsia="Arial" w:hAnsi="Arial"/>
          <w:sz w:val="18"/>
          <w:szCs w:val="18"/>
          <w:u w:val="single" w:color="auto"/>
          <w:color w:val="auto"/>
        </w:rPr>
        <w:t>subsection (a)</w:t>
      </w:r>
      <w:r>
        <w:rPr>
          <w:rFonts w:ascii="Arial" w:cs="Arial" w:eastAsia="Arial" w:hAnsi="Arial"/>
          <w:sz w:val="18"/>
          <w:szCs w:val="18"/>
          <w:color w:val="auto"/>
        </w:rPr>
        <w:t>, each Lender and the Administrative Agent shall maintain in accordance with its usual practice accounts or records evidencing the purchases and sales by such Lender of participations in Letters of Credit, Bankers’ Acceptances and Swing Line Loans. In the event of any conflict between the accounts and records maintained by the Administrative Agent and the accounts and records of any Revolving Lender in respect of such matters, the accounts and records of the Administrative Agent shall control in the absence of manifest error.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Payments Generally; Administrative Agent’s Clawback</w:t>
      </w:r>
      <w:r>
        <w:rPr>
          <w:rFonts w:ascii="Arial" w:cs="Arial" w:eastAsia="Arial" w:hAnsi="Arial"/>
          <w:sz w:val="16"/>
          <w:szCs w:val="16"/>
          <w:color w:val="auto"/>
        </w:rPr>
        <w:t>.</w:t>
      </w:r>
    </w:p>
    <w:p>
      <w:pPr>
        <w:spacing w:after="0" w:line="229" w:lineRule="exact"/>
        <w:rPr>
          <w:sz w:val="20"/>
          <w:szCs w:val="20"/>
          <w:color w:val="auto"/>
        </w:rPr>
      </w:pPr>
    </w:p>
    <w:p>
      <w:pPr>
        <w:ind w:right="100" w:firstLine="656"/>
        <w:spacing w:after="0" w:line="289" w:lineRule="auto"/>
        <w:tabs>
          <w:tab w:leader="none" w:pos="1343"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Borrowers shall be made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Dollars and in immediately available funds not later than 2:00 p.m. on the date specified herein; provided that, for the sake of clarity, all payments made in respect of the Singapore Term Loans shall be made through the Singapore Agent at its Administrative Agent’s Office.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Borrowers shall come due on a day other than a Business Day, payment shall be made on the next following Business Day, and such extension of time shall be reflected in computing interest or fees, as the case may be.</w:t>
      </w:r>
    </w:p>
    <w:p>
      <w:pPr>
        <w:spacing w:after="0" w:line="166" w:lineRule="exact"/>
        <w:rPr>
          <w:rFonts w:ascii="Arial" w:cs="Arial" w:eastAsia="Arial" w:hAnsi="Arial"/>
          <w:sz w:val="16"/>
          <w:szCs w:val="16"/>
          <w:color w:val="auto"/>
        </w:rPr>
      </w:pPr>
    </w:p>
    <w:p>
      <w:pPr>
        <w:ind w:firstLine="656"/>
        <w:spacing w:after="0" w:line="285" w:lineRule="auto"/>
        <w:tabs>
          <w:tab w:leader="none" w:pos="1353"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Revolving Lenders; Presumption by Administrative Agent</w:t>
      </w:r>
      <w:r>
        <w:rPr>
          <w:rFonts w:ascii="Arial" w:cs="Arial" w:eastAsia="Arial" w:hAnsi="Arial"/>
          <w:sz w:val="16"/>
          <w:szCs w:val="16"/>
          <w:color w:val="auto"/>
        </w:rPr>
        <w:t xml:space="preserve">. Unless the Administrative Agent shall have received notice from a Revolving Lender prior to the proposed date of any Revolving Borrowing of Eurodollar Rate Loans (or, in the case of any Revolving Borrowing of Base Rate Loans, prior to 12:00 noon on the date of such Revolving Borrowing) that such Revolving Lender will not make available to the Administrative Agent such Revolving Lender’s share of such Revolving Borrowing, the Administrative Agent may assume that such Revolving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Revolving Borrowing of Base Rate Loans, that such Revolving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Borrowers a corresponding amount. In such event, if a Revolving Lender has not in fact made its share of the applicable Revolving Borrowing available to the Administrative Agent, then the applicable Revolving Lender and the Borrowers severally agree to pay to the Administrative Agent forthwith on demand such corresponding amount in immediately available funds with interest thereon, for each day from and including the date such amount is made available to the Borrowers to but excluding the date of payment to the Administrative Agent, at (A) in the case of a payment to be made by such Revolving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Borrowers, the interest rate applicable to Base Rate Loans. If the Borrowers and such Revolving Lender shall pay such interest to the Administrative Agent for the same or an overlapping period, the Administrative Agent shall promptly remit to the Borrowers the amount of such interest paid by the Borrowers for such period. If such Revolving Lender pays its share of the applicable Revolving Borrowing to the Administrative Agent, then the amount so paid shall constitute such Revolving Lender’s Revolving Loan included in such Revolving Borrowing. Any payment by the Borrowers shall not relieve any Revolving Lender of its funding obligations and shall be without prejudice to any claim the Borrowers may have against a Revolving Lender that shall have failed to make such payment to the Administrative Agent.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200" w:firstLine="647"/>
        <w:spacing w:after="0" w:line="289" w:lineRule="auto"/>
        <w:tabs>
          <w:tab w:leader="none" w:pos="2183"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Payments by Borrowers; Presumptions by Administrative Agent</w:t>
      </w:r>
      <w:r>
        <w:rPr>
          <w:rFonts w:ascii="Arial" w:cs="Arial" w:eastAsia="Arial" w:hAnsi="Arial"/>
          <w:sz w:val="16"/>
          <w:szCs w:val="16"/>
          <w:color w:val="auto"/>
        </w:rPr>
        <w:t>. Unless the Administrative Agent shall have received notice from the Borrowing Agent prior to the date on which any payment is due to the Administrative Agent for the account of the Lenders or the L/C-BA Issuer hereunder that the Borrowers will not make such payment, the Administrative Agent may assume that the Borrowers have made such payment on such date in accordance herewith and may, in reliance upon such assumption, distribute to the Appropriate Lenders or the L/C-BA Issuer, as the case may be, the amount due. In such event, if the Borrowers have not in fact made such payment, then each of the Appropriate Lenders or the L/C-BA Issuer, as the case may be, severally agrees to repay to the Administrative Agent forthwith on demand the amount so distributed to such Lender or the L/C-BA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6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A notice of the Administrative Agent to any Lender or the Borrowers with respect to any amount owing to the Administrative Agent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170" w:lineRule="exact"/>
        <w:rPr>
          <w:sz w:val="20"/>
          <w:szCs w:val="20"/>
          <w:color w:val="auto"/>
        </w:rPr>
      </w:pPr>
    </w:p>
    <w:p>
      <w:pPr>
        <w:jc w:val="both"/>
        <w:ind w:right="20" w:firstLine="656"/>
        <w:spacing w:after="0" w:line="279" w:lineRule="auto"/>
        <w:tabs>
          <w:tab w:leader="none" w:pos="1343"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Borrowers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ind w:right="20" w:firstLine="656"/>
        <w:spacing w:after="0" w:line="342" w:lineRule="auto"/>
        <w:tabs>
          <w:tab w:leader="none" w:pos="1353"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Obligations of Lenders Several</w:t>
      </w:r>
      <w:r>
        <w:rPr>
          <w:rFonts w:ascii="Arial" w:cs="Arial" w:eastAsia="Arial" w:hAnsi="Arial"/>
          <w:sz w:val="16"/>
          <w:szCs w:val="16"/>
          <w:color w:val="auto"/>
        </w:rPr>
        <w:t xml:space="preserve">. The obligations of the Lenders hereunder to make Term Loans and Revolving Loans, to fund participations in Letters of Credit, Bankers’ Acceptances and Swing Line Loans, as applicable, and to make payments pursuant to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are several</w:t>
      </w:r>
    </w:p>
    <w:p>
      <w:pPr>
        <w:sectPr>
          <w:pgSz w:w="11900" w:h="16975" w:orient="portrait"/>
          <w:cols w:equalWidth="0" w:num="1">
            <w:col w:w="11420"/>
          </w:cols>
          <w:pgMar w:left="240" w:top="341" w:right="239" w:bottom="0" w:gutter="0" w:footer="0" w:header="0"/>
        </w:sectPr>
      </w:pPr>
    </w:p>
    <w:bookmarkStart w:id="39" w:name="page40"/>
    <w:bookmarkEnd w:id="39"/>
    <w:p>
      <w:pPr>
        <w:spacing w:after="0" w:line="9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and not joint. The failure of any Lender to make any Loan, to fund any such participation or to make any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w:t>
      </w:r>
    </w:p>
    <w:p>
      <w:pPr>
        <w:spacing w:after="0" w:line="166" w:lineRule="exact"/>
        <w:rPr>
          <w:sz w:val="20"/>
          <w:szCs w:val="20"/>
          <w:color w:val="auto"/>
        </w:rPr>
      </w:pPr>
    </w:p>
    <w:p>
      <w:pPr>
        <w:ind w:right="20" w:firstLine="656"/>
        <w:spacing w:after="0" w:line="308" w:lineRule="auto"/>
        <w:tabs>
          <w:tab w:leader="none" w:pos="1343"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3" w:lineRule="exact"/>
        <w:rPr>
          <w:sz w:val="20"/>
          <w:szCs w:val="20"/>
          <w:color w:val="auto"/>
        </w:rPr>
      </w:pPr>
    </w:p>
    <w:p>
      <w:pPr>
        <w:jc w:val="both"/>
        <w:ind w:right="80" w:firstLine="648"/>
        <w:spacing w:after="0" w:line="261" w:lineRule="auto"/>
        <w:rPr>
          <w:sz w:val="20"/>
          <w:szCs w:val="20"/>
          <w:color w:val="auto"/>
        </w:rPr>
      </w:pPr>
      <w:r>
        <w:rPr>
          <w:rFonts w:ascii="Arial" w:cs="Arial" w:eastAsia="Arial" w:hAnsi="Arial"/>
          <w:sz w:val="18"/>
          <w:szCs w:val="18"/>
          <w:b w:val="1"/>
          <w:bCs w:val="1"/>
          <w:color w:val="auto"/>
        </w:rPr>
        <w:t>2.13 Sharing of Payments by Lenders</w:t>
      </w:r>
      <w:r>
        <w:rPr>
          <w:rFonts w:ascii="Arial" w:cs="Arial" w:eastAsia="Arial" w:hAnsi="Arial"/>
          <w:sz w:val="18"/>
          <w:szCs w:val="18"/>
          <w:color w:val="auto"/>
        </w:rPr>
        <w:t>. If any Lender shall, by exercising any right of setoff or counterclaim or otherwise, obtain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any principal of or interest on any of the Loans made by it, or the participations in L/C-BA Obligations or in Swing Line Loans held by it resulting in such Lender’s receiving payment of a proportion of the aggregate amount of such Loans or participations and accrued interest thereon greater than its pro rata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 xml:space="preserve">share thereof as provided herein, then the Lender receiving such greater proportion shall (a) notify the Administrative Agent of such fact, and (b) purchase (for cash at face value) participations in the Loans and subparticipations in L/C-BA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1" w:lineRule="exact"/>
        <w:rPr>
          <w:sz w:val="20"/>
          <w:szCs w:val="20"/>
          <w:color w:val="auto"/>
        </w:rPr>
      </w:pPr>
    </w:p>
    <w:p>
      <w:pPr>
        <w:ind w:left="820" w:right="540" w:firstLine="647"/>
        <w:spacing w:after="0" w:line="264" w:lineRule="auto"/>
        <w:tabs>
          <w:tab w:leader="none" w:pos="217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w:t>
      </w:r>
    </w:p>
    <w:p>
      <w:pPr>
        <w:spacing w:after="0" w:line="181" w:lineRule="exact"/>
        <w:rPr>
          <w:rFonts w:ascii="Arial" w:cs="Arial" w:eastAsia="Arial" w:hAnsi="Arial"/>
          <w:sz w:val="18"/>
          <w:szCs w:val="18"/>
          <w:color w:val="auto"/>
        </w:rPr>
      </w:pPr>
    </w:p>
    <w:p>
      <w:pPr>
        <w:ind w:left="820" w:firstLine="647"/>
        <w:spacing w:after="0" w:line="297" w:lineRule="auto"/>
        <w:tabs>
          <w:tab w:leader="none" w:pos="2183"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the provisions of this Section shall not be construed to apply to (x) any payment made by or on behalf of the Borrowers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6"/>
          <w:szCs w:val="16"/>
          <w:u w:val="single" w:color="auto"/>
          <w:color w:val="auto"/>
        </w:rPr>
        <w:t>Section 2.15</w:t>
      </w:r>
      <w:r>
        <w:rPr>
          <w:rFonts w:ascii="Arial" w:cs="Arial" w:eastAsia="Arial" w:hAnsi="Arial"/>
          <w:sz w:val="16"/>
          <w:szCs w:val="16"/>
          <w:color w:val="auto"/>
        </w:rPr>
        <w:t>, or (z) any payment obtained by a Lender as consideration for the assignment of or sale of a participation in any of its Loans or subparticipations in L/C-BA Obligations or Swing Line Loans to any assignee or participant, other than an assignment to any Borrower or any Affiliate thereof (as to which the provisions of this Section shall apply); and</w:t>
      </w:r>
    </w:p>
    <w:p>
      <w:pPr>
        <w:spacing w:after="0" w:line="158" w:lineRule="exact"/>
        <w:rPr>
          <w:rFonts w:ascii="Arial" w:cs="Arial" w:eastAsia="Arial" w:hAnsi="Arial"/>
          <w:sz w:val="16"/>
          <w:szCs w:val="16"/>
          <w:color w:val="auto"/>
        </w:rPr>
      </w:pPr>
    </w:p>
    <w:p>
      <w:pPr>
        <w:ind w:left="2180" w:hanging="713"/>
        <w:spacing w:after="0"/>
        <w:tabs>
          <w:tab w:leader="none" w:pos="2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provisions of this Section shall be subject to the sharing provisions contained in the Intercreditor Agreement.</w:t>
      </w:r>
    </w:p>
    <w:p>
      <w:pPr>
        <w:spacing w:after="0" w:line="225" w:lineRule="exact"/>
        <w:rPr>
          <w:sz w:val="20"/>
          <w:szCs w:val="20"/>
          <w:color w:val="auto"/>
        </w:rPr>
      </w:pPr>
    </w:p>
    <w:p>
      <w:pPr>
        <w:ind w:left="660" w:right="20" w:firstLine="648"/>
        <w:spacing w:after="0" w:line="286" w:lineRule="auto"/>
        <w:rPr>
          <w:sz w:val="20"/>
          <w:szCs w:val="20"/>
          <w:color w:val="auto"/>
        </w:rPr>
      </w:pPr>
      <w:r>
        <w:rPr>
          <w:rFonts w:ascii="Arial" w:cs="Arial" w:eastAsia="Arial" w:hAnsi="Arial"/>
          <w:sz w:val="17"/>
          <w:szCs w:val="17"/>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6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Increase in Commitments</w:t>
      </w:r>
      <w:r>
        <w:rPr>
          <w:rFonts w:ascii="Arial" w:cs="Arial" w:eastAsia="Arial" w:hAnsi="Arial"/>
          <w:sz w:val="16"/>
          <w:szCs w:val="16"/>
          <w:color w:val="auto"/>
        </w:rPr>
        <w:t>.</w:t>
      </w:r>
    </w:p>
    <w:p>
      <w:pPr>
        <w:spacing w:after="0" w:line="229" w:lineRule="exact"/>
        <w:rPr>
          <w:sz w:val="20"/>
          <w:szCs w:val="20"/>
          <w:color w:val="auto"/>
        </w:rPr>
      </w:pPr>
    </w:p>
    <w:p>
      <w:pPr>
        <w:ind w:right="140" w:firstLine="656"/>
        <w:spacing w:after="0" w:line="297" w:lineRule="auto"/>
        <w:tabs>
          <w:tab w:leader="none" w:pos="1343"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Request for Increase</w:t>
      </w:r>
      <w:r>
        <w:rPr>
          <w:rFonts w:ascii="Arial" w:cs="Arial" w:eastAsia="Arial" w:hAnsi="Arial"/>
          <w:sz w:val="16"/>
          <w:szCs w:val="16"/>
          <w:color w:val="auto"/>
        </w:rPr>
        <w:t xml:space="preserve">. Provided there exists no Default, upon notice to the Administrative Agent (which shall promptly notify the Revolving Lenders), the Borrowing Agent may from time to time, request an increase in the Aggregate Revolving Commitments by an amount (for all such requests) not exceeding $150,000,000;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request for an increase shall be in a minimum amount of $25,000,000. At the time of sending such notice, the Borrowing Agent (in consultation with the Administrative Agent) shall specify the time period within which each Revolving Lender is requested to respond (which shall in no event be less than thirty (30) days from the date of delivery of such notice to the Revolving Lenders).</w:t>
      </w:r>
    </w:p>
    <w:p>
      <w:pPr>
        <w:spacing w:after="0" w:line="158" w:lineRule="exact"/>
        <w:rPr>
          <w:rFonts w:ascii="Arial" w:cs="Arial" w:eastAsia="Arial" w:hAnsi="Arial"/>
          <w:sz w:val="16"/>
          <w:szCs w:val="16"/>
          <w:color w:val="auto"/>
        </w:rPr>
      </w:pPr>
    </w:p>
    <w:p>
      <w:pPr>
        <w:ind w:right="40" w:firstLine="656"/>
        <w:spacing w:after="0" w:line="308" w:lineRule="auto"/>
        <w:tabs>
          <w:tab w:leader="none" w:pos="1353"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Revolving Lender Elections to Increase</w:t>
      </w:r>
      <w:r>
        <w:rPr>
          <w:rFonts w:ascii="Arial" w:cs="Arial" w:eastAsia="Arial" w:hAnsi="Arial"/>
          <w:sz w:val="17"/>
          <w:szCs w:val="17"/>
          <w:color w:val="auto"/>
        </w:rPr>
        <w:t>. Each Revolving Lender shall notify the Administrative Agent within such time period whether or not it agrees to increase its Revolving Commitment and, if so, whether by an amount equal to, greater than, or less than its Applicable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Revolving Percentage of such requested increase. Any Revolving Lender not responding within such time period shall be deemed to have declined to increase its Revolving Commitment.</w:t>
      </w:r>
    </w:p>
    <w:p>
      <w:pPr>
        <w:spacing w:after="0" w:line="170" w:lineRule="exact"/>
        <w:rPr>
          <w:sz w:val="20"/>
          <w:szCs w:val="20"/>
          <w:color w:val="auto"/>
        </w:rPr>
      </w:pPr>
    </w:p>
    <w:p>
      <w:pPr>
        <w:ind w:right="60" w:firstLine="656"/>
        <w:spacing w:after="0" w:line="257" w:lineRule="auto"/>
        <w:tabs>
          <w:tab w:leader="none" w:pos="1343"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Notification by Administrative Agent; Additional Revolving Lenders</w:t>
      </w:r>
      <w:r>
        <w:rPr>
          <w:rFonts w:ascii="Arial" w:cs="Arial" w:eastAsia="Arial" w:hAnsi="Arial"/>
          <w:sz w:val="18"/>
          <w:szCs w:val="18"/>
          <w:color w:val="auto"/>
        </w:rPr>
        <w:t>. The Administrative Agent shall notify the Borrowing Agent and each Revolving Lender of the Revolving Lenders’ responses to each request made hereunder. To achieve the full amount of a requested increase and subject to the approval of the Administrative Agent, the L/C-BA Issuer and the Swing Line Lender (which approvals shall not be unreasonably withheld or delayed), the Borrowing Agent may also invite additional Eligible Assignees to become Revolving Lenders pursuant to a joinder agreement in form and substance reasonably satisfactory to the Administrative Agent and its counsel.</w:t>
      </w:r>
    </w:p>
    <w:p>
      <w:pPr>
        <w:spacing w:after="0" w:line="188" w:lineRule="exact"/>
        <w:rPr>
          <w:rFonts w:ascii="Arial" w:cs="Arial" w:eastAsia="Arial" w:hAnsi="Arial"/>
          <w:sz w:val="18"/>
          <w:szCs w:val="18"/>
          <w:color w:val="auto"/>
        </w:rPr>
      </w:pPr>
    </w:p>
    <w:p>
      <w:pPr>
        <w:ind w:firstLine="656"/>
        <w:spacing w:after="0" w:line="257" w:lineRule="auto"/>
        <w:tabs>
          <w:tab w:leader="none" w:pos="1353"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If the Aggregate Revolving Commitments are increased in accordance with this Section, the Administrative Agent and the Borrowing Agent shall determine the effective date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and the final allocation of such increase. The Administrative Agent shall promptly notify the Borrowing Agent and the Revolving Lenders of the final allocation of such increase and the Increase Effective Date. For the avoidance of doubt, no increase in the Aggregate Revolving Commitments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increase the Swing Line Sublimit or the LC-BA Sublimit.</w:t>
      </w:r>
    </w:p>
    <w:p>
      <w:pPr>
        <w:spacing w:after="0" w:line="188" w:lineRule="exact"/>
        <w:rPr>
          <w:rFonts w:ascii="Arial" w:cs="Arial" w:eastAsia="Arial" w:hAnsi="Arial"/>
          <w:sz w:val="18"/>
          <w:szCs w:val="18"/>
          <w:color w:val="auto"/>
        </w:rPr>
      </w:pPr>
    </w:p>
    <w:p>
      <w:pPr>
        <w:ind w:right="80" w:firstLine="656"/>
        <w:spacing w:after="0" w:line="288" w:lineRule="auto"/>
        <w:tabs>
          <w:tab w:leader="none" w:pos="1343"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Conditions to Effectiveness of Increase</w:t>
      </w:r>
      <w:r>
        <w:rPr>
          <w:rFonts w:ascii="Arial" w:cs="Arial" w:eastAsia="Arial" w:hAnsi="Arial"/>
          <w:sz w:val="16"/>
          <w:szCs w:val="16"/>
          <w:color w:val="auto"/>
        </w:rPr>
        <w:t>. As a condition precedent to such increase, the Borrowing Agent shall deliver to the Administrative Agent a certificate of each Loan Party dated as of the Increase Effective Date (in sufficient copies for each Revolving Lender) signed by a Responsible Officer of such Loan Party (i) certifying and attaching the resolutions adopted by such Loan Party approving or consenting to such increase, and</w:t>
      </w:r>
    </w:p>
    <w:p>
      <w:pPr>
        <w:ind w:right="60" w:firstLine="8"/>
        <w:spacing w:after="0" w:line="290" w:lineRule="auto"/>
        <w:tabs>
          <w:tab w:leader="none" w:pos="26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certifying that, before and after giving effect to such increase, (A)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the case of the Borrowers, and the other Loan Documents, in the case of each Loan Party party thereto,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and (B) no Default exists. At the request of the Administrative Agent, the Borrowers shall prepay any Revolving Loans outstanding on the Increase Effective Date (and pay any additional amounts required pursuant to</w:t>
      </w:r>
    </w:p>
    <w:p>
      <w:pPr>
        <w:sectPr>
          <w:pgSz w:w="11900" w:h="16935" w:orient="portrait"/>
          <w:cols w:equalWidth="0" w:num="1">
            <w:col w:w="11400"/>
          </w:cols>
          <w:pgMar w:left="240" w:top="125" w:right="259" w:bottom="0" w:gutter="0" w:footer="0" w:header="0"/>
        </w:sectPr>
      </w:pPr>
    </w:p>
    <w:bookmarkStart w:id="40" w:name="page41"/>
    <w:bookmarkEnd w:id="40"/>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Section 3.05</w:t>
      </w:r>
      <w:r>
        <w:rPr>
          <w:rFonts w:ascii="Arial" w:cs="Arial" w:eastAsia="Arial" w:hAnsi="Arial"/>
          <w:sz w:val="18"/>
          <w:szCs w:val="18"/>
          <w:color w:val="auto"/>
        </w:rPr>
        <w:t>) to the extent necessary to keep the outstanding Revolving Loans ratable with any revised Applicable Revolving Percentages arising from any nonratable increase in the Revolving Commitments under this Section.</w:t>
      </w:r>
    </w:p>
    <w:p>
      <w:pPr>
        <w:spacing w:after="0" w:line="170" w:lineRule="exact"/>
        <w:rPr>
          <w:sz w:val="20"/>
          <w:szCs w:val="20"/>
          <w:color w:val="auto"/>
        </w:rPr>
      </w:pPr>
    </w:p>
    <w:p>
      <w:pPr>
        <w:ind w:left="1380" w:hanging="724"/>
        <w:spacing w:after="0"/>
        <w:tabs>
          <w:tab w:leader="none" w:pos="13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w:t>
      </w:r>
    </w:p>
    <w:p>
      <w:pPr>
        <w:spacing w:after="0" w:line="22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Cash Collateral</w:t>
      </w:r>
      <w:r>
        <w:rPr>
          <w:rFonts w:ascii="Arial" w:cs="Arial" w:eastAsia="Arial" w:hAnsi="Arial"/>
          <w:sz w:val="16"/>
          <w:szCs w:val="16"/>
          <w:color w:val="auto"/>
        </w:rPr>
        <w:t>.</w:t>
      </w:r>
    </w:p>
    <w:p>
      <w:pPr>
        <w:spacing w:after="0" w:line="229" w:lineRule="exact"/>
        <w:rPr>
          <w:sz w:val="20"/>
          <w:szCs w:val="20"/>
          <w:color w:val="auto"/>
        </w:rPr>
      </w:pPr>
    </w:p>
    <w:p>
      <w:pPr>
        <w:ind w:right="200" w:firstLine="656"/>
        <w:spacing w:after="0" w:line="308" w:lineRule="auto"/>
        <w:tabs>
          <w:tab w:leader="none" w:pos="1343"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Certain Credit Support Events</w:t>
      </w:r>
      <w:r>
        <w:rPr>
          <w:rFonts w:ascii="Arial" w:cs="Arial" w:eastAsia="Arial" w:hAnsi="Arial"/>
          <w:sz w:val="17"/>
          <w:szCs w:val="17"/>
          <w:color w:val="auto"/>
        </w:rPr>
        <w:t>. Upon the request of the Administrative Agent or the L/C-BA Issuer (i) if the L/C-BA Issuer has honored any full or partial drawing request under any Letter of Credit or Bankers’ Acceptance and such drawing has resulted in an L/C-BA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Borrowing, or (ii) if, as of the Maturity Date, any L/C-BA Obligation for any reason remains outstanding, the Borrowers shall, in each case, immediately Cash Collateralize the then Outstanding Amount of all L/C-BA Obligations. At any time that there shall exist a Defaulting Lender, immediately upon the request of the Administrative Agent, the L/C-BA Issuer or the Swing Line Lender, the Borrowers shall deliver to the Administrative Agent Cash Collateral in an amount sufficient to cover all remaining Fronting Exposure after giving effect to </w:t>
      </w:r>
      <w:r>
        <w:rPr>
          <w:rFonts w:ascii="Arial" w:cs="Arial" w:eastAsia="Arial" w:hAnsi="Arial"/>
          <w:sz w:val="18"/>
          <w:szCs w:val="18"/>
          <w:u w:val="single" w:color="auto"/>
          <w:color w:val="auto"/>
        </w:rPr>
        <w:t>Section 2.16(a)(iv)</w:t>
      </w:r>
      <w:r>
        <w:rPr>
          <w:rFonts w:ascii="Arial" w:cs="Arial" w:eastAsia="Arial" w:hAnsi="Arial"/>
          <w:sz w:val="18"/>
          <w:szCs w:val="18"/>
          <w:color w:val="auto"/>
        </w:rPr>
        <w:t xml:space="preserve"> and any Cash Collateral provided by the Defaulting Lender.</w:t>
      </w:r>
    </w:p>
    <w:p>
      <w:pPr>
        <w:spacing w:after="0" w:line="188" w:lineRule="exact"/>
        <w:rPr>
          <w:sz w:val="20"/>
          <w:szCs w:val="20"/>
          <w:color w:val="auto"/>
        </w:rPr>
      </w:pPr>
    </w:p>
    <w:p>
      <w:pPr>
        <w:ind w:right="80" w:firstLine="656"/>
        <w:spacing w:after="0" w:line="270" w:lineRule="auto"/>
        <w:tabs>
          <w:tab w:leader="none" w:pos="1353"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All Cash Collateral (other than credit support not constituting funds subject to deposit) shall be maintained in blocked, non-interest bearing deposit accounts at the Administrative Agent. The Borrowers, and to the extent provided by any Revolving Lender, such Revolving Lender, hereby grant to (and subjects to the control of) the Administrative Agent, for the benefit of the Administrative Agent, the L/C-BA Issuer and the Revolving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2.15(c)</w:t>
      </w:r>
      <w:r>
        <w:rPr>
          <w:rFonts w:ascii="Arial" w:cs="Arial" w:eastAsia="Arial" w:hAnsi="Arial"/>
          <w:sz w:val="17"/>
          <w:szCs w:val="17"/>
          <w:color w:val="auto"/>
        </w:rPr>
        <w:t xml:space="preserve">.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(after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the Borrowers or the relevant Defaulting Lender will, promptly upon demand by the Administrative Agent, pay or provide to the Administrative Agent additional Cash Collateral in an amount sufficient to eliminate such deficiency.</w:t>
      </w:r>
    </w:p>
    <w:p>
      <w:pPr>
        <w:spacing w:after="0" w:line="177" w:lineRule="exact"/>
        <w:rPr>
          <w:rFonts w:ascii="Arial" w:cs="Arial" w:eastAsia="Arial" w:hAnsi="Arial"/>
          <w:sz w:val="17"/>
          <w:szCs w:val="17"/>
          <w:color w:val="auto"/>
        </w:rPr>
      </w:pPr>
    </w:p>
    <w:p>
      <w:pPr>
        <w:ind w:left="1360" w:hanging="704"/>
        <w:spacing w:after="0"/>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Notwithstanding anything to the contrary contained in this Agreement, Cash Collateral provided under any of this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Bankers’ Acceptances or Swing Line Loans shall be held and applied to the satisfaction of the specific L/C-BA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90" w:lineRule="exact"/>
        <w:rPr>
          <w:sz w:val="20"/>
          <w:szCs w:val="20"/>
          <w:color w:val="auto"/>
        </w:rPr>
      </w:pPr>
    </w:p>
    <w:p>
      <w:pPr>
        <w:ind w:right="20" w:firstLine="656"/>
        <w:spacing w:after="0" w:line="291" w:lineRule="auto"/>
        <w:tabs>
          <w:tab w:leader="none" w:pos="135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Arial" w:cs="Arial" w:eastAsia="Arial" w:hAnsi="Arial"/>
          <w:sz w:val="16"/>
          <w:szCs w:val="16"/>
          <w:u w:val="single" w:color="auto"/>
          <w:color w:val="auto"/>
        </w:rPr>
        <w:t>Section 10.06(b)(vi)</w:t>
      </w:r>
      <w:r>
        <w:rPr>
          <w:rFonts w:ascii="Arial" w:cs="Arial" w:eastAsia="Arial" w:hAnsi="Arial"/>
          <w:sz w:val="16"/>
          <w:szCs w:val="16"/>
          <w:color w:val="auto"/>
        </w:rPr>
        <w:t xml:space="preserve">)) or (ii) the Administrative Agent’s good faith determination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(x) that Cash Collateral furnished by or on behalf of a Loan Party shall not be released during the continuance of a Default or Event of Default (and following application as provided in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may be otherwise applied in accordance with </w:t>
      </w:r>
      <w:r>
        <w:rPr>
          <w:rFonts w:ascii="Arial" w:cs="Arial" w:eastAsia="Arial" w:hAnsi="Arial"/>
          <w:sz w:val="16"/>
          <w:szCs w:val="16"/>
          <w:u w:val="single" w:color="auto"/>
          <w:color w:val="auto"/>
        </w:rPr>
        <w:t>Section 8.03</w:t>
      </w:r>
      <w:r>
        <w:rPr>
          <w:rFonts w:ascii="Arial" w:cs="Arial" w:eastAsia="Arial" w:hAnsi="Arial"/>
          <w:sz w:val="16"/>
          <w:szCs w:val="16"/>
          <w:color w:val="auto"/>
        </w:rPr>
        <w:t>), and (y) the Person providing Cash Collateral and the L/C-BA Issuer or Swing Line Lender, as applicable, may agree that Cash Collateral shall not be released but instead held to support future anticipated Fronting Exposure or other obligations.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b w:val="1"/>
          <w:bCs w:val="1"/>
          <w:color w:val="auto"/>
        </w:rPr>
        <w:t>Defaulting Lenders</w:t>
      </w:r>
      <w:r>
        <w:rPr>
          <w:rFonts w:ascii="Arial" w:cs="Arial" w:eastAsia="Arial" w:hAnsi="Arial"/>
          <w:sz w:val="16"/>
          <w:szCs w:val="16"/>
          <w:color w:val="auto"/>
        </w:rPr>
        <w:t>.</w:t>
      </w:r>
    </w:p>
    <w:p>
      <w:pPr>
        <w:spacing w:after="0" w:line="229" w:lineRule="exact"/>
        <w:rPr>
          <w:sz w:val="20"/>
          <w:szCs w:val="20"/>
          <w:color w:val="auto"/>
        </w:rPr>
      </w:pPr>
    </w:p>
    <w:p>
      <w:pPr>
        <w:ind w:right="280" w:firstLine="656"/>
        <w:spacing w:after="0" w:line="277" w:lineRule="auto"/>
        <w:tabs>
          <w:tab w:leader="none" w:pos="134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ind w:left="820" w:right="220" w:firstLine="647"/>
        <w:spacing w:after="0" w:line="277" w:lineRule="auto"/>
        <w:tabs>
          <w:tab w:leader="none" w:pos="2178"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That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20" w:firstLine="647"/>
        <w:spacing w:after="0" w:line="285" w:lineRule="auto"/>
        <w:tabs>
          <w:tab w:leader="none" w:pos="2183"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Reallocation of Payments</w:t>
      </w:r>
      <w:r>
        <w:rPr>
          <w:rFonts w:ascii="Arial" w:cs="Arial" w:eastAsia="Arial" w:hAnsi="Arial"/>
          <w:sz w:val="16"/>
          <w:szCs w:val="16"/>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and including any amounts made available to the Administrative Agent by that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if such Defaulting Lender is a Revolving Lender, to the payment on a pro rata basis of any amounts owing by that Defaulting Lender to the L/C-BA Issuer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such Defaulting Lenders is a Revolving Lender and if so determined by the Administrative Agent or requested by the L/C-BA Issuer or Swing Line Lender, to be held as Cash Collateral for future funding obligations of that Defaulting Lender of any participation in any Swing Line Loan, Letter of Credit or Bankers’ Acceptance;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Borrowing Agent may request (so long as no Default or Event of Default exists), to the funding of any Loan in respect of which that Defaulting Lender has failed to fund its portion thereof as required by this Agreement;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Borrowing Agent, to be held in a non-interest bearing deposit account and released in order to satisfy obligations of that Defaulting Lender to fund Loans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in the case of a Defaulting Lender under any Facility, to the payment of any amounts owing to the other Lenders under such Facility (in the case of the Revolving Credit Facility, including the L/C-BA Issuer or Swing Line Lender) as a result of any judgment of a court of competent jurisdiction obtained by any Lender under such Facility (in the case of the Revolving Credit Facility, including the L/C-BA Issuer or Swing Line Lender), against that Defaulting Lender as a result of that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Borrowers as a result of any judgment of a court of competent jurisdiction obtained by the Borrowers against that Defaulting Lender as a result of that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that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under any Facility or L/C-BA Borrowings in respect of which</w:t>
      </w:r>
    </w:p>
    <w:p>
      <w:pPr>
        <w:sectPr>
          <w:pgSz w:w="11900" w:h="16929" w:orient="portrait"/>
          <w:cols w:equalWidth="0" w:num="1">
            <w:col w:w="11400"/>
          </w:cols>
          <w:pgMar w:left="240" w:top="125" w:right="259" w:bottom="0" w:gutter="0" w:footer="0" w:header="0"/>
        </w:sectPr>
      </w:pPr>
    </w:p>
    <w:bookmarkStart w:id="41" w:name="page42"/>
    <w:bookmarkEnd w:id="41"/>
    <w:p>
      <w:pPr>
        <w:ind w:left="820" w:right="240"/>
        <w:spacing w:after="0" w:line="264" w:lineRule="auto"/>
        <w:rPr>
          <w:sz w:val="20"/>
          <w:szCs w:val="20"/>
          <w:color w:val="auto"/>
        </w:rPr>
      </w:pPr>
      <w:r>
        <w:rPr>
          <w:rFonts w:ascii="Arial" w:cs="Arial" w:eastAsia="Arial" w:hAnsi="Arial"/>
          <w:sz w:val="18"/>
          <w:szCs w:val="18"/>
          <w:color w:val="auto"/>
        </w:rPr>
        <w:t xml:space="preserve">that Defaulting Lender has not fully funded its appropriate share and (y) such Loans or L/C-BA Borrowings were made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L/C-BA Borrowings owed to, all non-Defaulting Lenders under the applicable Facility on a pro rata basis (and ratably among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200"/>
        <w:spacing w:after="0" w:line="257" w:lineRule="auto"/>
        <w:rPr>
          <w:sz w:val="20"/>
          <w:szCs w:val="20"/>
          <w:color w:val="auto"/>
        </w:rPr>
      </w:pPr>
      <w:r>
        <w:rPr>
          <w:rFonts w:ascii="Arial" w:cs="Arial" w:eastAsia="Arial" w:hAnsi="Arial"/>
          <w:sz w:val="18"/>
          <w:szCs w:val="18"/>
          <w:color w:val="auto"/>
        </w:rPr>
        <w:t xml:space="preserve">all applicable Facilities computed in accordance with the Defaulting Lenders’ respective funding deficiencies) prior to being applied to the payment of any Loans of, or L/C-BA Borrowings owed to, that Defaulting Lender under the applicable Facility.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2.16(a)(ii)</w:t>
      </w:r>
      <w:r>
        <w:rPr>
          <w:rFonts w:ascii="Arial" w:cs="Arial" w:eastAsia="Arial" w:hAnsi="Arial"/>
          <w:sz w:val="18"/>
          <w:szCs w:val="18"/>
          <w:color w:val="auto"/>
        </w:rPr>
        <w:t xml:space="preserve"> shall be deemed paid to and redirected by that Defaulting Lender, and each Lender irrevocably consents hereto.</w:t>
      </w:r>
    </w:p>
    <w:p>
      <w:pPr>
        <w:spacing w:after="0" w:line="188" w:lineRule="exact"/>
        <w:rPr>
          <w:sz w:val="20"/>
          <w:szCs w:val="20"/>
          <w:color w:val="auto"/>
        </w:rPr>
      </w:pPr>
    </w:p>
    <w:p>
      <w:pPr>
        <w:ind w:left="820" w:right="100" w:firstLine="647"/>
        <w:spacing w:after="0" w:line="259" w:lineRule="auto"/>
        <w:tabs>
          <w:tab w:leader="none" w:pos="2188"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xml:space="preserve">. That Defaulting Lender (x) shall not be entitled to receive any commitment fee pursuant to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Borrowers shall (x) not be required to pay any such fee that otherwise would have been required to have been paid to that Defaulting Lender) and (y) shall be limited in its right to receive Letter of Credit Fees as provided in </w:t>
      </w:r>
      <w:r>
        <w:rPr>
          <w:rFonts w:ascii="Arial" w:cs="Arial" w:eastAsia="Arial" w:hAnsi="Arial"/>
          <w:sz w:val="18"/>
          <w:szCs w:val="18"/>
          <w:u w:val="single" w:color="auto"/>
          <w:color w:val="auto"/>
        </w:rPr>
        <w:t>Section 2.03(i)</w:t>
      </w:r>
      <w:r>
        <w:rPr>
          <w:rFonts w:ascii="Arial" w:cs="Arial" w:eastAsia="Arial" w:hAnsi="Arial"/>
          <w:sz w:val="18"/>
          <w:szCs w:val="18"/>
          <w:color w:val="auto"/>
        </w:rPr>
        <w:t xml:space="preserve"> and BA Fees as provided in </w:t>
      </w:r>
      <w:r>
        <w:rPr>
          <w:rFonts w:ascii="Arial" w:cs="Arial" w:eastAsia="Arial" w:hAnsi="Arial"/>
          <w:sz w:val="18"/>
          <w:szCs w:val="18"/>
          <w:u w:val="single" w:color="auto"/>
          <w:color w:val="auto"/>
        </w:rPr>
        <w:t>Section 2.03(j)</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820" w:right="20" w:firstLine="647"/>
        <w:spacing w:after="0" w:line="270" w:lineRule="auto"/>
        <w:tabs>
          <w:tab w:leader="none" w:pos="2178"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Revolving Percentages to Reduce Fronting Exposure</w:t>
      </w:r>
      <w:r>
        <w:rPr>
          <w:rFonts w:ascii="Arial" w:cs="Arial" w:eastAsia="Arial" w:hAnsi="Arial"/>
          <w:sz w:val="17"/>
          <w:szCs w:val="17"/>
          <w:color w:val="auto"/>
        </w:rPr>
        <w:t xml:space="preserve">. During any period in which a Revolving Lender is a Defaulting Lender, for purposes of computing the amount of the obligation of each Revolving Lender that is a non-Defaulting Lender to acquire, refinance or fund participations in Letters of Credit, Bankers’ Acceptances or Swing Line Loans pursuant to </w:t>
      </w:r>
      <w:r>
        <w:rPr>
          <w:rFonts w:ascii="Arial" w:cs="Arial" w:eastAsia="Arial" w:hAnsi="Arial"/>
          <w:sz w:val="17"/>
          <w:szCs w:val="17"/>
          <w:u w:val="single" w:color="auto"/>
          <w:color w:val="auto"/>
        </w:rPr>
        <w:t>Sections 2.03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2.04</w:t>
      </w:r>
      <w:r>
        <w:rPr>
          <w:rFonts w:ascii="Arial" w:cs="Arial" w:eastAsia="Arial" w:hAnsi="Arial"/>
          <w:sz w:val="17"/>
          <w:szCs w:val="17"/>
          <w:color w:val="auto"/>
        </w:rPr>
        <w:t xml:space="preserve">, the “Applicable Revolving Percentage” of each such non-Defaulting Lender shall be computed without giving effect to the Revolving Commitment of that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such reallocation shall be given effect only if, at the date the applicable Revolving Lender becomes a Defaulting Lender, no Default or Event of Default exists; and (ii) the aggregate obligation of each Revolving Lender that is a non-Defaulting Lender to acquire, refinance or fund participations in Letters of Credit, Bankers’ Acceptances and Swing Line Loans shall not exceed the positive difference, if any, of (1) the Revolving Commitment of that non-Defaulting Lender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(2) the aggregate Outstanding Amount of the Revolving Loans of that Revolving Lender.</w:t>
      </w:r>
    </w:p>
    <w:p>
      <w:pPr>
        <w:spacing w:after="0" w:line="181" w:lineRule="exact"/>
        <w:rPr>
          <w:rFonts w:ascii="Arial" w:cs="Arial" w:eastAsia="Arial" w:hAnsi="Arial"/>
          <w:sz w:val="17"/>
          <w:szCs w:val="17"/>
          <w:color w:val="auto"/>
        </w:rPr>
      </w:pPr>
    </w:p>
    <w:p>
      <w:pPr>
        <w:ind w:right="60" w:firstLine="656"/>
        <w:spacing w:after="0" w:line="289" w:lineRule="auto"/>
        <w:tabs>
          <w:tab w:leader="none" w:pos="1353"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Borrowing Agent, the Administrative Agent, Swing Line Lender and the L/C-BA Issuer agree in writing in their sole discretion that a Defaulting Lender under any Facility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under such Facility or take such other actions as the Administrative Agent may determine to be necessary to cause the Loans under such Facility and funded and unfunded participations in Letters of Credit, Bankers’ Acceptances and Swing Line Loans to be held on a pro rata basis by the Lenders under such Facility in accordance with their Applicable Percentages (without giving effect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whereupon that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Borrowers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from Defaulting Lender to Lender will constitute a waiver or release of any claim of any party hereunder arising from that Lender’s having been a Defaulting Lender.</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Joint and Several Obligations</w:t>
      </w:r>
      <w:r>
        <w:rPr>
          <w:rFonts w:ascii="Arial" w:cs="Arial" w:eastAsia="Arial" w:hAnsi="Arial"/>
          <w:sz w:val="16"/>
          <w:szCs w:val="16"/>
          <w:color w:val="auto"/>
        </w:rPr>
        <w:t>.</w:t>
      </w:r>
    </w:p>
    <w:p>
      <w:pPr>
        <w:spacing w:after="0" w:line="229" w:lineRule="exact"/>
        <w:rPr>
          <w:sz w:val="20"/>
          <w:szCs w:val="20"/>
          <w:color w:val="auto"/>
        </w:rPr>
      </w:pPr>
    </w:p>
    <w:p>
      <w:pPr>
        <w:ind w:right="140" w:firstLine="656"/>
        <w:spacing w:after="0" w:line="276" w:lineRule="auto"/>
        <w:tabs>
          <w:tab w:leader="none" w:pos="134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the extent that this Agreement provides that any Obligations hereunder are joint and several, such joint and several obligations shall be absolute and unconditional and shall remain in full force and effect until the entire principal, interest, penalties, premiums and late charges, if any, on this Agreement and all additional payments, if any, due pursuant to any other Loan Document shall have been paid and, until such payment has been made, shall not be discharged, affected, modified or impaired upon the happening from time to time of any event, including, without limitation, any of the following (subject to the provisions of applicable law), whether or not with notice to or the consent of any of the Borrowers;</w:t>
      </w:r>
    </w:p>
    <w:p>
      <w:pPr>
        <w:spacing w:after="0" w:line="172" w:lineRule="exact"/>
        <w:rPr>
          <w:rFonts w:ascii="Arial" w:cs="Arial" w:eastAsia="Arial" w:hAnsi="Arial"/>
          <w:sz w:val="17"/>
          <w:szCs w:val="17"/>
          <w:color w:val="auto"/>
        </w:rPr>
      </w:pPr>
    </w:p>
    <w:p>
      <w:pPr>
        <w:ind w:right="60" w:firstLine="656"/>
        <w:spacing w:after="0" w:line="264" w:lineRule="auto"/>
        <w:tabs>
          <w:tab w:leader="none" w:pos="13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waiver, compromise, settlement, release, termination or amendment (including, without limitation, any extension or postponement of the time for payment or performance or renewal or refinancing) of any or all of the Obligations or agreements of any of the Borrowers hereunder or any other Loan Document;</w:t>
      </w:r>
    </w:p>
    <w:p>
      <w:pPr>
        <w:spacing w:after="0" w:line="181" w:lineRule="exact"/>
        <w:rPr>
          <w:rFonts w:ascii="Arial" w:cs="Arial" w:eastAsia="Arial" w:hAnsi="Arial"/>
          <w:sz w:val="18"/>
          <w:szCs w:val="18"/>
          <w:color w:val="auto"/>
        </w:rPr>
      </w:pPr>
    </w:p>
    <w:p>
      <w:pPr>
        <w:ind w:right="180" w:firstLine="656"/>
        <w:spacing w:after="0" w:line="277" w:lineRule="auto"/>
        <w:tabs>
          <w:tab w:leader="none" w:pos="13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failure to give notice to any or all of the Borrowers of the occurrence of a default under the terms and provisions of this Agreement or any other Loan Document;</w:t>
      </w:r>
    </w:p>
    <w:p>
      <w:pPr>
        <w:spacing w:after="0" w:line="170" w:lineRule="exact"/>
        <w:rPr>
          <w:rFonts w:ascii="Arial" w:cs="Arial" w:eastAsia="Arial" w:hAnsi="Arial"/>
          <w:sz w:val="18"/>
          <w:szCs w:val="18"/>
          <w:color w:val="auto"/>
        </w:rPr>
      </w:pPr>
    </w:p>
    <w:p>
      <w:pPr>
        <w:jc w:val="both"/>
        <w:ind w:right="280" w:firstLine="656"/>
        <w:spacing w:after="0" w:line="264" w:lineRule="auto"/>
        <w:tabs>
          <w:tab w:leader="none" w:pos="13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release, substitution or exchange by the holder of this Agreement of any collateral securing any of the Obligations (whether with or without consideration) or the acceptance by the holder of this Agreement of any additional collateral or the availability or claimed availability of any other collateral or source of repayment or any non-perfection or other impairment of any collateral;</w:t>
      </w:r>
    </w:p>
    <w:p>
      <w:pPr>
        <w:spacing w:after="0" w:line="181" w:lineRule="exact"/>
        <w:rPr>
          <w:rFonts w:ascii="Arial" w:cs="Arial" w:eastAsia="Arial" w:hAnsi="Arial"/>
          <w:sz w:val="18"/>
          <w:szCs w:val="18"/>
          <w:color w:val="auto"/>
        </w:rPr>
      </w:pPr>
    </w:p>
    <w:p>
      <w:pPr>
        <w:ind w:right="180" w:firstLine="656"/>
        <w:spacing w:after="0" w:line="279" w:lineRule="auto"/>
        <w:tabs>
          <w:tab w:leader="none" w:pos="134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release of any person primarily or secondarily liable for all or any part of the Obligations, whether by Administrative Agent or any other holder of this Agreement or in connection with any voluntary or involuntary liquidation, dissolution, receivership, insolvency, bankruptcy, assignment for the benefit of creditors or similar event or proceeding affecting any or all of the Borrowers or any other person or entity who, or any of whose property, shall at the time in question be obligated in respect of the Obligations or any part thereof; or</w:t>
      </w:r>
    </w:p>
    <w:p>
      <w:pPr>
        <w:spacing w:after="0" w:line="171" w:lineRule="exact"/>
        <w:rPr>
          <w:rFonts w:ascii="Arial" w:cs="Arial" w:eastAsia="Arial" w:hAnsi="Arial"/>
          <w:sz w:val="17"/>
          <w:szCs w:val="17"/>
          <w:color w:val="auto"/>
        </w:rPr>
      </w:pPr>
    </w:p>
    <w:p>
      <w:pPr>
        <w:ind w:firstLine="656"/>
        <w:spacing w:after="0" w:line="342" w:lineRule="auto"/>
        <w:tabs>
          <w:tab w:leader="none" w:pos="136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to the extent permitted by law, any other event, occurrence, action or circumstance that would, in the absence of this clause, result in the release or discharge of any or all of the Borrowers from the performance or observance of any obligation, covenant or agreement contained in this Agreement.</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 xml:space="preserve">Notwithstanding anything to the contrary contained in any Loan Document, but without limiting the generality of </w:t>
      </w:r>
      <w:r>
        <w:rPr>
          <w:rFonts w:ascii="Arial" w:cs="Arial" w:eastAsia="Arial" w:hAnsi="Arial"/>
          <w:sz w:val="16"/>
          <w:szCs w:val="16"/>
          <w:u w:val="single" w:color="auto"/>
          <w:color w:val="auto"/>
        </w:rPr>
        <w:t>Section 2.17(a)</w:t>
      </w:r>
      <w:r>
        <w:rPr>
          <w:rFonts w:ascii="Arial" w:cs="Arial" w:eastAsia="Arial" w:hAnsi="Arial"/>
          <w:sz w:val="16"/>
          <w:szCs w:val="16"/>
          <w:color w:val="auto"/>
        </w:rPr>
        <w:t>, it is agreed and understood that (1) WFS shall be jointly and severally liable for all Obligations arising hereunder and (2) each of WFS Europe and WFS Singapore shall only</w:t>
      </w:r>
    </w:p>
    <w:p>
      <w:pPr>
        <w:sectPr>
          <w:pgSz w:w="11900" w:h="16838" w:orient="portrait"/>
          <w:cols w:equalWidth="0" w:num="1">
            <w:col w:w="11420"/>
          </w:cols>
          <w:pgMar w:left="240" w:top="125" w:right="239" w:bottom="0" w:gutter="0" w:footer="0" w:header="0"/>
        </w:sectPr>
      </w:pPr>
    </w:p>
    <w:bookmarkStart w:id="42" w:name="page43"/>
    <w:bookmarkEnd w:id="42"/>
    <w:p>
      <w:pPr>
        <w:spacing w:after="0" w:line="1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 jointly and severally liable for all Obligations of WFS Europe and WFS Singapore, including without limitation all Loans, L/C—BA Obligations and other Obligations made to either or both of them or any Foreign Subsidiary.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2.18 Borrowing Agent. </w:t>
      </w:r>
      <w:r>
        <w:rPr>
          <w:rFonts w:ascii="Arial" w:cs="Arial" w:eastAsia="Arial" w:hAnsi="Arial"/>
          <w:sz w:val="17"/>
          <w:szCs w:val="17"/>
          <w:color w:val="auto"/>
        </w:rPr>
        <w:t>To facilitate Borrowings by WFS Europe and WFS Singapore, each of which is an entity organized outside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United States, each of WFS Europe and WFS Singapore appoints WFS as its Borrowing Agent with respect to the Revolving Credit Facility and the Domestic Term Loan Facility. As the context may require, references to the Borrowing Agent in giving and receiving certain notices, requests and other documents in connection herewith shall be deemed to refer to WFS so acting on its own behalf as a Borrower. Each of the WFS Europe and WFS Singapore hereby directs the Administrative Agent, the Swing Line Lender and the L/C-BA Issuer, as applicable, to disburse the proceeds of each Loan, and to issue Letters of Credit and Bankers’ Acceptances, to or at the direction of the Borrowing Agent, and such distribution will, in all circumstances, be deemed to be made to each such Borrower. Each of WFS Europe and WFS Singapore hereby irrevocably designates, appoints, authorizes and directs the Borrowing Agent (including each Responsible Officer of the Borrowing Agent) to act on behalf of such Borrower with respect to the Revolving Credit Facility for the purposes set forth in this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and to act on behalf of such Borrower for purposes of any Request for Credit Extension of such Borrower and the giving and receiving all notices and certifications under this Agreement or any other Loan Document and otherwise for taking all other action contemplated to be taken by the Borrowing Agent (including each Responsible Officer of the Borrowing Agent) hereunder or under any other Loan Document. Each of the Administrative Agent, the Swing Line Lender and the L/C-BA Issuer, as applicable, is entitled to rely and act on the instructions of the Borrowing Agent, by and through any Responsible Officer of the Borrowing Agent, on behalf of each of WFS Europe and WFS Singapore. Notwithstanding any provision of this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to the contrary, the Borrowing Agent shall not have the authority to request on behalf of any of WFS Europe and WFS Singapore the issuance of Letters of Credit or Bankers’ Acceptances, unless such Borrower for whose benefit such Letter of Credit or Bankers’ Acceptance is requested has joined in the execution of the Letter of Credit Application or Bankers’ Acceptance Request, as applicable, relating thereto. This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shall survive the resignation of the Administrative Agent or of the L/C-BA Issuer, the replacement of any Lender, the termination of the Aggregate Commitments and the repayment, satisfaction or discharge of all other Obligations.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TAXES, YIELD PROTECTION AND ILLEGALITY</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229" w:lineRule="exact"/>
        <w:rPr>
          <w:sz w:val="20"/>
          <w:szCs w:val="20"/>
          <w:color w:val="auto"/>
        </w:rPr>
      </w:pPr>
    </w:p>
    <w:p>
      <w:pPr>
        <w:ind w:right="20" w:firstLine="656"/>
        <w:spacing w:after="0" w:line="290" w:lineRule="auto"/>
        <w:tabs>
          <w:tab w:leader="none" w:pos="134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Payments Free of Taxes; Obligation to Withhold; Payments on Account of Taxes</w:t>
      </w:r>
      <w:r>
        <w:rPr>
          <w:rFonts w:ascii="Arial" w:cs="Arial" w:eastAsia="Arial" w:hAnsi="Arial"/>
          <w:sz w:val="16"/>
          <w:szCs w:val="16"/>
          <w:color w:val="auto"/>
        </w:rPr>
        <w:t xml:space="preserve">. Any and all payments by or on account of any obligation of the Borrowers hereunder or under any other Loan Document shall to the extent permitted by applicable Laws be made free and clear of and without reduction or withholding for any Taxes. If, however, applicable Laws require the Borrowers or the Administrative Agent to withhold or deduct any Tax, such Tax shall be withheld or deducted in accordance with such Laws as determined by the Borrowers or the Administrative Agent, as the case may be, upon the basis of the information and documentation to be delivered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If the Borrowers or the Administrative Agent shall be required by Law to withhold or deduct any Taxes, including without limitation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(B) the Administrative Agent shall timely pay the full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amount withheld or deducted to the relevant Governmental Authority in accordance with applicable Law, and (C) to the extent that the withholding or deduction is made on account of Indemnified Taxes or Other Taxes, the sum payable by the Borrowers shall be increased as necessary so that after any required withholding or the making of all required deductions (including deductions applicable to additional sums payable under this Section) the Administrative Agent, Lender or L/C-BA Issuer, as the case may be, receives an amount equal to the sum it would have received had no such withholding or deduction been made.</w:t>
      </w:r>
    </w:p>
    <w:p>
      <w:pPr>
        <w:spacing w:after="0" w:line="188" w:lineRule="exact"/>
        <w:rPr>
          <w:sz w:val="20"/>
          <w:szCs w:val="20"/>
          <w:color w:val="auto"/>
        </w:rPr>
      </w:pPr>
    </w:p>
    <w:p>
      <w:pPr>
        <w:ind w:right="360" w:firstLine="656"/>
        <w:spacing w:after="0" w:line="277" w:lineRule="auto"/>
        <w:tabs>
          <w:tab w:leader="none" w:pos="135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Borrowers shall timely pay any Other Taxes to the relevant Governmental Authority in accordance with applicable Laws.</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20" w:right="40" w:firstLine="647"/>
        <w:spacing w:after="0" w:line="283" w:lineRule="auto"/>
        <w:tabs>
          <w:tab w:leader="none" w:pos="2178" w:val="left"/>
        </w:tabs>
        <w:numPr>
          <w:ilvl w:val="2"/>
          <w:numId w:val="103"/>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Borrowers shall, and do hereby, indemnify the Administrative Agent, each Lender and the L/C-BA Issuer, and shall make payment in respect thereof within 30 days (or, in the case of Other Taxes that are goods and services, value-added or similar Taxes, three Business Days) after written demand therefor, for the full amount of any Indemnified Taxes or Other Taxes (including Indemnified Taxes or Other Taxes imposed or asserted on or attributable to amounts payable under this Section) withheld or deducted by the Borrowers or the Administrative Agent or paid by the Administrative Agent, such Lender or the L/C-BA Issuer, as the case may be, and any penalties, interest and reasonable expenses arising therefrom or with respect thereto, whether or not such Indemnified Taxes or Other Taxes were correctly or legally imposed or asserted by the relevant Governmental Authority. The Borrowers shall also, and do hereby, indemnify the Administrative Agent, and shall make payment in respect thereof within 30 days after written demand therefor, for any amount which a Lender or the L/C-BA Issuer for any reason fails to pay indefeasibly to the Administrative Agent as required by </w:t>
      </w:r>
      <w:r>
        <w:rPr>
          <w:rFonts w:ascii="Arial" w:cs="Arial" w:eastAsia="Arial" w:hAnsi="Arial"/>
          <w:sz w:val="16"/>
          <w:szCs w:val="16"/>
          <w:u w:val="single" w:color="auto"/>
          <w:color w:val="auto"/>
        </w:rPr>
        <w:t>clause</w:t>
      </w:r>
    </w:p>
    <w:p>
      <w:pPr>
        <w:spacing w:after="0" w:line="6" w:lineRule="exact"/>
        <w:rPr>
          <w:rFonts w:ascii="Arial" w:cs="Arial" w:eastAsia="Arial" w:hAnsi="Arial"/>
          <w:sz w:val="16"/>
          <w:szCs w:val="16"/>
          <w:color w:val="auto"/>
        </w:rPr>
      </w:pPr>
    </w:p>
    <w:p>
      <w:pPr>
        <w:ind w:left="820" w:hanging="2"/>
        <w:spacing w:after="0" w:line="273" w:lineRule="auto"/>
        <w:tabs>
          <w:tab w:leader="none" w:pos="1085" w:val="left"/>
        </w:tabs>
        <w:numPr>
          <w:ilvl w:val="1"/>
          <w:numId w:val="103"/>
        </w:numPr>
        <w:rPr>
          <w:rFonts w:ascii="Arial" w:cs="Arial" w:eastAsia="Arial" w:hAnsi="Arial"/>
          <w:sz w:val="17"/>
          <w:szCs w:val="17"/>
          <w:u w:val="single" w:color="auto"/>
          <w:color w:val="auto"/>
        </w:rPr>
      </w:pPr>
      <w:r>
        <w:rPr>
          <w:rFonts w:ascii="Arial" w:cs="Arial" w:eastAsia="Arial" w:hAnsi="Arial"/>
          <w:sz w:val="17"/>
          <w:szCs w:val="17"/>
          <w:color w:val="auto"/>
        </w:rPr>
        <w:t>of this subsection. A certificate as to the amount of any such payment or liability delivered to the Borrowers by a Lender or the L/C-BA Issuer (with a copy to the Administrative Agent), or by the Administrative Agent on its own behalf or on behalf of a Lender or the L/C-BA Issuer, shall be conclusive absent manifest error; provided, however, that no Borrower shall be required to provide indemnification under this paragraph for any payment or liability incurred more than six months prior to the date that such certificate is delivered.</w:t>
      </w:r>
    </w:p>
    <w:p>
      <w:pPr>
        <w:spacing w:after="0" w:line="176" w:lineRule="exact"/>
        <w:rPr>
          <w:rFonts w:ascii="Arial" w:cs="Arial" w:eastAsia="Arial" w:hAnsi="Arial"/>
          <w:sz w:val="17"/>
          <w:szCs w:val="17"/>
          <w:u w:val="single" w:color="auto"/>
          <w:color w:val="auto"/>
        </w:rPr>
      </w:pPr>
    </w:p>
    <w:p>
      <w:pPr>
        <w:ind w:left="820" w:right="120" w:firstLine="647"/>
        <w:spacing w:after="0" w:line="293" w:lineRule="auto"/>
        <w:tabs>
          <w:tab w:leader="none" w:pos="2183" w:val="left"/>
        </w:tabs>
        <w:numPr>
          <w:ilvl w:val="2"/>
          <w:numId w:val="104"/>
        </w:numPr>
        <w:rPr>
          <w:rFonts w:ascii="Arial" w:cs="Arial" w:eastAsia="Arial" w:hAnsi="Arial"/>
          <w:sz w:val="16"/>
          <w:szCs w:val="16"/>
          <w:color w:val="auto"/>
        </w:rPr>
      </w:pPr>
      <w:r>
        <w:rPr>
          <w:rFonts w:ascii="Arial" w:cs="Arial" w:eastAsia="Arial" w:hAnsi="Arial"/>
          <w:sz w:val="16"/>
          <w:szCs w:val="16"/>
          <w:color w:val="auto"/>
        </w:rPr>
        <w:t xml:space="preserve">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each Lender and the L/C-BA Issuer shall, and do hereby, indemnify the Borrowers and the Administrative Agent, and shall make payment in respect thereof within 30 days after written demand therefor, against any and all Taxes and any and all related losses, claims, liabilities, penalties, interest and expenses (including the fees, charges and disbursements of any counsel for the Borrowers or the Administrative Agent) incurred by or asserted against the Borrowers or the Administrative Agent by any Governmental Authority as a result of the failure by such Lender or the L/C-BA Issuer, as the case may be, to deliver, or as a result of the inaccuracy, inadequacy or deficiency of, any documentation required to be delivered by such Lender or the L/C-BA Issuer, as the</w:t>
      </w:r>
    </w:p>
    <w:p>
      <w:pPr>
        <w:sectPr>
          <w:pgSz w:w="11900" w:h="16851" w:orient="portrait"/>
          <w:cols w:equalWidth="0" w:num="1">
            <w:col w:w="11420"/>
          </w:cols>
          <w:pgMar w:left="240" w:top="125" w:right="239" w:bottom="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51" w:orient="portrait"/>
          <w:cols w:equalWidth="0" w:num="1">
            <w:col w:w="11420"/>
          </w:cols>
          <w:pgMar w:left="240" w:top="125" w:right="239" w:bottom="0" w:gutter="0" w:footer="0" w:header="0"/>
          <w:type w:val="continuous"/>
        </w:sectPr>
      </w:pPr>
    </w:p>
    <w:bookmarkStart w:id="43" w:name="page44"/>
    <w:bookmarkEnd w:id="43"/>
    <w:p>
      <w:pPr>
        <w:ind w:left="800"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case may be, to the Borrowers or the Administrative Agent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Each Lender and the L/C-BA Issuer hereby authorizes the Administrative Agent to set off and apply any and all amounts at any time owing to such Lender or the L/C-BA Issuer, as the case may be,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The agreements in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survive the resignation and/or replacement of the Administrative Agent, any assignment of rights by, or the replacement of, a Lender or the L/C-BA Issuer, the termination of the Aggregate Commitments and the repayment, satisfaction or discharge of all other Obligations.</w:t>
      </w:r>
    </w:p>
    <w:p>
      <w:pPr>
        <w:spacing w:after="0" w:line="158" w:lineRule="exact"/>
        <w:rPr>
          <w:sz w:val="20"/>
          <w:szCs w:val="20"/>
          <w:color w:val="auto"/>
        </w:rPr>
      </w:pPr>
    </w:p>
    <w:p>
      <w:pPr>
        <w:ind w:left="-20" w:firstLine="656"/>
        <w:spacing w:after="0" w:line="257" w:lineRule="auto"/>
        <w:tabs>
          <w:tab w:leader="none" w:pos="133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Borrowers or the Administrative Agent, as the case may be, after any payment of Taxes by the Borrowers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Borrowers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Borrowers or the Administrative Agent, as the case may be.</w:t>
      </w:r>
    </w:p>
    <w:p>
      <w:pPr>
        <w:spacing w:after="0" w:line="188" w:lineRule="exact"/>
        <w:rPr>
          <w:rFonts w:ascii="Arial" w:cs="Arial" w:eastAsia="Arial" w:hAnsi="Arial"/>
          <w:sz w:val="18"/>
          <w:szCs w:val="18"/>
          <w:color w:val="auto"/>
        </w:rPr>
      </w:pPr>
    </w:p>
    <w:p>
      <w:pPr>
        <w:ind w:left="1340" w:hanging="704"/>
        <w:spacing w:after="0"/>
        <w:tabs>
          <w:tab w:leader="none" w:pos="13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00" w:right="40" w:firstLine="647"/>
        <w:spacing w:after="0" w:line="272" w:lineRule="auto"/>
        <w:tabs>
          <w:tab w:leader="none" w:pos="2158"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Each Lender shall deliver to the Borrowers and to the Administrative Agent, at the time or times prescribed by applicable Laws or when reasonably requested by the Borrowers or the Administrative Agent, such properly completed and executed documentation prescribed by applicable Laws or by the taxing authorities of any jurisdiction and such other reasonably requested information as will permit the Borrowers or the Administrative Agent, as the case may be, to determine (A) whether or not payments made hereunder or under any other Loan Document are subject to Taxes, (B) if applicable, the required rate of withholding or deduction, and (C) such Lender’s entitlement to any available exemption from, or reduction of, applicable Taxes in respect of all payments to be made to such Lender by the Borrowers pursuant to this Agreement or otherwise to establish such Lender’s status for withholding tax purposes in the applicable jurisdiction.</w:t>
      </w:r>
    </w:p>
    <w:p>
      <w:pPr>
        <w:spacing w:after="0" w:line="177" w:lineRule="exact"/>
        <w:rPr>
          <w:rFonts w:ascii="Arial" w:cs="Arial" w:eastAsia="Arial" w:hAnsi="Arial"/>
          <w:sz w:val="17"/>
          <w:szCs w:val="17"/>
          <w:color w:val="auto"/>
        </w:rPr>
      </w:pPr>
    </w:p>
    <w:p>
      <w:pPr>
        <w:ind w:left="2160" w:hanging="713"/>
        <w:spacing w:after="0"/>
        <w:tabs>
          <w:tab w:leader="none" w:pos="2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if any Borrower is resident for tax purposes in the United States,</w:t>
      </w:r>
    </w:p>
    <w:p>
      <w:pPr>
        <w:spacing w:after="0" w:line="225" w:lineRule="exact"/>
        <w:rPr>
          <w:rFonts w:ascii="Arial" w:cs="Arial" w:eastAsia="Arial" w:hAnsi="Arial"/>
          <w:sz w:val="18"/>
          <w:szCs w:val="18"/>
          <w:color w:val="auto"/>
        </w:rPr>
      </w:pPr>
    </w:p>
    <w:p>
      <w:pPr>
        <w:ind w:left="1280" w:right="60" w:firstLine="653"/>
        <w:spacing w:after="0" w:line="257" w:lineRule="auto"/>
        <w:tabs>
          <w:tab w:leader="none" w:pos="2628" w:val="left"/>
        </w:tabs>
        <w:numPr>
          <w:ilvl w:val="2"/>
          <w:numId w:val="105"/>
        </w:numPr>
        <w:rPr>
          <w:rFonts w:ascii="Arial" w:cs="Arial" w:eastAsia="Arial" w:hAnsi="Arial"/>
          <w:sz w:val="18"/>
          <w:szCs w:val="18"/>
          <w:color w:val="auto"/>
        </w:rPr>
      </w:pPr>
      <w:r>
        <w:rPr>
          <w:rFonts w:ascii="Arial" w:cs="Arial" w:eastAsia="Arial" w:hAnsi="Arial"/>
          <w:sz w:val="18"/>
          <w:szCs w:val="18"/>
          <w:color w:val="auto"/>
        </w:rPr>
        <w:t>any Lender that is a “United States person” within the meaning of Section 7701(a)(30) of the Code shall deliver to the Borrowers and the Administrative Agent duly completed and executed originals of Internal Revenue Service Form W-9 or such other documentation or information prescribed by applicable Laws or reasonably requested by the Borrowers or the Administrative Agent as will enable the Borrowers or the Administrative Agent, as the case may be, to determine whether or not such Lender is subject to backup withholding or information reporting requirements;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firstLine="653"/>
        <w:spacing w:after="0" w:line="276" w:lineRule="auto"/>
        <w:tabs>
          <w:tab w:leader="none" w:pos="261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each Foreign Lender that is entitled under the Code or any applicable treaty to an exemption from or reduction of withholding tax with respect to payments hereunder or under any other Loan Document shall deliver to the Borrowers and the Administrative Agent (in such number of copies as shall be requested by the recipient) on or prior to the date on which such Foreign Lender becomes a Lender under this Agreement (and from time to time thereafter upon the request of the Borrowers or the Administrative Agent, but only if such Foreign Lender is legally entitled to do so), whichever of the following is applicable:</w:t>
      </w:r>
    </w:p>
    <w:p>
      <w:pPr>
        <w:spacing w:after="0" w:line="172" w:lineRule="exact"/>
        <w:rPr>
          <w:rFonts w:ascii="Arial" w:cs="Arial" w:eastAsia="Arial" w:hAnsi="Arial"/>
          <w:sz w:val="17"/>
          <w:szCs w:val="17"/>
          <w:color w:val="auto"/>
        </w:rPr>
      </w:pPr>
    </w:p>
    <w:p>
      <w:pPr>
        <w:ind w:left="1940" w:right="420" w:firstLine="641"/>
        <w:spacing w:after="0" w:line="277" w:lineRule="auto"/>
        <w:tabs>
          <w:tab w:leader="none" w:pos="330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duly completed and executed originals of Internal Revenue Service Form W-8BEN claiming eligibility for benefits of an income tax treaty to which the United States is a party,</w:t>
      </w:r>
    </w:p>
    <w:p>
      <w:pPr>
        <w:spacing w:after="0" w:line="170" w:lineRule="exact"/>
        <w:rPr>
          <w:sz w:val="20"/>
          <w:szCs w:val="20"/>
          <w:color w:val="auto"/>
        </w:rPr>
      </w:pPr>
    </w:p>
    <w:p>
      <w:pPr>
        <w:ind w:left="3280" w:hanging="699"/>
        <w:spacing w:after="0"/>
        <w:tabs>
          <w:tab w:leader="none" w:pos="32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duly completed and executed originals of Internal Revenue Service Form W-8ECI,</w:t>
      </w:r>
    </w:p>
    <w:p>
      <w:pPr>
        <w:spacing w:after="0" w:line="225" w:lineRule="exact"/>
        <w:rPr>
          <w:sz w:val="20"/>
          <w:szCs w:val="20"/>
          <w:color w:val="auto"/>
        </w:rPr>
      </w:pPr>
    </w:p>
    <w:p>
      <w:pPr>
        <w:ind w:left="3240" w:hanging="659"/>
        <w:spacing w:after="0"/>
        <w:tabs>
          <w:tab w:leader="none" w:pos="32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duly completed and executed originals of Internal Revenue Service Form W-8IMY and all required supporting</w:t>
      </w:r>
    </w:p>
    <w:p>
      <w:pPr>
        <w:spacing w:after="0" w:line="46"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18"/>
          <w:szCs w:val="18"/>
          <w:color w:val="auto"/>
        </w:rPr>
        <w:t>documentation,</w:t>
      </w:r>
    </w:p>
    <w:p>
      <w:pPr>
        <w:spacing w:after="0" w:line="211" w:lineRule="exact"/>
        <w:rPr>
          <w:sz w:val="20"/>
          <w:szCs w:val="20"/>
          <w:color w:val="auto"/>
        </w:rPr>
      </w:pPr>
    </w:p>
    <w:p>
      <w:pPr>
        <w:ind w:left="1940" w:right="40" w:firstLine="648"/>
        <w:spacing w:after="0" w:line="274" w:lineRule="auto"/>
        <w:rPr>
          <w:sz w:val="20"/>
          <w:szCs w:val="20"/>
          <w:color w:val="auto"/>
        </w:rPr>
      </w:pPr>
      <w:r>
        <w:rPr>
          <w:rFonts w:ascii="Arial" w:cs="Arial" w:eastAsia="Arial" w:hAnsi="Arial"/>
          <w:sz w:val="17"/>
          <w:szCs w:val="17"/>
          <w:color w:val="auto"/>
        </w:rPr>
        <w:t>(IV) in the case of a Foreign Lender claiming the benefits of the exemption for portfolio interest under section 881(c) of the Code, (x) a certificate to the effect that such Foreign Lender is not (A) a “bank” within the meaning of section 881(c)</w:t>
      </w:r>
    </w:p>
    <w:p>
      <w:pPr>
        <w:ind w:left="1940"/>
        <w:spacing w:after="0"/>
        <w:rPr>
          <w:sz w:val="20"/>
          <w:szCs w:val="20"/>
          <w:color w:val="auto"/>
        </w:rPr>
      </w:pPr>
      <w:r>
        <w:rPr>
          <w:rFonts w:ascii="Arial" w:cs="Arial" w:eastAsia="Arial" w:hAnsi="Arial"/>
          <w:sz w:val="17"/>
          <w:szCs w:val="17"/>
          <w:color w:val="auto"/>
        </w:rPr>
        <w:t>(3)(A) of the Code, (B) a “10 percent shareholder” of the Borrowers within the meaning of section 881(c)(3)(B) of the Code, or</w:t>
      </w:r>
    </w:p>
    <w:p>
      <w:pPr>
        <w:spacing w:after="0" w:line="21" w:lineRule="exact"/>
        <w:rPr>
          <w:sz w:val="20"/>
          <w:szCs w:val="20"/>
          <w:color w:val="auto"/>
        </w:rPr>
      </w:pPr>
    </w:p>
    <w:p>
      <w:pPr>
        <w:ind w:left="1940" w:hanging="7"/>
        <w:spacing w:after="0" w:line="261" w:lineRule="auto"/>
        <w:tabs>
          <w:tab w:leader="none" w:pos="222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 “controlled foreign corporation” described in section 881(c)(3)(C) of the Code and (y) duly completed and executed originals of Internal Revenue Service Form W-8BEN, or</w:t>
      </w:r>
    </w:p>
    <w:p>
      <w:pPr>
        <w:spacing w:after="0" w:line="183" w:lineRule="exact"/>
        <w:rPr>
          <w:rFonts w:ascii="Arial" w:cs="Arial" w:eastAsia="Arial" w:hAnsi="Arial"/>
          <w:sz w:val="18"/>
          <w:szCs w:val="18"/>
          <w:color w:val="auto"/>
        </w:rPr>
      </w:pPr>
    </w:p>
    <w:p>
      <w:pPr>
        <w:jc w:val="both"/>
        <w:ind w:left="1940" w:right="120" w:firstLine="641"/>
        <w:spacing w:after="0" w:line="259" w:lineRule="auto"/>
        <w:tabs>
          <w:tab w:leader="none" w:pos="3288" w:val="left"/>
        </w:tabs>
        <w:numPr>
          <w:ilvl w:val="2"/>
          <w:numId w:val="109"/>
        </w:numPr>
        <w:rPr>
          <w:rFonts w:ascii="Arial" w:cs="Arial" w:eastAsia="Arial" w:hAnsi="Arial"/>
          <w:sz w:val="18"/>
          <w:szCs w:val="18"/>
          <w:color w:val="auto"/>
        </w:rPr>
      </w:pPr>
      <w:r>
        <w:rPr>
          <w:rFonts w:ascii="Arial" w:cs="Arial" w:eastAsia="Arial" w:hAnsi="Arial"/>
          <w:sz w:val="18"/>
          <w:szCs w:val="18"/>
          <w:color w:val="auto"/>
        </w:rPr>
        <w:t>duly completed and executed originals of any other form prescribed by applicable Laws as a basis for claiming exemption from or a reduction in United States Federal withholding tax together with such supplementary documentation as may be prescribed by applicable Laws to permit the Borrowers or the Administrative Agent to determine the withholding or deduction required to be made.</w:t>
      </w:r>
    </w:p>
    <w:p>
      <w:pPr>
        <w:spacing w:after="0" w:line="186" w:lineRule="exact"/>
        <w:rPr>
          <w:rFonts w:ascii="Arial" w:cs="Arial" w:eastAsia="Arial" w:hAnsi="Arial"/>
          <w:sz w:val="18"/>
          <w:szCs w:val="18"/>
          <w:color w:val="auto"/>
        </w:rPr>
      </w:pPr>
    </w:p>
    <w:p>
      <w:pPr>
        <w:ind w:left="800" w:right="80" w:firstLine="647"/>
        <w:spacing w:after="0" w:line="254" w:lineRule="auto"/>
        <w:tabs>
          <w:tab w:leader="none" w:pos="216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any payment made pursuant to this Agreement to any Lender, the L/C Issuer or any other recipient of any payment to be made by or on account of any obligation under this Agreement would be subject to U.S. federal withholding Tax imposed by FATCA if such recipient were to fail to comply with the applicable reporting requirements of FATCA (including those contained in Section 1471(b) or 1472(b) of the Code, as applicable), each such Lender, the L/C Issuer or other recipient shall deliver to the Borrowing Agent and the Administrative Agent at the time or times prescribed by law and at such time or times reasonably requested by the Borrowing Agent or the Administrative Agent such documentation prescribed by applicable law (including as prescribed by Section 1471(b)(3)(C)(i) of the Code) and such additional documentation reasonably requested by the Borrowing Agent or the Administrative Agent as may be necessary for the Borrowing Agent and the Administrative Agent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733" w:right="259" w:bottom="572" w:gutter="0" w:footer="0" w:header="0"/>
        </w:sectPr>
      </w:pPr>
    </w:p>
    <w:bookmarkStart w:id="44" w:name="page45"/>
    <w:bookmarkEnd w:id="44"/>
    <w:p>
      <w:pPr>
        <w:spacing w:after="0" w:line="105" w:lineRule="exact"/>
        <w:rPr>
          <w:sz w:val="20"/>
          <w:szCs w:val="20"/>
          <w:color w:val="auto"/>
        </w:rPr>
      </w:pPr>
    </w:p>
    <w:p>
      <w:pPr>
        <w:ind w:left="820" w:right="160"/>
        <w:spacing w:after="0" w:line="277" w:lineRule="auto"/>
        <w:rPr>
          <w:sz w:val="20"/>
          <w:szCs w:val="20"/>
          <w:color w:val="auto"/>
        </w:rPr>
      </w:pPr>
      <w:r>
        <w:rPr>
          <w:rFonts w:ascii="Arial" w:cs="Arial" w:eastAsia="Arial" w:hAnsi="Arial"/>
          <w:sz w:val="18"/>
          <w:szCs w:val="18"/>
          <w:color w:val="auto"/>
        </w:rPr>
        <w:t>comply with their obligations under FATCA and to determine that such recipient has complied with such recipient’s obligations under FATCA or to determine the amount to deduct and withhold from such payment.</w:t>
      </w:r>
    </w:p>
    <w:p>
      <w:pPr>
        <w:spacing w:after="0" w:line="170" w:lineRule="exact"/>
        <w:rPr>
          <w:sz w:val="20"/>
          <w:szCs w:val="20"/>
          <w:color w:val="auto"/>
        </w:rPr>
      </w:pPr>
    </w:p>
    <w:p>
      <w:pPr>
        <w:ind w:left="820" w:right="240" w:firstLine="647"/>
        <w:spacing w:after="0" w:line="259" w:lineRule="auto"/>
        <w:tabs>
          <w:tab w:leader="none" w:pos="217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Each Lender, the L/C Issuer and any other recipient of any payment to be made by or on account of any obligation under this Agreement agrees that if any form or certification it previously delivered pursuant to this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expires or becomes obsolete or inaccurate in any respect, it shall update such form or certification or promptly notify the Borrowing Agent and the Administrative Agent in writing of its legal inability to do so.</w:t>
      </w:r>
    </w:p>
    <w:p>
      <w:pPr>
        <w:spacing w:after="0" w:line="186" w:lineRule="exact"/>
        <w:rPr>
          <w:rFonts w:ascii="Arial" w:cs="Arial" w:eastAsia="Arial" w:hAnsi="Arial"/>
          <w:sz w:val="18"/>
          <w:szCs w:val="18"/>
          <w:color w:val="auto"/>
        </w:rPr>
      </w:pPr>
    </w:p>
    <w:p>
      <w:pPr>
        <w:ind w:left="820" w:right="160" w:firstLine="647"/>
        <w:spacing w:after="0" w:line="272" w:lineRule="auto"/>
        <w:tabs>
          <w:tab w:leader="none" w:pos="2173" w:val="left"/>
        </w:tabs>
        <w:numPr>
          <w:ilvl w:val="1"/>
          <w:numId w:val="111"/>
        </w:numPr>
        <w:rPr>
          <w:rFonts w:ascii="Arial" w:cs="Arial" w:eastAsia="Arial" w:hAnsi="Arial"/>
          <w:sz w:val="17"/>
          <w:szCs w:val="17"/>
          <w:color w:val="auto"/>
        </w:rPr>
      </w:pPr>
      <w:r>
        <w:rPr>
          <w:rFonts w:ascii="Arial" w:cs="Arial" w:eastAsia="Arial" w:hAnsi="Arial"/>
          <w:sz w:val="17"/>
          <w:szCs w:val="17"/>
          <w:color w:val="auto"/>
        </w:rPr>
        <w:t>Each Lender shall promptly (A) notify the Borrowing Agent and the Administrative Agent in writing of any change in circumstances which would modify or render invalid any claimed exemption or reduction, and (B) deliver to the Borrowing Agent and to the Administrative Agent such duly completed and executed documentation prescribed by applicable Laws as will permit payments hereunder or under any other Loan Document to be made without withholding or at a reduced rate of withholding and take such other steps as shall not be materially disadvantageous to it, in the reasonable judgment of such Lender, and as may be reasonably necessary (including the re-designation of its Lending Office) to avoid any requirement of applicable Laws of any jurisdiction that the Borrowers or the Administrative Agent make any withholding or deduction for taxes from amounts payable to such Lender.</w:t>
      </w:r>
    </w:p>
    <w:p>
      <w:pPr>
        <w:spacing w:after="0" w:line="177" w:lineRule="exact"/>
        <w:rPr>
          <w:rFonts w:ascii="Arial" w:cs="Arial" w:eastAsia="Arial" w:hAnsi="Arial"/>
          <w:sz w:val="17"/>
          <w:szCs w:val="17"/>
          <w:color w:val="auto"/>
        </w:rPr>
      </w:pPr>
    </w:p>
    <w:p>
      <w:pPr>
        <w:ind w:firstLine="656"/>
        <w:spacing w:after="0" w:line="268" w:lineRule="auto"/>
        <w:tabs>
          <w:tab w:leader="none" w:pos="1368" w:val="left"/>
        </w:tabs>
        <w:numPr>
          <w:ilvl w:val="0"/>
          <w:numId w:val="112"/>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Unless required by applicable Laws, at no time shall the Administrative Agent have any obligation to file for or otherwise pursue on behalf of a Lender or the L/C-BA Issuer, or have any obligation to pay to any Lender or the L/C-BA Issuer, any refund of Taxes withheld or deducted from funds paid for the account of such Lender or the L/C-BA Issuer, as the case may be. If the Administrative Agent, any Lender or the L/C-BA Issuer determines, in its sole discretion, that it has received a refund of any Taxes or Other Taxes as to which it has been indemnified by the Borrowers or with respect to which the Borrowers has paid additional amounts pursuant to this Section, it shall pay to the Borrowers an amount equal to such refund (but only to the extent of indemnity payments made, or additional amounts paid, by the Borrowers under this Section with respect to the Taxes or Other Taxes giving rise to such refund), net of all out-of-pocket expenses incurred by the Administrative Agent, such Lender or the L/C-BA Issuer, as the case may be,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Administrative Agent, such Lender or the L/C-BA Issuer, agrees to repay the amount paid over to the Borrowers (plus any penalties, interest or other charges imposed by the relevant Governmental Authority) to the Administrative Agent, such Lender or the L/C-BA Issuer in the event the Administrative Agent, such Lender or the L/C-BA Issuer is required to repay such refund to such Governmental Authority. This subsection shall not be construed to require the Administrative Agent, any Lender or the L/C-BA Issuer to make available its tax returns (or any other information relating to its taxes that it deems confidential) to the Borrowers or any other Person.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6"/>
          <w:szCs w:val="16"/>
          <w:b w:val="1"/>
          <w:bCs w:val="1"/>
          <w:color w:val="auto"/>
        </w:rPr>
        <w:t>Illegality</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67" w:lineRule="auto"/>
        <w:tabs>
          <w:tab w:leader="none" w:pos="1294" w:val="left"/>
        </w:tabs>
        <w:numPr>
          <w:ilvl w:val="0"/>
          <w:numId w:val="113"/>
        </w:numPr>
        <w:rPr>
          <w:rFonts w:ascii="Arial" w:cs="Arial" w:eastAsia="Arial" w:hAnsi="Arial"/>
          <w:sz w:val="17"/>
          <w:szCs w:val="17"/>
          <w:color w:val="auto"/>
        </w:rPr>
      </w:pPr>
      <w:r>
        <w:rPr>
          <w:rFonts w:ascii="Arial" w:cs="Arial" w:eastAsia="Arial" w:hAnsi="Arial"/>
          <w:sz w:val="17"/>
          <w:szCs w:val="17"/>
          <w:u w:val="single" w:color="auto"/>
          <w:color w:val="auto"/>
        </w:rPr>
        <w:t>Illegality to Make, Maintain or Fund Certain Loans</w:t>
      </w:r>
      <w:r>
        <w:rPr>
          <w:rFonts w:ascii="Arial" w:cs="Arial" w:eastAsia="Arial" w:hAnsi="Arial"/>
          <w:sz w:val="17"/>
          <w:szCs w:val="17"/>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Borrowing Agent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Borrowing Agent that the circumstances giving rise to such determination no longer exist. Upon receipt of such notice, (x) the Borrowers shall, upon demand from such Lender (with a copy to the Administrative Agent),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conversion, the Borrowers shall also pay accrued interest on the amount so converted. If the making or maintaining of both Eurodollar Rate Loans and Base Rate Loans is illegal, with respect to WFS Europe or WFS Singapore, the Administrative Agent, the Lenders and the Borrowers shall negotiate in good faith to agree on an alternate cost of funds plus an applicable margin.</w:t>
      </w:r>
    </w:p>
    <w:p>
      <w:pPr>
        <w:spacing w:after="0" w:line="188" w:lineRule="exact"/>
        <w:rPr>
          <w:rFonts w:ascii="Arial" w:cs="Arial" w:eastAsia="Arial" w:hAnsi="Arial"/>
          <w:sz w:val="17"/>
          <w:szCs w:val="17"/>
          <w:color w:val="auto"/>
        </w:rPr>
      </w:pPr>
    </w:p>
    <w:p>
      <w:pPr>
        <w:ind w:right="60" w:firstLine="656"/>
        <w:spacing w:after="0" w:line="290" w:lineRule="auto"/>
        <w:tabs>
          <w:tab w:leader="none" w:pos="1304"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Designated Lenders and Illegality</w:t>
      </w:r>
      <w:r>
        <w:rPr>
          <w:rFonts w:ascii="Arial" w:cs="Arial" w:eastAsia="Arial" w:hAnsi="Arial"/>
          <w:sz w:val="16"/>
          <w:szCs w:val="16"/>
          <w:color w:val="auto"/>
        </w:rPr>
        <w:t>. Each Lender at its option may make any Credit Extension to any Borrower by causing any domestic or foreign branch or Affiliate of such Lender (each a “</w:t>
      </w:r>
      <w:r>
        <w:rPr>
          <w:rFonts w:ascii="Arial" w:cs="Arial" w:eastAsia="Arial" w:hAnsi="Arial"/>
          <w:sz w:val="16"/>
          <w:szCs w:val="16"/>
          <w:u w:val="single" w:color="auto"/>
          <w:color w:val="auto"/>
        </w:rPr>
        <w:t>Designated Lender</w:t>
      </w:r>
      <w:r>
        <w:rPr>
          <w:rFonts w:ascii="Arial" w:cs="Arial" w:eastAsia="Arial" w:hAnsi="Arial"/>
          <w:sz w:val="16"/>
          <w:szCs w:val="16"/>
          <w:color w:val="auto"/>
        </w:rPr>
        <w:t xml:space="preserve">”) to make such Credit Extension (and in the case of an Affiliate, the provisions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xml:space="preserve"> shall apply to such Affiliate to the same extent as to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relevant Borrower to repay such Credit Extension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if any Lender or any Designated Lender determines that any Law has made it unlawful, or that any Governmental Authority has asserted that it is unlawful, for any Lender or its applicable Designated Lender to perform its obligations hereunder or to issue, make, maintain, fund or charge interest with respect to any Credit Extension to any Borrower who is organized under the laws of a jurisdiction other than the United States, a State thereof or the District of Columbia then, on notice thereof by such Lender to the Borrowing Agent through the Administrative Agent, and until such notice by such Lender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is revoked, any obligation of such Lender to issue, make, maintain, fund or charge interest with respect to any such Credit Extension shall be suspended.</w:t>
      </w:r>
    </w:p>
    <w:p>
      <w:pPr>
        <w:spacing w:after="0" w:line="244"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3.03 Inability to Determine Rates</w:t>
      </w:r>
      <w:r>
        <w:rPr>
          <w:rFonts w:ascii="Arial" w:cs="Arial" w:eastAsia="Arial" w:hAnsi="Arial"/>
          <w:sz w:val="16"/>
          <w:szCs w:val="16"/>
          <w:color w:val="auto"/>
        </w:rPr>
        <w:t>. If in connection with any request for a Eurodollar Rate Loan or a conversion to or continuation thereof, (a)</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w:t>
      </w:r>
    </w:p>
    <w:p>
      <w:pPr>
        <w:sectPr>
          <w:pgSz w:w="11900" w:h="16944" w:orient="portrait"/>
          <w:cols w:equalWidth="0" w:num="1">
            <w:col w:w="11420"/>
          </w:cols>
          <w:pgMar w:left="240" w:top="125" w:right="239" w:bottom="0" w:gutter="0" w:footer="0" w:header="0"/>
        </w:sectPr>
      </w:pPr>
    </w:p>
    <w:bookmarkStart w:id="45" w:name="page46"/>
    <w:bookmarkEnd w:id="45"/>
    <w:p>
      <w:pPr>
        <w:spacing w:after="0" w:line="11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respect to clause (a) (i) above, “</w:t>
      </w:r>
      <w:r>
        <w:rPr>
          <w:rFonts w:ascii="Arial" w:cs="Arial" w:eastAsia="Arial" w:hAnsi="Arial"/>
          <w:sz w:val="16"/>
          <w:szCs w:val="16"/>
          <w:u w:val="single" w:color="auto"/>
          <w:color w:val="auto"/>
        </w:rPr>
        <w:t>Impacted Loans</w:t>
      </w:r>
      <w:r>
        <w:rPr>
          <w:rFonts w:ascii="Arial" w:cs="Arial" w:eastAsia="Arial" w:hAnsi="Arial"/>
          <w:sz w:val="16"/>
          <w:szCs w:val="16"/>
          <w:color w:val="auto"/>
        </w:rPr>
        <w:t>”), or (b) the Administrative Agent or the Required Facility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Borrowing Agent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Facility Lenders revokes such notice. Upon receipt of such notice, the Borrowing Agent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67" w:lineRule="exact"/>
        <w:rPr>
          <w:sz w:val="20"/>
          <w:szCs w:val="20"/>
          <w:color w:val="auto"/>
        </w:rPr>
      </w:pPr>
    </w:p>
    <w:p>
      <w:pPr>
        <w:ind w:left="40" w:firstLine="623"/>
        <w:spacing w:after="0" w:line="289" w:lineRule="auto"/>
        <w:rPr>
          <w:sz w:val="20"/>
          <w:szCs w:val="20"/>
          <w:color w:val="auto"/>
        </w:rPr>
      </w:pPr>
      <w:r>
        <w:rPr>
          <w:rFonts w:ascii="Arial" w:cs="Arial" w:eastAsia="Arial" w:hAnsi="Arial"/>
          <w:sz w:val="16"/>
          <w:szCs w:val="16"/>
          <w:color w:val="auto"/>
        </w:rPr>
        <w:t xml:space="preserve">Notwithstanding the foregoing, if the Administrative Agent has made the determination described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of this section, the Administrative Agent, in consultation with the Borrowing Agent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first sentence of this section, (2) the Administrative Agent or the Required Facility Lenders notify the Administrative Agent and the Borrowing Agent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Borrowing Agent written notice thereof.</w:t>
      </w:r>
    </w:p>
    <w:p>
      <w:pPr>
        <w:spacing w:after="0" w:line="16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6"/>
          <w:szCs w:val="16"/>
          <w:b w:val="1"/>
          <w:bCs w:val="1"/>
          <w:color w:val="auto"/>
        </w:rPr>
        <w:t>Increased Costs; Reserves on Eurodollar Rate Loans</w:t>
      </w:r>
      <w:r>
        <w:rPr>
          <w:rFonts w:ascii="Arial" w:cs="Arial" w:eastAsia="Arial" w:hAnsi="Arial"/>
          <w:sz w:val="16"/>
          <w:szCs w:val="16"/>
          <w:color w:val="auto"/>
        </w:rPr>
        <w:t>.</w:t>
      </w:r>
    </w:p>
    <w:p>
      <w:pPr>
        <w:spacing w:after="0" w:line="229"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ind w:left="820" w:right="440" w:firstLine="647"/>
        <w:spacing w:after="0" w:line="277" w:lineRule="auto"/>
        <w:tabs>
          <w:tab w:leader="none" w:pos="213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160"/>
        <w:spacing w:after="0" w:line="277" w:lineRule="auto"/>
        <w:rPr>
          <w:sz w:val="20"/>
          <w:szCs w:val="20"/>
          <w:color w:val="auto"/>
        </w:rPr>
      </w:pPr>
      <w:r>
        <w:rPr>
          <w:rFonts w:ascii="Arial" w:cs="Arial" w:eastAsia="Arial" w:hAnsi="Arial"/>
          <w:sz w:val="18"/>
          <w:szCs w:val="18"/>
          <w:color w:val="auto"/>
        </w:rPr>
        <w:t xml:space="preserve">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the L/C-BA Issuer;</w:t>
      </w:r>
    </w:p>
    <w:p>
      <w:pPr>
        <w:spacing w:after="0" w:line="170" w:lineRule="exact"/>
        <w:rPr>
          <w:sz w:val="20"/>
          <w:szCs w:val="20"/>
          <w:color w:val="auto"/>
        </w:rPr>
      </w:pPr>
    </w:p>
    <w:p>
      <w:pPr>
        <w:ind w:left="820" w:right="20" w:firstLine="647"/>
        <w:spacing w:after="0" w:line="302" w:lineRule="auto"/>
        <w:tabs>
          <w:tab w:leader="none" w:pos="21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subject any Lender or the L/C-BA Issuer to any tax of any kind whatsoever with respect to this Agreement, any Letter of Credit, any Bankers’ Acceptance, any participation in a Letter of Credit or Bankers’ Acceptance or any Eurodollar Rate Loan made by it, or change the basis of taxation of payments to such Lender or the L/C-BA Issuer in respect thereof (in each case, except for Indemnified Taxes or Other Taxes covered by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the imposition of, or any change in the rate of, any Excluded Tax payable by such Lender or the L/C-BA Issuer); or</w:t>
      </w:r>
    </w:p>
    <w:p>
      <w:pPr>
        <w:spacing w:after="0" w:line="154" w:lineRule="exact"/>
        <w:rPr>
          <w:rFonts w:ascii="Arial" w:cs="Arial" w:eastAsia="Arial" w:hAnsi="Arial"/>
          <w:sz w:val="16"/>
          <w:szCs w:val="16"/>
          <w:color w:val="auto"/>
        </w:rPr>
      </w:pPr>
    </w:p>
    <w:p>
      <w:pPr>
        <w:ind w:left="820" w:right="100" w:firstLine="647"/>
        <w:spacing w:after="0" w:line="342" w:lineRule="auto"/>
        <w:tabs>
          <w:tab w:leader="none" w:pos="215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impose on any Lender or the L/C-BA Issuer or the London interbank market any other condition, cost or expense affecting this Agreement or Eurodollar Rate Loans made by such Lender or any Letter of Credit or Bankers’ Acceptance, or participation therein;</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and the result of any of the foregoing shall be to increase the cost to such Lender of making or maintaining any Loan the interest on which is determined by reference to the Eurodollar Rate (or of maintaining its obligation to make any such Loan), or to increase the cost to such Lender or the L/C-BA Issuer of participating in, issuing or maintaining any Letter of Credit or Bankers’ Acceptance (or of maintaining its obligation to participate in or to issue any Letter of Credit or Bankers’ Acceptance), or to reduce the amount of any sum received or receivable by such Lender or the L/C-BA Issuer hereunder (whether of principal, interest or any other amount) then, upon request of such Lender or the L/C-BA Issuer, the Borrowers will, subject to </w:t>
      </w:r>
      <w:r>
        <w:rPr>
          <w:rFonts w:ascii="Arial" w:cs="Arial" w:eastAsia="Arial" w:hAnsi="Arial"/>
          <w:sz w:val="17"/>
          <w:szCs w:val="17"/>
          <w:u w:val="single" w:color="auto"/>
          <w:color w:val="auto"/>
        </w:rPr>
        <w:t>Section 3.04(c)</w:t>
      </w:r>
      <w:r>
        <w:rPr>
          <w:rFonts w:ascii="Arial" w:cs="Arial" w:eastAsia="Arial" w:hAnsi="Arial"/>
          <w:sz w:val="17"/>
          <w:szCs w:val="17"/>
          <w:color w:val="auto"/>
        </w:rPr>
        <w:t>, pay to such Lender or the L/C-BA Issuer, as the case may be, such additional amount or amounts as will compensate such Lender or the L/C-BA Issuer, as the case may be, for such additional costs incurred or reduction suffered.</w:t>
      </w:r>
    </w:p>
    <w:p>
      <w:pPr>
        <w:spacing w:after="0" w:line="178" w:lineRule="exact"/>
        <w:rPr>
          <w:sz w:val="20"/>
          <w:szCs w:val="20"/>
          <w:color w:val="auto"/>
        </w:rPr>
      </w:pPr>
    </w:p>
    <w:p>
      <w:pPr>
        <w:ind w:right="20" w:firstLine="656"/>
        <w:spacing w:after="0" w:line="253" w:lineRule="auto"/>
        <w:tabs>
          <w:tab w:leader="none" w:pos="130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xml:space="preserve">. If any Lender or the L/C-BA Issuer determines that any Change in Law affecting such Lender or the L/C-BA Issuer or any Lending Office of such Lender or such Lender’s or the L/C-BA Issuer’s holding company, if any, regarding capital requirements has or would have the effect of reducing the rate of return on such Lender’s or the L/C-BA Issuer’s capital or on the capital of such Lender’s or the L/C-BA Issuer’s holding company, if any, as a consequence of this Agreement, the Commitments of such Lender or the Loans made by, or participations in Letters of Credit or Bankers’ Acceptances held by, such Lender, or the Letters of Credit or Bankers’ Acceptances issued by the L/C-BA Issuer, to a level below that which such Lender or the L/C-BA Issuer or such Lender’s or the L/C-BA Issuer’s holding company could have achieved but for such Change in Law (taking into consideration such Lender’s or the L/C-BA Issuer’s policies and the policies of such Lender’s or the L/C-BA Issuer’s holding company with respect to capital adequacy), then from time to time the Borrowers will, subject to </w:t>
      </w:r>
      <w:r>
        <w:rPr>
          <w:rFonts w:ascii="Arial" w:cs="Arial" w:eastAsia="Arial" w:hAnsi="Arial"/>
          <w:sz w:val="18"/>
          <w:szCs w:val="18"/>
          <w:u w:val="single" w:color="auto"/>
          <w:color w:val="auto"/>
        </w:rPr>
        <w:t>Section 3.04(c)</w:t>
      </w:r>
      <w:r>
        <w:rPr>
          <w:rFonts w:ascii="Arial" w:cs="Arial" w:eastAsia="Arial" w:hAnsi="Arial"/>
          <w:sz w:val="18"/>
          <w:szCs w:val="18"/>
          <w:color w:val="auto"/>
        </w:rPr>
        <w:t>, pay to such Lender or the L/C-BA Issuer, as the case may be, such additional amount or amounts as will compensate such Lender or the L/C-BA Issuer or such Lender’s or the L/C-BA Issuer’s holding company for any such reduction suffered.</w:t>
      </w:r>
    </w:p>
    <w:p>
      <w:pPr>
        <w:spacing w:after="0" w:line="194" w:lineRule="exact"/>
        <w:rPr>
          <w:rFonts w:ascii="Arial" w:cs="Arial" w:eastAsia="Arial" w:hAnsi="Arial"/>
          <w:sz w:val="18"/>
          <w:szCs w:val="18"/>
          <w:color w:val="auto"/>
        </w:rPr>
      </w:pPr>
    </w:p>
    <w:p>
      <w:pPr>
        <w:ind w:left="1320" w:hanging="664"/>
        <w:spacing w:after="0"/>
        <w:tabs>
          <w:tab w:leader="none" w:pos="132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xml:space="preserve">. Any Lender or the L/C-BA Issuer claiming compensation pursuant to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shall deliver to the Borrowing</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Agent a certificate setting forth a reasonably detailed calculation of the amount or amounts necessary to compensate such Lender or the L/C-BA Issuer or its holding company, as the case may be, and the basis for such compensation as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which certificate shall be conclusive absent manifest error. The Borrowers shall pay such Lender or the L/C-BA Issuer, as the case may be, the amount shown as due on any such certificate within 10 days after receipt thereof.</w:t>
      </w:r>
    </w:p>
    <w:p>
      <w:pPr>
        <w:spacing w:after="0" w:line="187" w:lineRule="exact"/>
        <w:rPr>
          <w:sz w:val="20"/>
          <w:szCs w:val="20"/>
          <w:color w:val="auto"/>
        </w:rPr>
      </w:pPr>
    </w:p>
    <w:p>
      <w:pPr>
        <w:ind w:right="360" w:firstLine="656"/>
        <w:spacing w:after="0" w:line="312" w:lineRule="auto"/>
        <w:tabs>
          <w:tab w:leader="none" w:pos="1304"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the L/C-BA Issuer to demand compensation pursuant to the foregoing provisions of this Section shall not constitute a waiver of such Lender’s or the L/C-BA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Borrowers shall not be required to compensate a Lender or the L/C-BA Issuer pursuant to the foregoing provisions of this Section for any increased costs</w:t>
      </w:r>
    </w:p>
    <w:p>
      <w:pPr>
        <w:sectPr>
          <w:pgSz w:w="11900" w:h="16952" w:orient="portrait"/>
          <w:cols w:equalWidth="0" w:num="1">
            <w:col w:w="11400"/>
          </w:cols>
          <w:pgMar w:left="240" w:top="125" w:right="259" w:bottom="0" w:gutter="0" w:footer="0" w:header="0"/>
        </w:sectPr>
      </w:pPr>
    </w:p>
    <w:bookmarkStart w:id="46" w:name="page47"/>
    <w:bookmarkEnd w:id="46"/>
    <w:p>
      <w:pPr>
        <w:spacing w:after="0" w:line="1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incurred or reductions suffered more than six months prior to the date that such Lender or the L/C-BA Issuer, as the case may be, notifies the Borrowing Agent of the Change in Law giving rise to such increased costs or reductions and of such Lender’s or the L/C-BA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7" w:lineRule="exact"/>
        <w:rPr>
          <w:sz w:val="20"/>
          <w:szCs w:val="20"/>
          <w:color w:val="auto"/>
        </w:rPr>
      </w:pPr>
    </w:p>
    <w:p>
      <w:pPr>
        <w:ind w:right="80" w:firstLine="656"/>
        <w:spacing w:after="0" w:line="255" w:lineRule="auto"/>
        <w:tabs>
          <w:tab w:leader="none" w:pos="130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xml:space="preserve">. The Borrowers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Borrowers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3.05 Compensation for Losses</w:t>
      </w:r>
      <w:r>
        <w:rPr>
          <w:rFonts w:ascii="Arial" w:cs="Arial" w:eastAsia="Arial" w:hAnsi="Arial"/>
          <w:sz w:val="18"/>
          <w:szCs w:val="18"/>
          <w:color w:val="auto"/>
        </w:rPr>
        <w:t>. Upon demand of any Lender (with a copy to the Administrative Agent) to the Borrowing Agent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which demand shall be accompanied by a statement setting forth the basis for the amount being claimed, the Borrowers shall promptly compensate such Lender for and hold such Lender harmless from any loss, cost or expense incurred by it as a result of:</w:t>
      </w:r>
    </w:p>
    <w:p>
      <w:pPr>
        <w:spacing w:after="0" w:line="180" w:lineRule="exact"/>
        <w:rPr>
          <w:sz w:val="20"/>
          <w:szCs w:val="20"/>
          <w:color w:val="auto"/>
        </w:rPr>
      </w:pPr>
    </w:p>
    <w:p>
      <w:pPr>
        <w:ind w:right="500" w:firstLine="656"/>
        <w:spacing w:after="0" w:line="277" w:lineRule="auto"/>
        <w:tabs>
          <w:tab w:leader="none" w:pos="129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70" w:lineRule="exact"/>
        <w:rPr>
          <w:rFonts w:ascii="Arial" w:cs="Arial" w:eastAsia="Arial" w:hAnsi="Arial"/>
          <w:sz w:val="18"/>
          <w:szCs w:val="18"/>
          <w:color w:val="auto"/>
        </w:rPr>
      </w:pPr>
    </w:p>
    <w:p>
      <w:pPr>
        <w:ind w:right="100" w:firstLine="656"/>
        <w:spacing w:after="0" w:line="277" w:lineRule="auto"/>
        <w:tabs>
          <w:tab w:leader="none" w:pos="130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failure by the Borrowers (for a reason other than the failure of such Lender to make a Loan) to prepay, borrow, continue or convert any Loan other than a Base Rate Loan on the date or in the amount notified by the Borrowing Agent;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56"/>
        <w:spacing w:after="0" w:line="277" w:lineRule="auto"/>
        <w:tabs>
          <w:tab w:leader="none" w:pos="130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Borrowing Agent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 (but excluding any loss of anticipated profits). The Borrowers shall also pay any customary administrative fees charged by such Lender in connection with the foregoing.</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For purposes of calculating amounts payable by the Borrowers to the Lenders under this </w:t>
      </w:r>
      <w:r>
        <w:rPr>
          <w:rFonts w:ascii="Arial" w:cs="Arial" w:eastAsia="Arial" w:hAnsi="Arial"/>
          <w:sz w:val="17"/>
          <w:szCs w:val="17"/>
          <w:u w:val="single" w:color="auto"/>
          <w:color w:val="auto"/>
        </w:rPr>
        <w:t>Section 3.05</w:t>
      </w:r>
      <w:r>
        <w:rPr>
          <w:rFonts w:ascii="Arial" w:cs="Arial" w:eastAsia="Arial" w:hAnsi="Arial"/>
          <w:sz w:val="17"/>
          <w:szCs w:val="17"/>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color w:val="auto"/>
        </w:rPr>
        <w:t>Mitigation Obligations; Replacement of Lenders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0" w:lineRule="auto"/>
        <w:tabs>
          <w:tab w:leader="none" w:pos="1294"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any Borrower is required to pay any additional amount to any Lender, the L/C-BA Issuer, or any Governmental Authority for the account of any Lender or the L/C-BA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such Lender or the L/C-BA Issuer shall, as applicable, use reasonable efforts to designate a different Lending Office for funding or booking its Loans hereunder or to assign its rights and obligations hereunder to another of its offices, branches or affiliates, if, in the reasonable judgment of such Lender or the L/C-BA Issuer,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the L/C-BA Issuer, as the case may be, to any unreimbursed cost or expense and would not otherwise be disadvantageous to such Lender or the L/C-BA Issuer, as the case may be. The Borrowers hereby agrees to pay all reasonable costs and expenses incurred by any Lender or the L/C-BA Issuer in connection with any such designation or assignment.</w:t>
      </w:r>
    </w:p>
    <w:p>
      <w:pPr>
        <w:spacing w:after="0" w:line="181" w:lineRule="exact"/>
        <w:rPr>
          <w:rFonts w:ascii="Arial" w:cs="Arial" w:eastAsia="Arial" w:hAnsi="Arial"/>
          <w:sz w:val="17"/>
          <w:szCs w:val="17"/>
          <w:color w:val="auto"/>
        </w:rPr>
      </w:pPr>
    </w:p>
    <w:p>
      <w:pPr>
        <w:jc w:val="both"/>
        <w:ind w:right="360" w:firstLine="656"/>
        <w:spacing w:after="0" w:line="264" w:lineRule="auto"/>
        <w:tabs>
          <w:tab w:leader="none" w:pos="1304"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any Borrower is required to pay any additional amount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Borrowers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7"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3.07 Survival</w:t>
      </w:r>
      <w:r>
        <w:rPr>
          <w:rFonts w:ascii="Arial" w:cs="Arial" w:eastAsia="Arial" w:hAnsi="Arial"/>
          <w:sz w:val="18"/>
          <w:szCs w:val="18"/>
          <w:color w:val="auto"/>
        </w:rPr>
        <w:t>. 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all other Obligations hereunder, and resignation of the Administrative Agent.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CONDITIONS PRECEDENT TO CREDIT EXTENSIONS</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4.01 Conditions of Amendment and Restatement</w:t>
      </w:r>
      <w:r>
        <w:rPr>
          <w:rFonts w:ascii="Arial" w:cs="Arial" w:eastAsia="Arial" w:hAnsi="Arial"/>
          <w:sz w:val="18"/>
          <w:szCs w:val="18"/>
          <w:color w:val="auto"/>
        </w:rPr>
        <w:t>. The effectiveness of this Agreement as an amendment and restatement of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is subject to satisfaction of the following conditions precedent: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firstLine="656"/>
        <w:spacing w:after="0" w:line="259" w:lineRule="auto"/>
        <w:tabs>
          <w:tab w:leader="none" w:pos="129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86" w:lineRule="exact"/>
        <w:rPr>
          <w:rFonts w:ascii="Arial" w:cs="Arial" w:eastAsia="Arial" w:hAnsi="Arial"/>
          <w:sz w:val="18"/>
          <w:szCs w:val="18"/>
          <w:color w:val="auto"/>
        </w:rPr>
      </w:pPr>
    </w:p>
    <w:p>
      <w:pPr>
        <w:ind w:left="820" w:right="320" w:firstLine="647"/>
        <w:spacing w:after="0" w:line="277" w:lineRule="auto"/>
        <w:tabs>
          <w:tab w:leader="none" w:pos="213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executed counterparts of this Agreement and the Guaranty, sufficient in number for distribution to the Administrative Agent, each Lender and the Borrowing Agent;</w:t>
      </w:r>
    </w:p>
    <w:p>
      <w:pPr>
        <w:spacing w:after="0" w:line="170" w:lineRule="exact"/>
        <w:rPr>
          <w:rFonts w:ascii="Arial" w:cs="Arial" w:eastAsia="Arial" w:hAnsi="Arial"/>
          <w:sz w:val="18"/>
          <w:szCs w:val="18"/>
          <w:color w:val="auto"/>
        </w:rPr>
      </w:pPr>
    </w:p>
    <w:p>
      <w:pPr>
        <w:ind w:left="820" w:right="140" w:firstLine="647"/>
        <w:spacing w:after="0" w:line="342" w:lineRule="auto"/>
        <w:tabs>
          <w:tab w:leader="none" w:pos="214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 Revolving Notes executed by the Borrowers in favor of each Revolving Lender requesting a Revolving Note; (B) a Term Loan Note executed by WFS in favor of each Domestic Term Loan Lender requesting a Term Loan Note; and (C) a Term Loan Note executed by</w:t>
      </w:r>
    </w:p>
    <w:p>
      <w:pPr>
        <w:sectPr>
          <w:pgSz w:w="11900" w:h="16975" w:orient="portrait"/>
          <w:cols w:equalWidth="0" w:num="1">
            <w:col w:w="11420"/>
          </w:cols>
          <w:pgMar w:left="240" w:top="125" w:right="239" w:bottom="0" w:gutter="0" w:footer="0" w:header="0"/>
        </w:sectPr>
      </w:pPr>
    </w:p>
    <w:bookmarkStart w:id="47" w:name="page48"/>
    <w:bookmarkEnd w:id="47"/>
    <w:p>
      <w:pPr>
        <w:spacing w:after="0" w:line="10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WFS Singapore in favor of each Singapore Term Loan Lender requesting a Term Loan Note;</w:t>
      </w:r>
    </w:p>
    <w:p>
      <w:pPr>
        <w:spacing w:after="0" w:line="225" w:lineRule="exact"/>
        <w:rPr>
          <w:sz w:val="20"/>
          <w:szCs w:val="20"/>
          <w:color w:val="auto"/>
        </w:rPr>
      </w:pPr>
    </w:p>
    <w:p>
      <w:pPr>
        <w:ind w:left="2160" w:hanging="693"/>
        <w:spacing w:after="0"/>
        <w:tabs>
          <w:tab w:leader="none" w:pos="21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executed counterparts of the Pledge Agreement together with:</w:t>
      </w:r>
    </w:p>
    <w:p>
      <w:pPr>
        <w:spacing w:after="0" w:line="225" w:lineRule="exact"/>
        <w:rPr>
          <w:rFonts w:ascii="Arial" w:cs="Arial" w:eastAsia="Arial" w:hAnsi="Arial"/>
          <w:sz w:val="18"/>
          <w:szCs w:val="18"/>
          <w:color w:val="auto"/>
        </w:rPr>
      </w:pPr>
    </w:p>
    <w:p>
      <w:pPr>
        <w:ind w:left="1300" w:right="160" w:firstLine="653"/>
        <w:spacing w:after="0" w:line="277" w:lineRule="auto"/>
        <w:tabs>
          <w:tab w:leader="none" w:pos="261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the extent required thereby, certificates representing the Pledged Interests referred to therein accompanied by undated stock powers executed in blank,</w:t>
      </w:r>
    </w:p>
    <w:p>
      <w:pPr>
        <w:spacing w:after="0" w:line="170" w:lineRule="exact"/>
        <w:rPr>
          <w:rFonts w:ascii="Arial" w:cs="Arial" w:eastAsia="Arial" w:hAnsi="Arial"/>
          <w:sz w:val="18"/>
          <w:szCs w:val="18"/>
          <w:color w:val="auto"/>
        </w:rPr>
      </w:pPr>
    </w:p>
    <w:p>
      <w:pPr>
        <w:jc w:val="both"/>
        <w:ind w:left="1300" w:right="60" w:firstLine="653"/>
        <w:spacing w:after="0" w:line="264" w:lineRule="auto"/>
        <w:tabs>
          <w:tab w:leader="none" w:pos="260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proper UCC financing statements in form appropriate for filing under the UCC of all jurisdictions that the Administrative Agent may deem necessary or desirable in order to perfect the Liens created under the Pledge Agreement, covering the Collateral described therein, and</w:t>
      </w:r>
    </w:p>
    <w:p>
      <w:pPr>
        <w:spacing w:after="0" w:line="181" w:lineRule="exact"/>
        <w:rPr>
          <w:rFonts w:ascii="Arial" w:cs="Arial" w:eastAsia="Arial" w:hAnsi="Arial"/>
          <w:sz w:val="18"/>
          <w:szCs w:val="18"/>
          <w:color w:val="auto"/>
        </w:rPr>
      </w:pPr>
    </w:p>
    <w:p>
      <w:pPr>
        <w:ind w:left="1300" w:right="360" w:firstLine="653"/>
        <w:spacing w:after="0" w:line="264" w:lineRule="auto"/>
        <w:tabs>
          <w:tab w:leader="none" w:pos="260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certified copies of UCC search reports dated a date reasonably near to the Closing Date, listing all effective financing statements which name any Loan Party party to the Pledge Agreement (under their present names and any previous names) as debtors, together with copies of such financing statements, and</w:t>
      </w:r>
    </w:p>
    <w:p>
      <w:pPr>
        <w:spacing w:after="0" w:line="181" w:lineRule="exact"/>
        <w:rPr>
          <w:rFonts w:ascii="Arial" w:cs="Arial" w:eastAsia="Arial" w:hAnsi="Arial"/>
          <w:sz w:val="18"/>
          <w:szCs w:val="18"/>
          <w:color w:val="auto"/>
        </w:rPr>
      </w:pPr>
    </w:p>
    <w:p>
      <w:pPr>
        <w:ind w:left="1300" w:right="80" w:firstLine="653"/>
        <w:spacing w:after="0" w:line="277" w:lineRule="auto"/>
        <w:tabs>
          <w:tab w:leader="none" w:pos="261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evidence of the completion of all other actions, recordings and filings of or with respect to the Pledge Agreement that the Administrative Agent may deem necessary or desirable in order to perfect the Liens created thereby;</w:t>
      </w:r>
    </w:p>
    <w:p>
      <w:pPr>
        <w:spacing w:after="0" w:line="170" w:lineRule="exact"/>
        <w:rPr>
          <w:rFonts w:ascii="Arial" w:cs="Arial" w:eastAsia="Arial" w:hAnsi="Arial"/>
          <w:sz w:val="18"/>
          <w:szCs w:val="18"/>
          <w:color w:val="auto"/>
        </w:rPr>
      </w:pPr>
    </w:p>
    <w:p>
      <w:pPr>
        <w:ind w:left="820" w:right="60" w:firstLine="647"/>
        <w:spacing w:after="0" w:line="277" w:lineRule="auto"/>
        <w:tabs>
          <w:tab w:leader="none" w:pos="213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Subordination Agreements with respect to any Subordinated Debt other than Indebtedness represented by Permitted Convertible Notes (dated as of the date of execution and delivery thereof);</w:t>
      </w:r>
    </w:p>
    <w:p>
      <w:pPr>
        <w:spacing w:after="0" w:line="170" w:lineRule="exact"/>
        <w:rPr>
          <w:rFonts w:ascii="Arial" w:cs="Arial" w:eastAsia="Arial" w:hAnsi="Arial"/>
          <w:sz w:val="18"/>
          <w:szCs w:val="18"/>
          <w:color w:val="auto"/>
        </w:rPr>
      </w:pPr>
    </w:p>
    <w:p>
      <w:pPr>
        <w:ind w:left="820" w:right="40" w:firstLine="647"/>
        <w:spacing w:after="0" w:line="312" w:lineRule="auto"/>
        <w:tabs>
          <w:tab w:leader="none" w:pos="212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120" w:firstLine="647"/>
        <w:spacing w:after="0" w:line="259" w:lineRule="auto"/>
        <w:tabs>
          <w:tab w:leader="none" w:pos="213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is duly organized or formed,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86" w:lineRule="exact"/>
        <w:rPr>
          <w:rFonts w:ascii="Arial" w:cs="Arial" w:eastAsia="Arial" w:hAnsi="Arial"/>
          <w:sz w:val="18"/>
          <w:szCs w:val="18"/>
          <w:color w:val="auto"/>
        </w:rPr>
      </w:pPr>
    </w:p>
    <w:p>
      <w:pPr>
        <w:jc w:val="both"/>
        <w:ind w:left="820" w:right="220" w:firstLine="647"/>
        <w:spacing w:after="0" w:line="302" w:lineRule="auto"/>
        <w:tabs>
          <w:tab w:leader="none" w:pos="2143"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a favorable opinion of Chadbourne &amp; Parke LLP, special New York counsel to the Loan Parties, and such local counsel to the Loan Parties as the Administrative Agent shall request (it being understood that opinions as to Foreign Subsidiaries shall be limited to those that are Material Subsidiaries), in each case addressed to the Administrative Agent and each Lender, as to the matters set forth in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and such other matters concerning the Loan Parties and the Loan Documents as the Required Lenders may reasonably request;</w:t>
      </w:r>
    </w:p>
    <w:p>
      <w:pPr>
        <w:spacing w:after="0" w:line="154" w:lineRule="exact"/>
        <w:rPr>
          <w:rFonts w:ascii="Arial" w:cs="Arial" w:eastAsia="Arial" w:hAnsi="Arial"/>
          <w:sz w:val="16"/>
          <w:szCs w:val="16"/>
          <w:color w:val="auto"/>
        </w:rPr>
      </w:pPr>
    </w:p>
    <w:p>
      <w:pPr>
        <w:ind w:left="820" w:right="100" w:firstLine="647"/>
        <w:spacing w:after="0" w:line="259" w:lineRule="auto"/>
        <w:tabs>
          <w:tab w:leader="none" w:pos="215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certificate of a Responsible Officer of each Loan Party either (A) attaching copies of all consents and approvals of a Governmental Authority required in connection with the execution, delivery and performance by such Loan Party and the validity against such Loan Party of the Loan Documents to which it is a party, which consents and approvals shall be in full force and effect, or (B) stating that no such consents or approvals are so required;</w:t>
      </w:r>
    </w:p>
    <w:p>
      <w:pPr>
        <w:spacing w:after="0" w:line="186" w:lineRule="exact"/>
        <w:rPr>
          <w:rFonts w:ascii="Arial" w:cs="Arial" w:eastAsia="Arial" w:hAnsi="Arial"/>
          <w:sz w:val="18"/>
          <w:szCs w:val="18"/>
          <w:color w:val="auto"/>
        </w:rPr>
      </w:pPr>
    </w:p>
    <w:p>
      <w:pPr>
        <w:ind w:left="2140" w:hanging="673"/>
        <w:spacing w:after="0"/>
        <w:tabs>
          <w:tab w:leader="none" w:pos="214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Borrowers certifying (A) that the conditions specified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left="820" w:right="240" w:hanging="2"/>
        <w:spacing w:after="0" w:line="273" w:lineRule="auto"/>
        <w:tabs>
          <w:tab w:leader="none" w:pos="1075" w:val="left"/>
        </w:tabs>
        <w:numPr>
          <w:ilvl w:val="0"/>
          <w:numId w:val="125"/>
        </w:numPr>
        <w:rPr>
          <w:rFonts w:ascii="Arial" w:cs="Arial" w:eastAsia="Arial" w:hAnsi="Arial"/>
          <w:sz w:val="17"/>
          <w:szCs w:val="17"/>
          <w:u w:val="single" w:color="auto"/>
          <w:color w:val="auto"/>
        </w:rPr>
      </w:pPr>
      <w:r>
        <w:rPr>
          <w:rFonts w:ascii="Arial" w:cs="Arial" w:eastAsia="Arial" w:hAnsi="Arial"/>
          <w:sz w:val="17"/>
          <w:szCs w:val="17"/>
          <w:color w:val="auto"/>
        </w:rPr>
        <w:t>have been satisfied, (B) there is no action, suit, investigation or proceeding pending or, to the knowledge of any Borrower, threatened in any court or before any arbitrator or Governmental Authority that could reasonably be expected to have, either individually or in the aggregate, a Material Adverse Effect, and (C) that there has been no event or circumstance since the date of the Audited Financial Statements that has had or could be reasonably expected to have, either individually or in the aggregate, a Material Adverse Effect;</w:t>
      </w:r>
    </w:p>
    <w:p>
      <w:pPr>
        <w:spacing w:after="0" w:line="176" w:lineRule="exact"/>
        <w:rPr>
          <w:rFonts w:ascii="Arial" w:cs="Arial" w:eastAsia="Arial" w:hAnsi="Arial"/>
          <w:sz w:val="17"/>
          <w:szCs w:val="17"/>
          <w:u w:val="single" w:color="auto"/>
          <w:color w:val="auto"/>
        </w:rPr>
      </w:pPr>
    </w:p>
    <w:p>
      <w:pPr>
        <w:ind w:left="820" w:firstLine="647"/>
        <w:spacing w:after="0" w:line="264" w:lineRule="auto"/>
        <w:tabs>
          <w:tab w:leader="none" w:pos="212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certificate signed by a Responsible Officer of WFS which shall include a list of the Guarantors as of the Closing Date and the aggregate book value of assets (including Equity Interests but excluding Investments that are eliminated in consolidation) represented by each such Guarantor on an individual basis as of June 30, 2013;</w:t>
      </w:r>
    </w:p>
    <w:p>
      <w:pPr>
        <w:spacing w:after="0" w:line="181" w:lineRule="exact"/>
        <w:rPr>
          <w:rFonts w:ascii="Arial" w:cs="Arial" w:eastAsia="Arial" w:hAnsi="Arial"/>
          <w:sz w:val="18"/>
          <w:szCs w:val="18"/>
          <w:color w:val="auto"/>
        </w:rPr>
      </w:pPr>
    </w:p>
    <w:p>
      <w:pPr>
        <w:ind w:left="820" w:right="220" w:firstLine="647"/>
        <w:spacing w:after="0" w:line="308" w:lineRule="auto"/>
        <w:tabs>
          <w:tab w:leader="none" w:pos="2133" w:val="left"/>
        </w:tabs>
        <w:numPr>
          <w:ilvl w:val="1"/>
          <w:numId w:val="125"/>
        </w:numPr>
        <w:rPr>
          <w:rFonts w:ascii="Arial" w:cs="Arial" w:eastAsia="Arial" w:hAnsi="Arial"/>
          <w:sz w:val="17"/>
          <w:szCs w:val="17"/>
          <w:color w:val="auto"/>
        </w:rPr>
      </w:pPr>
      <w:r>
        <w:rPr>
          <w:rFonts w:ascii="Arial" w:cs="Arial" w:eastAsia="Arial" w:hAnsi="Arial"/>
          <w:sz w:val="17"/>
          <w:szCs w:val="17"/>
          <w:color w:val="auto"/>
        </w:rPr>
        <w:t>certificates attesting to the Solvency of each Loan Party before and after giving effect to any Borrowings on the Closing Date, from its chief financial officer, treasurer or other Responsible Officer with knowledge of the financial condition of such Loan Party;</w:t>
      </w:r>
    </w:p>
    <w:p>
      <w:pPr>
        <w:spacing w:after="0" w:line="146" w:lineRule="exact"/>
        <w:rPr>
          <w:rFonts w:ascii="Arial" w:cs="Arial" w:eastAsia="Arial" w:hAnsi="Arial"/>
          <w:sz w:val="17"/>
          <w:szCs w:val="17"/>
          <w:color w:val="auto"/>
        </w:rPr>
      </w:pPr>
    </w:p>
    <w:p>
      <w:pPr>
        <w:ind w:left="820" w:right="100" w:firstLine="647"/>
        <w:spacing w:after="0" w:line="277" w:lineRule="auto"/>
        <w:tabs>
          <w:tab w:leader="none" w:pos="214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the Administrative Agent, the L/C-BA Issuer, the Swing Line Lender or the Required Lenders reasonably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fees required to be paid under the Loan Documents on or before the Closing Date shall have been paid.</w:t>
      </w:r>
    </w:p>
    <w:p>
      <w:pPr>
        <w:spacing w:after="0" w:line="225" w:lineRule="exact"/>
        <w:rPr>
          <w:rFonts w:ascii="Arial" w:cs="Arial" w:eastAsia="Arial" w:hAnsi="Arial"/>
          <w:sz w:val="18"/>
          <w:szCs w:val="18"/>
          <w:color w:val="auto"/>
        </w:rPr>
      </w:pPr>
    </w:p>
    <w:p>
      <w:pPr>
        <w:ind w:right="20" w:firstLine="656"/>
        <w:spacing w:after="0" w:line="257" w:lineRule="auto"/>
        <w:tabs>
          <w:tab w:leader="none" w:pos="130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Unless waived by the Administrative Agent, the Borrowers shall have paid all reasonable fees, charges and disbursements of counsel to the Administrative Agent (directly to such counsel if requested by the Administrative Agent) to the extent invoiced prior to the Closing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the Borrowers and the Administrative Agent).</w:t>
      </w:r>
    </w:p>
    <w:p>
      <w:pPr>
        <w:spacing w:after="0" w:line="188" w:lineRule="exact"/>
        <w:rPr>
          <w:rFonts w:ascii="Arial" w:cs="Arial" w:eastAsia="Arial" w:hAnsi="Arial"/>
          <w:sz w:val="18"/>
          <w:szCs w:val="18"/>
          <w:color w:val="auto"/>
        </w:rPr>
      </w:pPr>
    </w:p>
    <w:p>
      <w:pPr>
        <w:jc w:val="both"/>
        <w:ind w:right="340" w:firstLine="656"/>
        <w:spacing w:after="0" w:line="302" w:lineRule="auto"/>
        <w:tabs>
          <w:tab w:leader="none" w:pos="130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ectPr>
          <w:pgSz w:w="11900" w:h="16945" w:orient="portrait"/>
          <w:cols w:equalWidth="0" w:num="1">
            <w:col w:w="11420"/>
          </w:cols>
          <w:pgMar w:left="240" w:top="125" w:right="239" w:bottom="0" w:gutter="0" w:footer="0" w:header="0"/>
        </w:sectPr>
      </w:pPr>
    </w:p>
    <w:bookmarkStart w:id="48" w:name="page49"/>
    <w:bookmarkEnd w:id="48"/>
    <w:p>
      <w:pPr>
        <w:spacing w:after="0" w:line="90"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4.02 Conditions to all Credit Extensions</w:t>
      </w:r>
      <w:r>
        <w:rPr>
          <w:rFonts w:ascii="Arial" w:cs="Arial" w:eastAsia="Arial" w:hAnsi="Arial"/>
          <w:sz w:val="18"/>
          <w:szCs w:val="18"/>
          <w:color w:val="auto"/>
        </w:rPr>
        <w:t>. The obligation of each Lender to honor any Request for Credit Extension (other than a Committed</w:t>
      </w:r>
      <w:r>
        <w:rPr>
          <w:rFonts w:ascii="Arial" w:cs="Arial" w:eastAsia="Arial" w:hAnsi="Arial"/>
          <w:sz w:val="18"/>
          <w:szCs w:val="18"/>
          <w:b w:val="1"/>
          <w:bCs w:val="1"/>
          <w:color w:val="auto"/>
        </w:rPr>
        <w:t xml:space="preserve"> </w:t>
      </w:r>
      <w:r>
        <w:rPr>
          <w:rFonts w:ascii="Arial" w:cs="Arial" w:eastAsia="Arial" w:hAnsi="Arial"/>
          <w:sz w:val="18"/>
          <w:szCs w:val="18"/>
          <w:color w:val="auto"/>
        </w:rPr>
        <w:t>Loan Notice requesting only a conversion of Loans to the other Type, or a continuation of Eurodollar Rate Loans) is subject to the following conditions precedent:</w:t>
      </w:r>
    </w:p>
    <w:p>
      <w:pPr>
        <w:spacing w:after="0" w:line="180" w:lineRule="exact"/>
        <w:rPr>
          <w:sz w:val="20"/>
          <w:szCs w:val="20"/>
          <w:color w:val="auto"/>
        </w:rPr>
      </w:pPr>
    </w:p>
    <w:p>
      <w:pPr>
        <w:ind w:right="240" w:firstLine="656"/>
        <w:spacing w:after="0" w:line="297" w:lineRule="auto"/>
        <w:tabs>
          <w:tab w:leader="none" w:pos="129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Borrowers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225" w:lineRule="exact"/>
        <w:rPr>
          <w:rFonts w:ascii="Arial" w:cs="Arial" w:eastAsia="Arial" w:hAnsi="Arial"/>
          <w:sz w:val="18"/>
          <w:szCs w:val="18"/>
          <w:color w:val="auto"/>
        </w:rPr>
      </w:pPr>
    </w:p>
    <w:p>
      <w:pPr>
        <w:ind w:right="680" w:firstLine="656"/>
        <w:spacing w:after="0" w:line="277" w:lineRule="auto"/>
        <w:tabs>
          <w:tab w:leader="none" w:pos="13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Administrative Agent and, if applicable, the L/C-BA Issuer or the Swing Line Lender shall have received a Request for Credit Extension in accordance with the requirements hereof.</w:t>
      </w:r>
    </w:p>
    <w:p>
      <w:pPr>
        <w:spacing w:after="0" w:line="170" w:lineRule="exact"/>
        <w:rPr>
          <w:rFonts w:ascii="Arial" w:cs="Arial" w:eastAsia="Arial" w:hAnsi="Arial"/>
          <w:sz w:val="18"/>
          <w:szCs w:val="18"/>
          <w:color w:val="auto"/>
        </w:rPr>
      </w:pPr>
    </w:p>
    <w:p>
      <w:pPr>
        <w:ind w:right="180" w:firstLine="656"/>
        <w:spacing w:after="0" w:line="264" w:lineRule="auto"/>
        <w:tabs>
          <w:tab w:leader="none" w:pos="13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Each Request for Credit Extension (other than a Committed Loan Notice requesting only a conversion of Loans to the other Type or a continuation of Eurodollar Rate Loans) submitted by the Borrowing Agent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ARTICLE V.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Borrower represents and warrants to the Administrative Agent and the Lenders that:</w:t>
      </w:r>
    </w:p>
    <w:p>
      <w:pPr>
        <w:spacing w:after="0" w:line="2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5.01 Existence, Qualification and Power</w:t>
      </w:r>
      <w:r>
        <w:rPr>
          <w:rFonts w:ascii="Arial" w:cs="Arial" w:eastAsia="Arial" w:hAnsi="Arial"/>
          <w:sz w:val="18"/>
          <w:szCs w:val="18"/>
          <w:color w:val="auto"/>
        </w:rPr>
        <w:t>. Each Loan Party and each Restricted Subsidiary thereof (a) is duly organized or formed,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5.01</w:t>
      </w:r>
      <w:r>
        <w:rPr>
          <w:rFonts w:ascii="Arial" w:cs="Arial" w:eastAsia="Arial" w:hAnsi="Arial"/>
          <w:sz w:val="18"/>
          <w:szCs w:val="18"/>
          <w:color w:val="auto"/>
        </w:rPr>
        <w:t>, to the extent that failure to do so could not reasonably be expected to have a Material Adverse Effect.</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5.02 Authorization; No Contravention</w:t>
      </w:r>
      <w:r>
        <w:rPr>
          <w:rFonts w:ascii="Arial" w:cs="Arial" w:eastAsia="Arial" w:hAnsi="Arial"/>
          <w:sz w:val="18"/>
          <w:szCs w:val="18"/>
          <w:color w:val="auto"/>
        </w:rPr>
        <w:t>. The execution, delivery and performance by each Loan Party of each Loan Document 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(ii) any order, injunction, writ or decree of any Governmental Authority or any arbitral award to which such Person or its property is subject; or (c) violate any Law; except in each case referred to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5.02</w:t>
      </w:r>
      <w:r>
        <w:rPr>
          <w:rFonts w:ascii="Arial" w:cs="Arial" w:eastAsia="Arial" w:hAnsi="Arial"/>
          <w:sz w:val="18"/>
          <w:szCs w:val="18"/>
          <w:color w:val="auto"/>
        </w:rPr>
        <w:t>, to the extent such conflict, breach, contravention, creation, payment or violation could not reasonably be expected to have a Material Adverse Effect.</w:t>
      </w:r>
    </w:p>
    <w:p>
      <w:pPr>
        <w:spacing w:after="0" w:line="189"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b w:val="1"/>
          <w:bCs w:val="1"/>
          <w:color w:val="auto"/>
        </w:rPr>
        <w:t>5.03 Governmental Authorization; Other Consents</w:t>
      </w:r>
      <w:r>
        <w:rPr>
          <w:rFonts w:ascii="Arial" w:cs="Arial" w:eastAsia="Arial" w:hAnsi="Arial"/>
          <w:sz w:val="17"/>
          <w:szCs w:val="17"/>
          <w:color w:val="auto"/>
        </w:rPr>
        <w:t>. No approval, consent, exemption, authorization, or other action by, or notice to, or filing</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Governmental Authority or any other Person is necessary or required in connection with the execution, delivery or performance by, or enforcement against, any Loan Party of this Agreement or any other Loan Document (other than any consent or approval which has been obtained and is in full force and effect) and except to the extent the failure to obtain the same could not reasonably be expected to have a Material Adverse Effect.</w:t>
      </w:r>
    </w:p>
    <w:p>
      <w:pPr>
        <w:spacing w:after="0" w:line="165"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b w:val="1"/>
          <w:bCs w:val="1"/>
          <w:color w:val="auto"/>
        </w:rPr>
        <w:t>5.04 Binding Effect</w:t>
      </w:r>
      <w:r>
        <w:rPr>
          <w:rFonts w:ascii="Arial" w:cs="Arial" w:eastAsia="Arial" w:hAnsi="Arial"/>
          <w:sz w:val="16"/>
          <w:szCs w:val="16"/>
          <w:color w:val="auto"/>
        </w:rPr>
        <w:t>. This Agreement has been, and each other Loan Document, when delivered hereunder, will have been, duly executed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by each Loan Party that is party thereto. This Agreement constitutes, and each other Loan Document when so delivered will constitute, a legal, valid and binding obligation of each Loan Party that is a party thereto, enforceable against such Loan Party in accordance with its terms, subject to</w:t>
      </w:r>
    </w:p>
    <w:p>
      <w:pPr>
        <w:spacing w:after="0" w:line="2" w:lineRule="exact"/>
        <w:rPr>
          <w:sz w:val="20"/>
          <w:szCs w:val="20"/>
          <w:color w:val="auto"/>
        </w:rPr>
      </w:pPr>
    </w:p>
    <w:p>
      <w:pPr>
        <w:ind w:right="260" w:firstLine="8"/>
        <w:spacing w:after="0" w:line="255" w:lineRule="auto"/>
        <w:tabs>
          <w:tab w:leader="none" w:pos="2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bankruptcy, insolvency and similar laws affecting the enforceability of creditors’ rights generally and to general principles of equity, and (ii) any lack of enforceability of any “keepwell” provision included in any Loan Document against any Loan Party that is a Foreign Subsidiary (other than any Foreign Subsidiary that is a Borrower) as a result of laws applicable to such Loan Party.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color w:val="auto"/>
        </w:rPr>
        <w:t>Financial Statements; No Material Adverse Effect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29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(ii) fairly present the consolidated financial condition of WFS and its Subsidiaries as of the date thereof and their consolidated results of operations for the period covered thereby in accordance with GAAP consistently applied throughout the period covered thereby, except as otherwise expressly noted therein; and (iii) show all material indebtedness and other material liabilities, direct or contingent, of WFS and its Subsidiaries as of the date thereof.</w:t>
      </w:r>
    </w:p>
    <w:p>
      <w:pPr>
        <w:spacing w:after="0" w:line="188" w:lineRule="exact"/>
        <w:rPr>
          <w:rFonts w:ascii="Arial" w:cs="Arial" w:eastAsia="Arial" w:hAnsi="Arial"/>
          <w:sz w:val="18"/>
          <w:szCs w:val="18"/>
          <w:color w:val="auto"/>
        </w:rPr>
      </w:pPr>
    </w:p>
    <w:p>
      <w:pPr>
        <w:ind w:right="400" w:firstLine="656"/>
        <w:spacing w:after="0" w:line="291" w:lineRule="auto"/>
        <w:tabs>
          <w:tab w:leader="none" w:pos="1304"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unaudited consolidated balance sheets of WFS and its Subsidiaries dated June 30, 2013 delivered pursuant to the Existing Credit Agreement, and the related consolidated statements of income or operations, shareholders’ equity and cash flows for the fiscal quarter ended on that date</w:t>
      </w:r>
    </w:p>
    <w:p>
      <w:pPr>
        <w:ind w:left="220" w:hanging="212"/>
        <w:spacing w:after="0"/>
        <w:tabs>
          <w:tab w:leader="none" w:pos="2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were prepared in accordance with GAAP consistently applied throughout the period covered thereby, except as otherwise expressly noted therein, and</w:t>
      </w:r>
    </w:p>
    <w:p>
      <w:pPr>
        <w:spacing w:after="0" w:line="32" w:lineRule="exact"/>
        <w:rPr>
          <w:rFonts w:ascii="Arial" w:cs="Arial" w:eastAsia="Arial" w:hAnsi="Arial"/>
          <w:sz w:val="16"/>
          <w:szCs w:val="16"/>
          <w:color w:val="auto"/>
        </w:rPr>
      </w:pPr>
    </w:p>
    <w:p>
      <w:pPr>
        <w:ind w:right="140" w:firstLine="8"/>
        <w:spacing w:after="0" w:line="261" w:lineRule="auto"/>
        <w:tabs>
          <w:tab w:leader="none" w:pos="26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fairly present the consolidated financial condition of WFS and its Subsidiaries as of the date thereof and their results of operations for the period covered thereby, subject,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to the absence of footnotes and to normal year-end audit adjustments.</w:t>
      </w:r>
    </w:p>
    <w:p>
      <w:pPr>
        <w:spacing w:after="0" w:line="183" w:lineRule="exact"/>
        <w:rPr>
          <w:rFonts w:ascii="Arial" w:cs="Arial" w:eastAsia="Arial" w:hAnsi="Arial"/>
          <w:sz w:val="18"/>
          <w:szCs w:val="18"/>
          <w:color w:val="auto"/>
        </w:rPr>
      </w:pPr>
    </w:p>
    <w:p>
      <w:pPr>
        <w:ind w:right="40" w:firstLine="656"/>
        <w:spacing w:after="0" w:line="277" w:lineRule="auto"/>
        <w:tabs>
          <w:tab w:leader="none" w:pos="130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ectPr>
          <w:pgSz w:w="11900" w:h="16929" w:orient="portrait"/>
          <w:cols w:equalWidth="0" w:num="1">
            <w:col w:w="11420"/>
          </w:cols>
          <w:pgMar w:left="240" w:top="337" w:right="239" w:bottom="0" w:gutter="0" w:footer="0" w:header="0"/>
        </w:sectPr>
      </w:pPr>
    </w:p>
    <w:bookmarkStart w:id="49" w:name="page50"/>
    <w:bookmarkEnd w:id="49"/>
    <w:p>
      <w:pPr>
        <w:spacing w:after="0" w:line="137" w:lineRule="exact"/>
        <w:rPr>
          <w:sz w:val="20"/>
          <w:szCs w:val="20"/>
          <w:color w:val="auto"/>
        </w:rPr>
      </w:pPr>
    </w:p>
    <w:p>
      <w:pPr>
        <w:ind w:right="140" w:firstLine="656"/>
        <w:spacing w:after="0" w:line="257" w:lineRule="auto"/>
        <w:tabs>
          <w:tab w:leader="none" w:pos="130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consolidated forecasted balance sheet and related consolidated statements of income and cash flows of WFS and its Subsidiaries most recently delivered pursuant to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were prepared in good faith on the basis of the assumptions that were reasonable in light of the conditions existing at the time of delivery of such forecasts, it being understood that projections, forecasts and other forward looking information are subject to significant contingencies and uncertainties, many of which are beyond the control of WFS and that no assurance can be given that such projections and forecasts will be realized.</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b w:val="1"/>
          <w:bCs w:val="1"/>
          <w:color w:val="auto"/>
        </w:rPr>
        <w:t>5.06 Litigation</w:t>
      </w:r>
      <w:r>
        <w:rPr>
          <w:rFonts w:ascii="Arial" w:cs="Arial" w:eastAsia="Arial" w:hAnsi="Arial"/>
          <w:sz w:val="16"/>
          <w:szCs w:val="16"/>
          <w:color w:val="auto"/>
        </w:rPr>
        <w:t>. There are no actions, suits, proceedings, claims or disputes pending or, to the knowledge of any Borrower, threatened, at law, in</w:t>
      </w:r>
      <w:r>
        <w:rPr>
          <w:rFonts w:ascii="Arial" w:cs="Arial" w:eastAsia="Arial" w:hAnsi="Arial"/>
          <w:sz w:val="16"/>
          <w:szCs w:val="16"/>
          <w:b w:val="1"/>
          <w:bCs w:val="1"/>
          <w:color w:val="auto"/>
        </w:rPr>
        <w:t xml:space="preserve"> </w:t>
      </w:r>
      <w:r>
        <w:rPr>
          <w:rFonts w:ascii="Arial" w:cs="Arial" w:eastAsia="Arial" w:hAnsi="Arial"/>
          <w:sz w:val="16"/>
          <w:szCs w:val="16"/>
          <w:color w:val="auto"/>
        </w:rPr>
        <w:t>equity, in arbitration or before any Governmental Authority, by or against any Borrower or any Restricted Subsidiary or against any of their properties that</w:t>
      </w:r>
    </w:p>
    <w:p>
      <w:pPr>
        <w:spacing w:after="0" w:line="1" w:lineRule="exact"/>
        <w:rPr>
          <w:sz w:val="20"/>
          <w:szCs w:val="20"/>
          <w:color w:val="auto"/>
        </w:rPr>
      </w:pPr>
    </w:p>
    <w:p>
      <w:pPr>
        <w:ind w:right="120" w:firstLine="8"/>
        <w:spacing w:after="0" w:line="261" w:lineRule="auto"/>
        <w:tabs>
          <w:tab w:leader="none" w:pos="24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purport to affect or pertain to this Agreement or any other Loan Document, or any of the transactions contemplated hereby, or (b) either individually or in the aggregate could reasonably be expected to have a Material Adverse Effect.</w:t>
      </w:r>
    </w:p>
    <w:p>
      <w:pPr>
        <w:spacing w:after="0" w:line="180"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b w:val="1"/>
          <w:bCs w:val="1"/>
          <w:color w:val="auto"/>
        </w:rPr>
        <w:t>5.07 No Default</w:t>
      </w:r>
      <w:r>
        <w:rPr>
          <w:rFonts w:ascii="Arial" w:cs="Arial" w:eastAsia="Arial" w:hAnsi="Arial"/>
          <w:sz w:val="17"/>
          <w:szCs w:val="17"/>
          <w:color w:val="auto"/>
        </w:rPr>
        <w:t>. Neither any Loan Party nor any Restricted Subsidiary thereof is in default under or with respect to any Contractual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58"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5.08 Ownership of Property; Liens</w:t>
      </w:r>
      <w:r>
        <w:rPr>
          <w:rFonts w:ascii="Arial" w:cs="Arial" w:eastAsia="Arial" w:hAnsi="Arial"/>
          <w:sz w:val="18"/>
          <w:szCs w:val="18"/>
          <w:color w:val="auto"/>
        </w:rPr>
        <w:t>. Each of the Borrowers and each Restricted Subsidiary has good record and marketable title in fee simple</w:t>
      </w:r>
      <w:r>
        <w:rPr>
          <w:rFonts w:ascii="Arial" w:cs="Arial" w:eastAsia="Arial" w:hAnsi="Arial"/>
          <w:sz w:val="18"/>
          <w:szCs w:val="18"/>
          <w:b w:val="1"/>
          <w:bCs w:val="1"/>
          <w:color w:val="auto"/>
        </w:rPr>
        <w:t xml:space="preserve"> </w:t>
      </w:r>
      <w:r>
        <w:rPr>
          <w:rFonts w:ascii="Arial" w:cs="Arial" w:eastAsia="Arial" w:hAnsi="Arial"/>
          <w:sz w:val="18"/>
          <w:szCs w:val="18"/>
          <w:color w:val="auto"/>
        </w:rPr>
        <w:t>to, or valid leasehold interests in, all real property necessary or used in the ordinary conduct of its business, except for such defects in title as could not, individually or in the aggregate, reasonably be expected to have a Material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Adverse Effect. No property of any Borrower or any Restricted Subsidiary is subject to any Liens, other than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1" w:lineRule="exact"/>
        <w:rPr>
          <w:sz w:val="20"/>
          <w:szCs w:val="20"/>
          <w:color w:val="auto"/>
        </w:rPr>
      </w:pPr>
    </w:p>
    <w:p>
      <w:pPr>
        <w:ind w:right="200" w:firstLine="648"/>
        <w:spacing w:after="0" w:line="281" w:lineRule="auto"/>
        <w:rPr>
          <w:sz w:val="20"/>
          <w:szCs w:val="20"/>
          <w:color w:val="auto"/>
        </w:rPr>
      </w:pPr>
      <w:r>
        <w:rPr>
          <w:rFonts w:ascii="Arial" w:cs="Arial" w:eastAsia="Arial" w:hAnsi="Arial"/>
          <w:sz w:val="17"/>
          <w:szCs w:val="17"/>
          <w:b w:val="1"/>
          <w:bCs w:val="1"/>
          <w:color w:val="auto"/>
        </w:rPr>
        <w:t>5.09 Environmental Compliance</w:t>
      </w:r>
      <w:r>
        <w:rPr>
          <w:rFonts w:ascii="Arial" w:cs="Arial" w:eastAsia="Arial" w:hAnsi="Arial"/>
          <w:sz w:val="17"/>
          <w:szCs w:val="17"/>
          <w:color w:val="auto"/>
        </w:rPr>
        <w:t>. Each Borrower and each Restricted Subsidiary conducts in the ordinary course of business a review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 of existing Environmental Laws and claims alleging potential liability or responsibility for violation of any Environmental Law on their respective businesses, operations and properties, and as a result thereof each Borrower and each Restricted Subsidiary has reasonably concluded that such Environmental Laws and claims could not, individually or in the aggregate, reasonably be expected to have a Material Adverse Effect.</w:t>
      </w:r>
    </w:p>
    <w:p>
      <w:pPr>
        <w:spacing w:after="0" w:line="165"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b w:val="1"/>
          <w:bCs w:val="1"/>
          <w:color w:val="auto"/>
        </w:rPr>
        <w:t>5.10 Insurance</w:t>
      </w:r>
      <w:r>
        <w:rPr>
          <w:rFonts w:ascii="Arial" w:cs="Arial" w:eastAsia="Arial" w:hAnsi="Arial"/>
          <w:sz w:val="18"/>
          <w:szCs w:val="18"/>
          <w:color w:val="auto"/>
        </w:rPr>
        <w:t>. The properties of each Borrower and each Restricted Subsidiary are insured with financially sound and reputable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in such amounts, with such deductibles and covering such risks as are customarily carried by companies engaged in similar businesses and owning similar properties in localities where such Borrower or such Restricted Subsidiary operates.</w:t>
      </w:r>
    </w:p>
    <w:p>
      <w:pPr>
        <w:spacing w:after="0" w:line="176"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5.11 Taxes</w:t>
      </w:r>
      <w:r>
        <w:rPr>
          <w:rFonts w:ascii="Arial" w:cs="Arial" w:eastAsia="Arial" w:hAnsi="Arial"/>
          <w:sz w:val="18"/>
          <w:szCs w:val="18"/>
          <w:color w:val="auto"/>
        </w:rPr>
        <w:t>. Each Borrower and each Restricted Subsidiary have filed all Federal, state and other material tax returns and reports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Borrower or any Restricted Subsidiary that would, if made, have a Material Adverse Effect. Neither any Loan Party nor any Restricted Subsidiary thereof is party to any tax sharing agreement.</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ERISA Compliance</w:t>
      </w:r>
      <w:r>
        <w:rPr>
          <w:rFonts w:ascii="Arial" w:cs="Arial" w:eastAsia="Arial" w:hAnsi="Arial"/>
          <w:sz w:val="16"/>
          <w:szCs w:val="16"/>
          <w:color w:val="auto"/>
        </w:rPr>
        <w:t>.</w:t>
      </w:r>
    </w:p>
    <w:p>
      <w:pPr>
        <w:spacing w:after="0" w:line="229" w:lineRule="exact"/>
        <w:rPr>
          <w:sz w:val="20"/>
          <w:szCs w:val="20"/>
          <w:color w:val="auto"/>
        </w:rPr>
      </w:pPr>
    </w:p>
    <w:p>
      <w:pPr>
        <w:ind w:right="100" w:firstLine="656"/>
        <w:spacing w:after="0" w:line="293" w:lineRule="auto"/>
        <w:tabs>
          <w:tab w:leader="none" w:pos="129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Each Plan is in compliance in all material respects with the applicable provisions of ERISA, the Code and other Federal or state laws, except to the extent that such noncompliance could not reasonably be expected to have a Material Adverse Effect.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each Borrower, nothing has occurred that would prevent or cause the loss of such tax-qualified status.</w:t>
      </w:r>
    </w:p>
    <w:p>
      <w:pPr>
        <w:spacing w:after="0" w:line="164" w:lineRule="exact"/>
        <w:rPr>
          <w:rFonts w:ascii="Arial" w:cs="Arial" w:eastAsia="Arial" w:hAnsi="Arial"/>
          <w:sz w:val="16"/>
          <w:szCs w:val="16"/>
          <w:color w:val="auto"/>
        </w:rPr>
      </w:pPr>
    </w:p>
    <w:p>
      <w:pPr>
        <w:ind w:right="60" w:firstLine="656"/>
        <w:spacing w:after="0" w:line="257" w:lineRule="auto"/>
        <w:tabs>
          <w:tab w:leader="none" w:pos="130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No ERISA Event has occurred, and neither any Borrower nor any ERISA Affiliate is aware of any fact, event or circumstance that could reasonably be expected to constitute or result in an ERISA Event with respect to any Pension Plan; (ii) each Borrower and each ERISA Affiliate has met all applicable requirements under the Pension Funding Rules in respect of each Pension Plan, and no waiver of the minimum funding standards under the Pension Funding Rules has been applied for or obtained, in each case, to the extent the liability resulting therefrom could not reasonably be expected to exceed the Threshold Amount; (iii) as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most recent valuation date for any Pension Plan, the funding target attainment percentage (as defined in Section 430(d)(2) of the Code) is 60% or higher and neither any Borrower nor any ERISA Affiliate knows of any facts or circumstances that could reasonably be expected to cause the funding target attainment percentage for any such plan to drop below 60% as of the most recent valuation date, in each case, to the extent the liability resulting therefrom could not reasonably be expected to exceed the Threshold Amount; (iv) neither any Borrower nor any ERISA Affiliate has incurred any liability to the PBGC other than for the payment of premiums, and there are no premium payments which have become due that are unpaid; (v) neither any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79" w:lineRule="exact"/>
        <w:rPr>
          <w:sz w:val="20"/>
          <w:szCs w:val="20"/>
          <w:color w:val="auto"/>
        </w:rPr>
      </w:pPr>
    </w:p>
    <w:p>
      <w:pPr>
        <w:ind w:right="80" w:firstLine="656"/>
        <w:spacing w:after="0" w:line="264" w:lineRule="auto"/>
        <w:tabs>
          <w:tab w:leader="none" w:pos="130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Neither any Borrower nor any ERISA Affiliate maintains or contributes to, or has any unsatisfied obligation to contribute to, or liability under, any active or terminated Pension Plan other than (A) on the Closing Date, those listed on </w:t>
      </w:r>
      <w:r>
        <w:rPr>
          <w:rFonts w:ascii="Arial" w:cs="Arial" w:eastAsia="Arial" w:hAnsi="Arial"/>
          <w:sz w:val="18"/>
          <w:szCs w:val="18"/>
          <w:u w:val="single" w:color="auto"/>
          <w:color w:val="auto"/>
        </w:rPr>
        <w:t>Schedule 5.12(c)</w:t>
      </w:r>
      <w:r>
        <w:rPr>
          <w:rFonts w:ascii="Arial" w:cs="Arial" w:eastAsia="Arial" w:hAnsi="Arial"/>
          <w:sz w:val="18"/>
          <w:szCs w:val="18"/>
          <w:color w:val="auto"/>
        </w:rPr>
        <w:t xml:space="preserve"> hereto and (B) thereafter, Pension Plans not otherwise prohibited by this Agreement.</w:t>
      </w:r>
    </w:p>
    <w:p>
      <w:pPr>
        <w:spacing w:after="0" w:line="181" w:lineRule="exact"/>
        <w:rPr>
          <w:rFonts w:ascii="Arial" w:cs="Arial" w:eastAsia="Arial" w:hAnsi="Arial"/>
          <w:sz w:val="18"/>
          <w:szCs w:val="18"/>
          <w:color w:val="auto"/>
        </w:rPr>
      </w:pPr>
    </w:p>
    <w:p>
      <w:pPr>
        <w:ind w:firstLine="656"/>
        <w:spacing w:after="0" w:line="342" w:lineRule="auto"/>
        <w:tabs>
          <w:tab w:leader="none" w:pos="130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With respect to each scheme or arrangement mandated by a government other than the United States (a “</w:t>
      </w:r>
      <w:r>
        <w:rPr>
          <w:rFonts w:ascii="Arial" w:cs="Arial" w:eastAsia="Arial" w:hAnsi="Arial"/>
          <w:sz w:val="16"/>
          <w:szCs w:val="16"/>
          <w:u w:val="single" w:color="auto"/>
          <w:color w:val="auto"/>
        </w:rPr>
        <w:t>Foreign Government Scheme or</w:t>
      </w:r>
      <w:r>
        <w:rPr>
          <w:rFonts w:ascii="Arial" w:cs="Arial" w:eastAsia="Arial" w:hAnsi="Arial"/>
          <w:sz w:val="16"/>
          <w:szCs w:val="16"/>
          <w:color w:val="auto"/>
        </w:rPr>
        <w:t xml:space="preserve"> </w:t>
      </w:r>
      <w:r>
        <w:rPr>
          <w:rFonts w:ascii="Arial" w:cs="Arial" w:eastAsia="Arial" w:hAnsi="Arial"/>
          <w:sz w:val="16"/>
          <w:szCs w:val="16"/>
          <w:u w:val="single" w:color="auto"/>
          <w:color w:val="auto"/>
        </w:rPr>
        <w:t>Arrangement</w:t>
      </w:r>
      <w:r>
        <w:rPr>
          <w:rFonts w:ascii="Arial" w:cs="Arial" w:eastAsia="Arial" w:hAnsi="Arial"/>
          <w:sz w:val="16"/>
          <w:szCs w:val="16"/>
          <w:color w:val="auto"/>
        </w:rPr>
        <w:t>”) and with respect to each employee benefit plan maintained or contributed to by any Loan Party or any Restricted Subsidiary of any Loan Party</w:t>
      </w:r>
    </w:p>
    <w:p>
      <w:pPr>
        <w:sectPr>
          <w:pgSz w:w="11900" w:h="16975" w:orient="portrait"/>
          <w:cols w:equalWidth="0" w:num="1">
            <w:col w:w="11420"/>
          </w:cols>
          <w:pgMar w:left="240" w:top="341" w:right="239" w:bottom="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that is not subject to United States law (a “</w:t>
      </w:r>
      <w:r>
        <w:rPr>
          <w:rFonts w:ascii="Arial" w:cs="Arial" w:eastAsia="Arial" w:hAnsi="Arial"/>
          <w:sz w:val="18"/>
          <w:szCs w:val="18"/>
          <w:u w:val="single" w:color="auto"/>
          <w:color w:val="auto"/>
        </w:rPr>
        <w:t>Foreign Plan</w:t>
      </w:r>
      <w:r>
        <w:rPr>
          <w:rFonts w:ascii="Arial" w:cs="Arial" w:eastAsia="Arial" w:hAnsi="Arial"/>
          <w:sz w:val="18"/>
          <w:szCs w:val="18"/>
          <w:color w:val="auto"/>
        </w:rPr>
        <w:t>”):</w:t>
      </w:r>
    </w:p>
    <w:p>
      <w:pPr>
        <w:spacing w:after="0" w:line="225" w:lineRule="exact"/>
        <w:rPr>
          <w:sz w:val="20"/>
          <w:szCs w:val="20"/>
          <w:color w:val="auto"/>
        </w:rPr>
      </w:pPr>
    </w:p>
    <w:p>
      <w:pPr>
        <w:ind w:left="820" w:right="100" w:firstLine="647"/>
        <w:spacing w:after="0" w:line="286" w:lineRule="auto"/>
        <w:tabs>
          <w:tab w:leader="none" w:pos="213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employer and employee contributions required by law or by the terms of any Foreign Government Scheme or Arrangement or any Foreign Plan have been made, or, if applicable, accrued, in accordance with normal accounting practices, except to the extent that the failure to comply with such law or such terms could not reasonably be expected to have a Material Adverse Effect;</w:t>
      </w:r>
    </w:p>
    <w:p>
      <w:pPr>
        <w:spacing w:after="0" w:line="165" w:lineRule="exact"/>
        <w:rPr>
          <w:rFonts w:ascii="Arial" w:cs="Arial" w:eastAsia="Arial" w:hAnsi="Arial"/>
          <w:sz w:val="17"/>
          <w:szCs w:val="17"/>
          <w:color w:val="auto"/>
        </w:rPr>
      </w:pPr>
    </w:p>
    <w:p>
      <w:pPr>
        <w:ind w:left="820" w:right="60" w:firstLine="647"/>
        <w:spacing w:after="0" w:line="297" w:lineRule="auto"/>
        <w:tabs>
          <w:tab w:leader="none" w:pos="214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except to the extent that such insufficiency could not reasonably be expected to have a Material Adverse Effect; and</w:t>
      </w:r>
    </w:p>
    <w:p>
      <w:pPr>
        <w:spacing w:after="0" w:line="158" w:lineRule="exact"/>
        <w:rPr>
          <w:rFonts w:ascii="Arial" w:cs="Arial" w:eastAsia="Arial" w:hAnsi="Arial"/>
          <w:sz w:val="16"/>
          <w:szCs w:val="16"/>
          <w:color w:val="auto"/>
        </w:rPr>
      </w:pPr>
    </w:p>
    <w:p>
      <w:pPr>
        <w:jc w:val="both"/>
        <w:ind w:left="820" w:right="520" w:firstLine="647"/>
        <w:spacing w:after="0" w:line="264" w:lineRule="auto"/>
        <w:tabs>
          <w:tab w:leader="none" w:pos="215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Foreign Plan required to be registered has been registered and has been maintained in good standing with applicable regulatory authorities, except to the extent that such failure to register or maintain good standing could not reasonably be expected to have a Material Adverse Effect.</w:t>
      </w:r>
    </w:p>
    <w:p>
      <w:pPr>
        <w:spacing w:after="0" w:line="177"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5.13 Subsidiaries; Equity Interests</w:t>
      </w:r>
      <w:r>
        <w:rPr>
          <w:rFonts w:ascii="Arial" w:cs="Arial" w:eastAsia="Arial" w:hAnsi="Arial"/>
          <w:sz w:val="18"/>
          <w:szCs w:val="18"/>
          <w:color w:val="auto"/>
        </w:rPr>
        <w:t>. As of the Closing Date, WFS has no Subsidiaries other than those specifically disclosed in Part (a)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5.13</w:t>
      </w:r>
      <w:r>
        <w:rPr>
          <w:rFonts w:ascii="Arial" w:cs="Arial" w:eastAsia="Arial" w:hAnsi="Arial"/>
          <w:sz w:val="18"/>
          <w:szCs w:val="18"/>
          <w:color w:val="auto"/>
        </w:rPr>
        <w:t>, and as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Closing Date all of the outstanding Equity Interests in such Subsidiaries have been validly issued, are fully paid and non-assessable and are owned by WFS or a Subsidiary in the amounts specified on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free and clear of all Liens except those created under the Pledge Agreement. As of the Closing Date, none of WFS or any of its Restricted Subsidiaries has any equity investments in any other corporation or entity other than those specifically disclosed in Part (b)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or otherwise permitted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All of the outstanding Equity Interests in WFS have been validly issued, are fully paid and non-assessable. Set forth on Part (c) of </w:t>
      </w:r>
      <w:r>
        <w:rPr>
          <w:rFonts w:ascii="Arial" w:cs="Arial" w:eastAsia="Arial" w:hAnsi="Arial"/>
          <w:sz w:val="16"/>
          <w:szCs w:val="16"/>
          <w:u w:val="single" w:color="auto"/>
          <w:color w:val="auto"/>
        </w:rPr>
        <w:t>Schedule 5.13</w:t>
      </w:r>
      <w:r>
        <w:rPr>
          <w:rFonts w:ascii="Arial" w:cs="Arial" w:eastAsia="Arial" w:hAnsi="Arial"/>
          <w:sz w:val="16"/>
          <w:szCs w:val="16"/>
          <w:color w:val="auto"/>
        </w:rPr>
        <w:t xml:space="preserve"> is a complete and accurate list of all Loan Parties, showing as of the Closing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(if any) issued to it by the jurisdiction of its incorporation. The copy of the charter of each Loan Party and each amendment thereto provided pursuant to </w:t>
      </w:r>
      <w:r>
        <w:rPr>
          <w:rFonts w:ascii="Arial" w:cs="Arial" w:eastAsia="Arial" w:hAnsi="Arial"/>
          <w:sz w:val="16"/>
          <w:szCs w:val="16"/>
          <w:u w:val="single" w:color="auto"/>
          <w:color w:val="auto"/>
        </w:rPr>
        <w:t>Section 4.01(a)(vi)</w:t>
      </w:r>
      <w:r>
        <w:rPr>
          <w:rFonts w:ascii="Arial" w:cs="Arial" w:eastAsia="Arial" w:hAnsi="Arial"/>
          <w:sz w:val="16"/>
          <w:szCs w:val="16"/>
          <w:color w:val="auto"/>
        </w:rPr>
        <w:t xml:space="preserve"> is a true and correct copy of each such document, each of which is valid and in full force and effect as of the Closing Date.</w:t>
      </w:r>
    </w:p>
    <w:p>
      <w:pPr>
        <w:spacing w:after="0" w:line="16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Margin Regulations; Investment Company Act</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3" w:lineRule="auto"/>
        <w:tabs>
          <w:tab w:leader="none" w:pos="129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No Borrower is engaged or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and Bankers’ Acceptance, not more than 25% of the value of the assets (either of any Borrower by itself or any Borrower and its Restricted Subsidiaries on a consolidated basis) subject to the provisions of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or subject to any restriction contained in any agreement or instrument between such Borrower, or among one or more Borrowers, and any Lender or any Affiliate of any Lender relating to Indebtedness and within the scope of </w:t>
      </w:r>
      <w:r>
        <w:rPr>
          <w:rFonts w:ascii="Arial" w:cs="Arial" w:eastAsia="Arial" w:hAnsi="Arial"/>
          <w:sz w:val="17"/>
          <w:szCs w:val="17"/>
          <w:u w:val="single" w:color="auto"/>
          <w:color w:val="auto"/>
        </w:rPr>
        <w:t>Section 8.01(e)</w:t>
      </w:r>
      <w:r>
        <w:rPr>
          <w:rFonts w:ascii="Arial" w:cs="Arial" w:eastAsia="Arial" w:hAnsi="Arial"/>
          <w:sz w:val="17"/>
          <w:szCs w:val="17"/>
          <w:color w:val="auto"/>
        </w:rPr>
        <w:t xml:space="preserve"> will be margin stock.</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Loan Party is or is required to be registered as an “investment company” under the Investment Company Act of 1940.</w:t>
      </w:r>
    </w:p>
    <w:p>
      <w:pPr>
        <w:spacing w:after="0" w:line="221"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b w:val="1"/>
          <w:bCs w:val="1"/>
          <w:color w:val="auto"/>
        </w:rPr>
        <w:t>5.15 Disclosure</w:t>
      </w:r>
      <w:r>
        <w:rPr>
          <w:rFonts w:ascii="Arial" w:cs="Arial" w:eastAsia="Arial" w:hAnsi="Arial"/>
          <w:sz w:val="18"/>
          <w:szCs w:val="18"/>
          <w:color w:val="auto"/>
        </w:rPr>
        <w:t>. No report, financial statement, certificate or other information furnished (whether in writing or orally) by or on behalf of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each Borrower represents only that such information was prepared in good faith based upon assumptions believed to be reasonable at the time.</w:t>
      </w:r>
    </w:p>
    <w:p>
      <w:pPr>
        <w:spacing w:after="0" w:line="188" w:lineRule="exact"/>
        <w:rPr>
          <w:sz w:val="20"/>
          <w:szCs w:val="20"/>
          <w:color w:val="auto"/>
        </w:rPr>
      </w:pPr>
    </w:p>
    <w:p>
      <w:pPr>
        <w:ind w:right="660" w:firstLine="648"/>
        <w:spacing w:after="0" w:line="266" w:lineRule="auto"/>
        <w:rPr>
          <w:sz w:val="20"/>
          <w:szCs w:val="20"/>
          <w:color w:val="auto"/>
        </w:rPr>
      </w:pPr>
      <w:r>
        <w:rPr>
          <w:rFonts w:ascii="Arial" w:cs="Arial" w:eastAsia="Arial" w:hAnsi="Arial"/>
          <w:sz w:val="18"/>
          <w:szCs w:val="18"/>
          <w:b w:val="1"/>
          <w:bCs w:val="1"/>
          <w:color w:val="auto"/>
        </w:rPr>
        <w:t>5.16 Compliance with Laws</w:t>
      </w:r>
      <w:r>
        <w:rPr>
          <w:rFonts w:ascii="Arial" w:cs="Arial" w:eastAsia="Arial" w:hAnsi="Arial"/>
          <w:sz w:val="18"/>
          <w:szCs w:val="18"/>
          <w:color w:val="auto"/>
        </w:rPr>
        <w:t>. Each Loan Party and each Restricted Subsidiary thereof is in compliance in all material respects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all Laws and all orders, writs, injunctions and decrees applicable to it or to its properties, except in such instances in which (a) such requirement of Law or order, writ, injunction or decree is being contested in good faith</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by appropriate proceedings diligently conducted or (b) the failure to comply therewith, either individually or in the aggregate, could not reasonably be expected to have a Material Adverse Effect.</w:t>
      </w:r>
    </w:p>
    <w:p>
      <w:pPr>
        <w:spacing w:after="0" w:line="16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b w:val="1"/>
          <w:bCs w:val="1"/>
          <w:color w:val="auto"/>
        </w:rPr>
        <w:t>5.17 Intellectual Property; Licenses, Etc</w:t>
      </w:r>
      <w:r>
        <w:rPr>
          <w:rFonts w:ascii="Arial" w:cs="Arial" w:eastAsia="Arial" w:hAnsi="Arial"/>
          <w:sz w:val="17"/>
          <w:szCs w:val="17"/>
          <w:color w:val="auto"/>
        </w:rPr>
        <w:t>. Except for such failure to own, possess or have the right to use that could reasonably be expected to</w:t>
      </w:r>
      <w:r>
        <w:rPr>
          <w:rFonts w:ascii="Arial" w:cs="Arial" w:eastAsia="Arial" w:hAnsi="Arial"/>
          <w:sz w:val="17"/>
          <w:szCs w:val="17"/>
          <w:b w:val="1"/>
          <w:bCs w:val="1"/>
          <w:color w:val="auto"/>
        </w:rPr>
        <w:t xml:space="preserve"> </w:t>
      </w:r>
      <w:r>
        <w:rPr>
          <w:rFonts w:ascii="Arial" w:cs="Arial" w:eastAsia="Arial" w:hAnsi="Arial"/>
          <w:sz w:val="17"/>
          <w:szCs w:val="17"/>
          <w:color w:val="auto"/>
        </w:rPr>
        <w:t>have a Material Adverse Effect, each Borrower and each Restricted Subsidiary owns, or possesses the right to use, all of the trademarks, service marks, trade names, copyrights, patents, patent rights, franchises, licenses and other intellectual property rights (collectively, “</w:t>
      </w:r>
      <w:r>
        <w:rPr>
          <w:rFonts w:ascii="Arial" w:cs="Arial" w:eastAsia="Arial" w:hAnsi="Arial"/>
          <w:sz w:val="17"/>
          <w:szCs w:val="17"/>
          <w:u w:val="single" w:color="auto"/>
          <w:color w:val="auto"/>
        </w:rPr>
        <w:t>IP Rights</w:t>
      </w:r>
      <w:r>
        <w:rPr>
          <w:rFonts w:ascii="Arial" w:cs="Arial" w:eastAsia="Arial" w:hAnsi="Arial"/>
          <w:sz w:val="17"/>
          <w:szCs w:val="17"/>
          <w:color w:val="auto"/>
        </w:rPr>
        <w:t xml:space="preserve">”) that are reasonably necessary for the operation of their respective businesses, without conflict with the rights of any other Person. To the knowledge of each Borrower, (a) no slogan or other advertising device, product, process, method, substance, part or other material now employed, or now contemplated to be employed, by any Borrower or any Restricted Subsidiary infringes upon any rights held by any other Person and (b) no claim or litigation regarding any of the foregoing is pending or, to the knowledge of any Borrower, threatened, which, in the case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either individually or in the aggregate, could reasonably be expected to have a Material Adverse Effect.</w:t>
      </w:r>
    </w:p>
    <w:p>
      <w:pPr>
        <w:spacing w:after="0" w:line="17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6"/>
          <w:szCs w:val="16"/>
          <w:b w:val="1"/>
          <w:bCs w:val="1"/>
          <w:color w:val="auto"/>
        </w:rPr>
        <w:t xml:space="preserve">Solvency. </w:t>
      </w:r>
      <w:r>
        <w:rPr>
          <w:rFonts w:ascii="Arial" w:cs="Arial" w:eastAsia="Arial" w:hAnsi="Arial"/>
          <w:sz w:val="16"/>
          <w:szCs w:val="16"/>
          <w:color w:val="auto"/>
        </w:rPr>
        <w:t>Each Loan Party is, individually and together with its Restricted Subsidiaries on a consolidated basis, Solvent.</w:t>
      </w:r>
    </w:p>
    <w:p>
      <w:pPr>
        <w:spacing w:after="0" w:line="225"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5.19 No Burdensome Agreements</w:t>
      </w:r>
      <w:r>
        <w:rPr>
          <w:rFonts w:ascii="Arial" w:cs="Arial" w:eastAsia="Arial" w:hAnsi="Arial"/>
          <w:sz w:val="18"/>
          <w:szCs w:val="18"/>
          <w:color w:val="auto"/>
        </w:rPr>
        <w:t>. No Loan Party is a party to any agreement or contract or subject to any restriction contained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Organizational Documents which could reasonably be expected to have a Material Adverse Effect.</w:t>
      </w:r>
    </w:p>
    <w:p>
      <w:pPr>
        <w:sectPr>
          <w:pgSz w:w="11900" w:h="16838" w:orient="portrait"/>
          <w:cols w:equalWidth="0" w:num="1">
            <w:col w:w="11420"/>
          </w:cols>
          <w:pgMar w:left="240" w:top="125" w:right="239" w:bottom="0" w:gutter="0" w:footer="0" w:header="0"/>
        </w:sectPr>
      </w:pPr>
    </w:p>
    <w:bookmarkStart w:id="51" w:name="page52"/>
    <w:bookmarkEnd w:id="51"/>
    <w:p>
      <w:pPr>
        <w:spacing w:after="0" w:line="137"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5.20 OFAC</w:t>
      </w:r>
      <w:r>
        <w:rPr>
          <w:rFonts w:ascii="Arial" w:cs="Arial" w:eastAsia="Arial" w:hAnsi="Arial"/>
          <w:sz w:val="18"/>
          <w:szCs w:val="18"/>
          <w:color w:val="auto"/>
        </w:rPr>
        <w:t>. Neither any Borrower, nor any of their respective Subsidiaries, nor, to the knowledge of any Borrower or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any director, officer or employee thereof, is an individual or entity currently the subject of any Sanctions, nor is any Borrower or any Subsidiary located, organized, resident or doing business in a Designated Jurisdiction except, in each case, as authorized by the relevant Sanctions authority or not prohibited by any Sanction.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 AFFIRMATIVE COVENANTS</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or any Letter of Credit or Bankers’ Acceptance shall remain outstanding, each Borrower shall, and shall (except in the case of the covenants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6.03</w:t>
      </w:r>
      <w:r>
        <w:rPr>
          <w:rFonts w:ascii="Arial" w:cs="Arial" w:eastAsia="Arial" w:hAnsi="Arial"/>
          <w:sz w:val="18"/>
          <w:szCs w:val="18"/>
          <w:color w:val="auto"/>
        </w:rPr>
        <w:t>) cause each Restricted Subsidiary to:</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6"/>
          <w:szCs w:val="16"/>
          <w:b w:val="1"/>
          <w:bCs w:val="1"/>
          <w:color w:val="auto"/>
        </w:rPr>
        <w:t>Financial Statements</w:t>
      </w:r>
      <w:r>
        <w:rPr>
          <w:rFonts w:ascii="Arial" w:cs="Arial" w:eastAsia="Arial" w:hAnsi="Arial"/>
          <w:sz w:val="16"/>
          <w:szCs w:val="16"/>
          <w:color w:val="auto"/>
        </w:rPr>
        <w:t>.  Deliver to the Administrative Agent:</w:t>
      </w:r>
    </w:p>
    <w:p>
      <w:pPr>
        <w:spacing w:after="0" w:line="229" w:lineRule="exact"/>
        <w:rPr>
          <w:sz w:val="20"/>
          <w:szCs w:val="20"/>
          <w:color w:val="auto"/>
        </w:rPr>
      </w:pPr>
    </w:p>
    <w:p>
      <w:pPr>
        <w:ind w:right="80" w:firstLine="656"/>
        <w:spacing w:after="0" w:line="297" w:lineRule="auto"/>
        <w:tabs>
          <w:tab w:leader="none" w:pos="129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as soon as available, but in any event within 90 days after the end of each fiscal year of WFS (or, if earlier, 5 days after the date required to be filed with the SEC (without giving effect to any extension permitted by the SEC)) (commencing with the fiscal year ended December 31, 2013), a consolidated balance sheet of WFS and its Subsidiaries as at the end of such fiscal year, and the related consolidated statements of income or operations, changes in shareholders’ equity, and cash flows for such fiscal year, setting forth in each case in comparative form the figures for the previous fiscal year, prepared in accordance with GAAP, such consolidated statements to be (i) audited and accompanied by a report and opinion of 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independent certified public accountant of nationally recognized standing, which report and opinion shall be prepared in accordance with generally accepted auditing standards and shall not be subject to any “going concern” or like qualification or exception or any qualification or exception as to the scope of such audit and (ii) to be accompanied by unaudited reconciling financial statements including a balance sheet of WFS and its Restricted Subsidiaries (and excluding the Unrestricted Subsidiaries) and the related consolidated statements of income or operations, changes in shareholders’ equity, and cash flows for such fiscal year, setting forth in each case in comparative form the figures for the previous fiscal year; and</w:t>
      </w:r>
    </w:p>
    <w:p>
      <w:pPr>
        <w:spacing w:after="0" w:line="173" w:lineRule="exact"/>
        <w:rPr>
          <w:sz w:val="20"/>
          <w:szCs w:val="20"/>
          <w:color w:val="auto"/>
        </w:rPr>
      </w:pPr>
    </w:p>
    <w:p>
      <w:pPr>
        <w:ind w:right="20" w:firstLine="656"/>
        <w:spacing w:after="0" w:line="287" w:lineRule="auto"/>
        <w:tabs>
          <w:tab w:leader="none" w:pos="130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as soon as available, but in any event within 45 days after the end of each of the first three fiscal quarters of each fiscal year of the Borrowers (or, if earlier, 5 days after the date required to be filed with the SEC (without giving effect to any extension permitted by the SEC)) (commencing with the fiscal quarter ended September 30, 2013), a consolidated balance sheet of WFS and its Subsidiaries as at the end of such fiscal quarter, the related consolidated statements of income or operations for such fiscal quarter and for the portion of the WFS’s fiscal year then ended, and the related consolidated statements of changes in shareholders’ equity, and cash flows for the portion of the WFS’s fiscal year then ended, in each case setting forth in comparative form, as applicable, the figures for the corresponding fiscal quarter of the previous fiscal year, such consolidated statements to be certified by the chief executive officer, chief financial officer, treasurer or controller of WFS as fairly presenting the consolidated financial condition, results of operations, shareholders’ equity and cash flows of WFS and its Subsidiaries in accordance with GAAP, subject only to normal year-end audit adjustments and the absence of footnotes; such consolidated statements to be accompanied by unaudited reconciling financial statements including a balance sheet of WFS and its Restricted Subsidiaries (and excluding the Unrestricted Subsidiaries) and the related consolidated statements of income or operations, changes in shareholders’ equity, and cash flows for such fiscal year, setting forth in each case in comparative form the figures for the previous fiscal year; and</w:t>
      </w:r>
    </w:p>
    <w:p>
      <w:pPr>
        <w:spacing w:after="0" w:line="172" w:lineRule="exact"/>
        <w:rPr>
          <w:rFonts w:ascii="Arial" w:cs="Arial" w:eastAsia="Arial" w:hAnsi="Arial"/>
          <w:sz w:val="16"/>
          <w:szCs w:val="16"/>
          <w:color w:val="auto"/>
        </w:rPr>
      </w:pPr>
    </w:p>
    <w:p>
      <w:pPr>
        <w:ind w:right="100" w:firstLine="656"/>
        <w:spacing w:after="0" w:line="257" w:lineRule="auto"/>
        <w:tabs>
          <w:tab w:leader="none" w:pos="130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 soon as available, but in any event at least 15 days before the end of each fiscal year of WFS, forecasts prepared by management of WFS, in form reasonably satisfactory to the Administrative Agent, of (i) consolidated balance sheets and related consolidated statements of income or operations and cash flows of WFS and its Subsidiaries on a quarterly basis for the immediately following fiscal year and (ii) consolidated balance sheets and related consolidated statements of income or operations and cash flows of WFS and its Restricted Subsidiaries on a quarterly basis for the immediately following fiscal year.</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the Borrowers shall not be separately required to furnish such information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Borrowers to furnish the information and materials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6.02</w:t>
      </w:r>
      <w:r>
        <w:rPr>
          <w:sz w:val="20"/>
          <w:szCs w:val="20"/>
          <w:color w:val="auto"/>
        </w:rPr>
        <w:tab/>
      </w:r>
      <w:r>
        <w:rPr>
          <w:rFonts w:ascii="Arial" w:cs="Arial" w:eastAsia="Arial" w:hAnsi="Arial"/>
          <w:sz w:val="17"/>
          <w:szCs w:val="17"/>
          <w:b w:val="1"/>
          <w:bCs w:val="1"/>
          <w:color w:val="auto"/>
        </w:rPr>
        <w:t>Certificates; Other Information</w:t>
      </w:r>
      <w:r>
        <w:rPr>
          <w:rFonts w:ascii="Arial" w:cs="Arial" w:eastAsia="Arial" w:hAnsi="Arial"/>
          <w:sz w:val="17"/>
          <w:szCs w:val="17"/>
          <w:color w:val="auto"/>
        </w:rPr>
        <w:t>. Deliver to the Administrative Agent:</w:t>
      </w:r>
    </w:p>
    <w:p>
      <w:pPr>
        <w:spacing w:after="0" w:line="229" w:lineRule="exact"/>
        <w:rPr>
          <w:sz w:val="20"/>
          <w:szCs w:val="20"/>
          <w:color w:val="auto"/>
        </w:rPr>
      </w:pPr>
    </w:p>
    <w:p>
      <w:pPr>
        <w:ind w:right="740" w:firstLine="656"/>
        <w:spacing w:after="0" w:line="342" w:lineRule="auto"/>
        <w:tabs>
          <w:tab w:leader="none" w:pos="129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(i) concurrently with the delivery of the financial statements referred to in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 duly completed Compliance Certificate signed by the chief executive officer, chief financial officer, treasurer, assistant treasurer or controller of WFS (which delivery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may, unless the Administrative Agent requests executed originals, be by electronic communication including fax or e-mail and shall be deemed to be an original authentic counterpart thereof for all purposes); (ii) concurrently with the delivery of the financial statements referred to in </w:t>
      </w:r>
      <w:r>
        <w:rPr>
          <w:rFonts w:ascii="Arial" w:cs="Arial" w:eastAsia="Arial" w:hAnsi="Arial"/>
          <w:sz w:val="17"/>
          <w:szCs w:val="17"/>
          <w:u w:val="single" w:color="auto"/>
          <w:color w:val="auto"/>
        </w:rPr>
        <w:t>Sections 6.01(a)</w:t>
      </w:r>
      <w:r>
        <w:rPr>
          <w:rFonts w:ascii="Arial" w:cs="Arial" w:eastAsia="Arial" w:hAnsi="Arial"/>
          <w:sz w:val="17"/>
          <w:szCs w:val="17"/>
          <w:color w:val="auto"/>
        </w:rPr>
        <w:t>, a list of the Guarantors as of the end of such fiscal year and the aggregate book value of assets (including Equity Interests but excluding Investments that are eliminated in consolidation) represented by each such Guarantor on an individual basis as of the end of such fiscal year;</w:t>
      </w:r>
    </w:p>
    <w:p>
      <w:pPr>
        <w:spacing w:after="0" w:line="171" w:lineRule="exact"/>
        <w:rPr>
          <w:sz w:val="20"/>
          <w:szCs w:val="20"/>
          <w:color w:val="auto"/>
        </w:rPr>
      </w:pPr>
    </w:p>
    <w:p>
      <w:pPr>
        <w:ind w:right="80" w:firstLine="656"/>
        <w:spacing w:after="0" w:line="259" w:lineRule="auto"/>
        <w:tabs>
          <w:tab w:leader="none" w:pos="130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WFS, and copies of all annual, regular, periodic and special reports and registration statements which WFS may file or be required to file with the SEC under Section 13 or 15(d) of the Securities Exchange Act of 1934, and not otherwise required to be delivered to the Administrative Agent pursuant hereto;</w:t>
      </w:r>
    </w:p>
    <w:p>
      <w:pPr>
        <w:spacing w:after="0" w:line="186" w:lineRule="exact"/>
        <w:rPr>
          <w:rFonts w:ascii="Arial" w:cs="Arial" w:eastAsia="Arial" w:hAnsi="Arial"/>
          <w:sz w:val="18"/>
          <w:szCs w:val="18"/>
          <w:color w:val="auto"/>
        </w:rPr>
      </w:pPr>
    </w:p>
    <w:p>
      <w:pPr>
        <w:ind w:right="140" w:firstLine="656"/>
        <w:spacing w:after="0" w:line="312" w:lineRule="auto"/>
        <w:tabs>
          <w:tab w:leader="none" w:pos="130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promptly after the furnishing thereof, copies of any statement or report furnished to any holder of debt securities of any Loan Party or any Restricted Subsidiary thereof pursuant to the terms of any indenture, loan or credit or similar agreement and not otherwise required to be furnished to the Lenders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any other clause of this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unless waived by the Administrative Agent at the request of the Borrowing Agent;</w:t>
      </w:r>
    </w:p>
    <w:p>
      <w:pPr>
        <w:spacing w:after="0" w:line="146" w:lineRule="exact"/>
        <w:rPr>
          <w:rFonts w:ascii="Arial" w:cs="Arial" w:eastAsia="Arial" w:hAnsi="Arial"/>
          <w:sz w:val="16"/>
          <w:szCs w:val="16"/>
          <w:color w:val="auto"/>
        </w:rPr>
      </w:pPr>
    </w:p>
    <w:p>
      <w:pPr>
        <w:ind w:firstLine="656"/>
        <w:spacing w:after="0" w:line="342" w:lineRule="auto"/>
        <w:tabs>
          <w:tab w:leader="none" w:pos="130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promptly, and in any event within five Business Days after receipt thereof by any Loan Party or any Restricted Subsidiary thereof, copies of each notice or other correspondence received from the SEC (or comparable agency in any applicable non-U.S. jurisdiction) concerning any investigation or</w:t>
      </w:r>
    </w:p>
    <w:p>
      <w:pPr>
        <w:sectPr>
          <w:pgSz w:w="11900" w:h="16975" w:orient="portrait"/>
          <w:cols w:equalWidth="0" w:num="1">
            <w:col w:w="11380"/>
          </w:cols>
          <w:pgMar w:left="240" w:top="121" w:right="279" w:bottom="0" w:gutter="0" w:footer="0" w:header="0"/>
        </w:sectPr>
      </w:pPr>
    </w:p>
    <w:bookmarkStart w:id="52" w:name="page53"/>
    <w:bookmarkEnd w:id="52"/>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possible investigation or other inquiry by such agency regarding financial or other operational results of any Loan Party or any Restricted Subsidiary thereof that if adversely determined could reasonably be expected to have a Material Adverse Effect;</w:t>
      </w:r>
    </w:p>
    <w:p>
      <w:pPr>
        <w:spacing w:after="0" w:line="170" w:lineRule="exact"/>
        <w:rPr>
          <w:sz w:val="20"/>
          <w:szCs w:val="20"/>
          <w:color w:val="auto"/>
        </w:rPr>
      </w:pPr>
    </w:p>
    <w:p>
      <w:pPr>
        <w:ind w:right="200" w:firstLine="656"/>
        <w:spacing w:after="0" w:line="342" w:lineRule="auto"/>
        <w:tabs>
          <w:tab w:leader="none" w:pos="130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promptly, such additional information regarding the business, financial or corporate affairs of the Borrowers or any Restricted Subsidiary, or compliance with the terms of the Loan Documents, as the Administrative Agent or any Lender may from time to time reasonably request;</w:t>
      </w:r>
    </w:p>
    <w:p>
      <w:pPr>
        <w:spacing w:after="0" w:line="123" w:lineRule="exact"/>
        <w:rPr>
          <w:rFonts w:ascii="Arial" w:cs="Arial" w:eastAsia="Arial" w:hAnsi="Arial"/>
          <w:sz w:val="16"/>
          <w:szCs w:val="16"/>
          <w:color w:val="auto"/>
        </w:rPr>
      </w:pPr>
    </w:p>
    <w:p>
      <w:pPr>
        <w:ind w:right="40" w:firstLine="656"/>
        <w:spacing w:after="0" w:line="277" w:lineRule="auto"/>
        <w:tabs>
          <w:tab w:leader="none" w:pos="130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following receipt, copies of any notices (including notices of default or acceleration) received from any holder or trustee of, under or with respect to any Subordinated Debt; and</w:t>
      </w:r>
    </w:p>
    <w:p>
      <w:pPr>
        <w:spacing w:after="0" w:line="170" w:lineRule="exact"/>
        <w:rPr>
          <w:rFonts w:ascii="Arial" w:cs="Arial" w:eastAsia="Arial" w:hAnsi="Arial"/>
          <w:sz w:val="18"/>
          <w:szCs w:val="18"/>
          <w:color w:val="auto"/>
        </w:rPr>
      </w:pPr>
    </w:p>
    <w:p>
      <w:pPr>
        <w:jc w:val="both"/>
        <w:ind w:right="20" w:firstLine="656"/>
        <w:spacing w:after="0" w:line="342" w:lineRule="auto"/>
        <w:tabs>
          <w:tab w:leader="none" w:pos="131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promptly after the assertion or occurrence thereof, notice of any action or proceeding against or of any noncompliance by any Loan Party or any of its Restricted Subsidiaries with any Environmental Law or Environmental Permit that could reasonably be expected to have a Material Adverse Effect.</w:t>
      </w:r>
    </w:p>
    <w:p>
      <w:pPr>
        <w:spacing w:after="0" w:line="124"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WFS posts such documents, or provides a link thereto on WFS’s website on the Internet at the website address listed on </w:t>
      </w:r>
      <w:r>
        <w:rPr>
          <w:rFonts w:ascii="Arial" w:cs="Arial" w:eastAsia="Arial" w:hAnsi="Arial"/>
          <w:sz w:val="17"/>
          <w:szCs w:val="17"/>
          <w:u w:val="single" w:color="auto"/>
          <w:color w:val="auto"/>
        </w:rPr>
        <w:t>Schedule 10.02</w:t>
      </w:r>
      <w:r>
        <w:rPr>
          <w:rFonts w:ascii="Arial" w:cs="Arial" w:eastAsia="Arial" w:hAnsi="Arial"/>
          <w:sz w:val="17"/>
          <w:szCs w:val="17"/>
          <w:color w:val="auto"/>
        </w:rPr>
        <w:t>; or (ii) on which such documents are posted on WFS’s behalf on an Internet or intranet website, if any, to which each Lender and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Administrative Agent have access (whether a commercial, third-party website or whether sponsored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WFS shall deliver paper copies of such documents to the Administrative Agent or any Lender upon its request to the Borrowing Agent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WFS with any such request by a Lender for delivery, and each Lender shall be solely responsible for requesting delivery to it or maintaining its copies of such documents.</w:t>
      </w:r>
    </w:p>
    <w:p>
      <w:pPr>
        <w:spacing w:after="0" w:line="19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The Borrowers hereby acknowledge that (a) the Administrative Agent and/or the Joint Lead Arrangers will make available to the Lenders and the L/C-BA Issuer materials and/or information provided by or on behalf of the Borrowers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Borrowers or their respective Affiliates, or the respective securities of any of the foregoing, and who may be engaged in investment and other market-related activities with respect to such Persons’ securities. The Borrowers hereby agree that so long as any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Joint Lead Arrangers, the L/C-BA Issuer and the Lenders to treat such Borrower Materials as not containing any material non-public information with respect to any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Joint Lead Arrangers shall be entitled to treat any Borrower Materials that are not marked “PUBLIC” as being suitable only for posting on a portion of the Platform not designated “Public Side Information.” Notwithstanding the foregoing, the Borrowers shall be under no obligation to mark any Borrower Materials “PUBLIC.”</w:t>
      </w:r>
    </w:p>
    <w:p>
      <w:pPr>
        <w:spacing w:after="0" w:line="16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6"/>
          <w:szCs w:val="16"/>
          <w:b w:val="1"/>
          <w:bCs w:val="1"/>
          <w:color w:val="auto"/>
        </w:rPr>
        <w:t>Notices</w:t>
      </w:r>
      <w:r>
        <w:rPr>
          <w:rFonts w:ascii="Arial" w:cs="Arial" w:eastAsia="Arial" w:hAnsi="Arial"/>
          <w:sz w:val="16"/>
          <w:szCs w:val="16"/>
          <w:color w:val="auto"/>
        </w:rPr>
        <w:t>. Promptly notify the Administrative Agent:</w:t>
      </w:r>
    </w:p>
    <w:p>
      <w:pPr>
        <w:spacing w:after="0" w:line="229"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225" w:lineRule="exact"/>
        <w:rPr>
          <w:rFonts w:ascii="Arial" w:cs="Arial" w:eastAsia="Arial" w:hAnsi="Arial"/>
          <w:sz w:val="18"/>
          <w:szCs w:val="18"/>
          <w:color w:val="auto"/>
        </w:rPr>
      </w:pPr>
    </w:p>
    <w:p>
      <w:pPr>
        <w:ind w:right="580" w:firstLine="656"/>
        <w:spacing w:after="0" w:line="257" w:lineRule="auto"/>
        <w:tabs>
          <w:tab w:leader="none" w:pos="130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 including (i) breach or non-performance of, or any default under, a Contractual Obligation of any Borrower or any Restricted Subsidiary; (ii) any dispute, litigation, investigation, proceeding or suspension between any Borrower or any Restricted Subsidiary and any Governmental Authority; or (iii) the commencement of, or any material development in, any litigation or proceeding affecting any Borrower or any Restricted Subsidiary, including pursuant to any applicable Environmental Laws;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of the occurrence of any ERISA Event;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of any determination by the Borrowers referred to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shall be accompanied by a statement of a Responsible Officer of the Borrowing Agent setting forth in reasonable detail the event or events referred to therein and stating what action the applicable Borrower has taken and proposes to take with respect thereto.</w:t>
      </w:r>
    </w:p>
    <w:p>
      <w:pPr>
        <w:spacing w:after="0" w:line="120"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b w:val="1"/>
          <w:bCs w:val="1"/>
          <w:color w:val="auto"/>
        </w:rPr>
        <w:t>6.04 Payment of Obligations</w:t>
      </w:r>
      <w:r>
        <w:rPr>
          <w:rFonts w:ascii="Arial" w:cs="Arial" w:eastAsia="Arial" w:hAnsi="Arial"/>
          <w:sz w:val="16"/>
          <w:szCs w:val="16"/>
          <w:color w:val="auto"/>
        </w:rPr>
        <w:t>. Except where failure to so pay or discharge could not reasonably be expected to have a Material Adverse Effect,</w:t>
      </w:r>
      <w:r>
        <w:rPr>
          <w:rFonts w:ascii="Arial" w:cs="Arial" w:eastAsia="Arial" w:hAnsi="Arial"/>
          <w:sz w:val="16"/>
          <w:szCs w:val="16"/>
          <w:b w:val="1"/>
          <w:bCs w:val="1"/>
          <w:color w:val="auto"/>
        </w:rPr>
        <w:t xml:space="preserve"> </w:t>
      </w:r>
      <w:r>
        <w:rPr>
          <w:rFonts w:ascii="Arial" w:cs="Arial" w:eastAsia="Arial" w:hAnsi="Arial"/>
          <w:sz w:val="16"/>
          <w:szCs w:val="16"/>
          <w:color w:val="auto"/>
        </w:rPr>
        <w:t>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such Borrowers or such Restricted Subsidiary; (b) all lawful claims which, if unpaid, would by law become a Lien upon its property; and (c) all Indebtedness, but subject to any subordination provisions contained in any instrument or agreement evidencing such Indebtedness, except where the failure to pay or discharge could not reasonably be expected to have a Material Adverse Effect.</w:t>
      </w:r>
    </w:p>
    <w:p>
      <w:pPr>
        <w:spacing w:after="0" w:line="15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6"/>
          <w:szCs w:val="16"/>
          <w:b w:val="1"/>
          <w:bCs w:val="1"/>
          <w:color w:val="auto"/>
        </w:rPr>
        <w:t>Preservation of Existence, Etc</w:t>
      </w:r>
      <w:r>
        <w:rPr>
          <w:rFonts w:ascii="Arial" w:cs="Arial" w:eastAsia="Arial" w:hAnsi="Arial"/>
          <w:sz w:val="16"/>
          <w:szCs w:val="16"/>
          <w:color w:val="auto"/>
        </w:rPr>
        <w:t>.</w:t>
      </w:r>
    </w:p>
    <w:p>
      <w:pPr>
        <w:spacing w:after="0" w:line="229" w:lineRule="exact"/>
        <w:rPr>
          <w:sz w:val="20"/>
          <w:szCs w:val="20"/>
          <w:color w:val="auto"/>
        </w:rPr>
      </w:pPr>
    </w:p>
    <w:p>
      <w:pPr>
        <w:ind w:right="240" w:firstLine="656"/>
        <w:spacing w:after="0" w:line="342" w:lineRule="auto"/>
        <w:tabs>
          <w:tab w:leader="none" w:pos="1294"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Preserve, renew and maintain in full force and effect its legal existence and, with respect to each Borrower and Material Subsidiary, good standing under the Laws of the jurisdiction of its organization except in a transaction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7.05</w:t>
      </w:r>
      <w:r>
        <w:rPr>
          <w:rFonts w:ascii="Arial" w:cs="Arial" w:eastAsia="Arial" w:hAnsi="Arial"/>
          <w:sz w:val="16"/>
          <w:szCs w:val="16"/>
          <w:color w:val="auto"/>
        </w:rPr>
        <w:t>; (b) take all reasonable action to</w:t>
      </w:r>
    </w:p>
    <w:p>
      <w:pPr>
        <w:sectPr>
          <w:pgSz w:w="11900" w:h="16975" w:orient="portrait"/>
          <w:cols w:equalWidth="0" w:num="1">
            <w:col w:w="11420"/>
          </w:cols>
          <w:pgMar w:left="240" w:top="125" w:right="239" w:bottom="0" w:gutter="0" w:footer="0" w:header="0"/>
        </w:sectPr>
      </w:pPr>
    </w:p>
    <w:bookmarkStart w:id="53" w:name="page54"/>
    <w:bookmarkEnd w:id="53"/>
    <w:p>
      <w:pPr>
        <w:spacing w:after="0" w:line="10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6"/>
          <w:szCs w:val="16"/>
          <w:b w:val="1"/>
          <w:bCs w:val="1"/>
          <w:color w:val="auto"/>
        </w:rPr>
        <w:t>Maintenance of Properties</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91" w:lineRule="auto"/>
        <w:tabs>
          <w:tab w:leader="none" w:pos="1294" w:val="left"/>
        </w:tabs>
        <w:numPr>
          <w:ilvl w:val="1"/>
          <w:numId w:val="145"/>
        </w:numPr>
        <w:rPr>
          <w:rFonts w:ascii="Arial" w:cs="Arial" w:eastAsia="Arial" w:hAnsi="Arial"/>
          <w:sz w:val="16"/>
          <w:szCs w:val="16"/>
          <w:color w:val="auto"/>
        </w:rPr>
      </w:pPr>
      <w:r>
        <w:rPr>
          <w:rFonts w:ascii="Arial" w:cs="Arial" w:eastAsia="Arial" w:hAnsi="Arial"/>
          <w:sz w:val="16"/>
          <w:szCs w:val="16"/>
          <w:color w:val="auto"/>
        </w:rPr>
        <w:t xml:space="preserve">Maintain, preserve and protect all of its material properties and equipment necessary in the operation of its business in good working order and condition, ordinary wear and tear excepted; and (b) make all necessary repairs thereto and renewals and replacements thereof except in the case of </w:t>
      </w:r>
      <w:r>
        <w:rPr>
          <w:rFonts w:ascii="Arial" w:cs="Arial" w:eastAsia="Arial" w:hAnsi="Arial"/>
          <w:sz w:val="16"/>
          <w:szCs w:val="16"/>
          <w:u w:val="single" w:color="auto"/>
          <w:color w:val="auto"/>
        </w:rPr>
        <w:t>clauses</w:t>
      </w:r>
    </w:p>
    <w:p>
      <w:pPr>
        <w:ind w:left="260" w:hanging="252"/>
        <w:spacing w:after="0"/>
        <w:tabs>
          <w:tab w:leader="none" w:pos="260" w:val="left"/>
        </w:tabs>
        <w:numPr>
          <w:ilvl w:val="0"/>
          <w:numId w:val="146"/>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where the failure to do so could not reasonably be expected to have a Material Adverse Effect.</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b w:val="1"/>
          <w:bCs w:val="1"/>
          <w:color w:val="auto"/>
        </w:rPr>
        <w:t>6.07 Maintenance of Insurance</w:t>
      </w:r>
      <w:r>
        <w:rPr>
          <w:rFonts w:ascii="Arial" w:cs="Arial" w:eastAsia="Arial" w:hAnsi="Arial"/>
          <w:sz w:val="18"/>
          <w:szCs w:val="18"/>
          <w:color w:val="auto"/>
        </w:rPr>
        <w:t>. Maintain with financially sound and reputable insurance companies, insurance with respect to its properties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 against loss or damage of the kinds customarily insured against by Persons engaged in the same or similar business, of such types and in such amounts as are customarily carried under similar circumstances by such other Persons.</w:t>
      </w:r>
    </w:p>
    <w:p>
      <w:pPr>
        <w:spacing w:after="0" w:line="176" w:lineRule="exact"/>
        <w:rPr>
          <w:sz w:val="20"/>
          <w:szCs w:val="20"/>
          <w:color w:val="auto"/>
        </w:rPr>
      </w:pPr>
    </w:p>
    <w:p>
      <w:pPr>
        <w:jc w:val="both"/>
        <w:ind w:right="240" w:firstLine="648"/>
        <w:spacing w:after="0" w:line="282" w:lineRule="auto"/>
        <w:rPr>
          <w:sz w:val="20"/>
          <w:szCs w:val="20"/>
          <w:color w:val="auto"/>
        </w:rPr>
      </w:pPr>
      <w:r>
        <w:rPr>
          <w:rFonts w:ascii="Arial" w:cs="Arial" w:eastAsia="Arial" w:hAnsi="Arial"/>
          <w:sz w:val="18"/>
          <w:szCs w:val="18"/>
          <w:b w:val="1"/>
          <w:bCs w:val="1"/>
          <w:color w:val="auto"/>
        </w:rPr>
        <w:t>6.08 Compliance with Laws</w:t>
      </w:r>
      <w:r>
        <w:rPr>
          <w:rFonts w:ascii="Arial" w:cs="Arial" w:eastAsia="Arial" w:hAnsi="Arial"/>
          <w:sz w:val="18"/>
          <w:szCs w:val="18"/>
          <w:color w:val="auto"/>
        </w:rPr>
        <w:t>. Comply in all material respects with the requirements of all Laws and all orders, writs, injunctions and decrees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it or to its business or property, except in such instances in which (a) such requirement of Law or order, writ,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injunction or decree is being contested in good faith by appropriate proceedings diligently conducted; or (b) the failure to comply therewith could not reasonably be expected to have a Material Adverse Effect.</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6.09</w:t>
      </w:r>
      <w:r>
        <w:rPr>
          <w:sz w:val="20"/>
          <w:szCs w:val="20"/>
          <w:color w:val="auto"/>
        </w:rPr>
        <w:tab/>
      </w:r>
      <w:r>
        <w:rPr>
          <w:rFonts w:ascii="Arial" w:cs="Arial" w:eastAsia="Arial" w:hAnsi="Arial"/>
          <w:sz w:val="15"/>
          <w:szCs w:val="15"/>
          <w:b w:val="1"/>
          <w:bCs w:val="1"/>
          <w:color w:val="auto"/>
        </w:rPr>
        <w:t>Books and Records</w:t>
      </w:r>
      <w:r>
        <w:rPr>
          <w:rFonts w:ascii="Arial" w:cs="Arial" w:eastAsia="Arial" w:hAnsi="Arial"/>
          <w:sz w:val="15"/>
          <w:szCs w:val="15"/>
          <w:color w:val="auto"/>
        </w:rPr>
        <w:t>.</w:t>
      </w:r>
    </w:p>
    <w:p>
      <w:pPr>
        <w:spacing w:after="0" w:line="229" w:lineRule="exact"/>
        <w:rPr>
          <w:sz w:val="20"/>
          <w:szCs w:val="20"/>
          <w:color w:val="auto"/>
        </w:rPr>
      </w:pPr>
    </w:p>
    <w:p>
      <w:pPr>
        <w:ind w:right="100" w:firstLine="656"/>
        <w:spacing w:after="0" w:line="291" w:lineRule="auto"/>
        <w:tabs>
          <w:tab w:leader="none" w:pos="129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Maintain proper books of record and account, in which full, true and correct entries in conformity with GAAP consistently applied shall be made of all financial transactions and matters involving the assets and business of such Borrower or such Restricted Subsidiary, as the case may be; and</w:t>
      </w:r>
    </w:p>
    <w:p>
      <w:pPr>
        <w:ind w:right="400" w:firstLine="8"/>
        <w:spacing w:after="0" w:line="261"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such Borrower or such Restricted Subsidiary, as the case may be.</w:t>
      </w:r>
    </w:p>
    <w:p>
      <w:pPr>
        <w:spacing w:after="0" w:line="18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b w:val="1"/>
          <w:bCs w:val="1"/>
          <w:color w:val="auto"/>
        </w:rPr>
        <w:t>6.10 Inspection Rights</w:t>
      </w:r>
      <w:r>
        <w:rPr>
          <w:rFonts w:ascii="Arial" w:cs="Arial" w:eastAsia="Arial" w:hAnsi="Arial"/>
          <w:sz w:val="16"/>
          <w:szCs w:val="16"/>
          <w:color w:val="auto"/>
        </w:rPr>
        <w:t>. Permit representatives and independent contractors of the Administrative Agent and each Lender to visit and inspect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of its properties, to examine its corporate, financial and operating records, and make copies thereof or abstracts therefrom, and to discuss its affairs, finances and accounts with its directors, officers, and independent public accountants, all at the expense of the Borrowers and at such reasonable times during normal business hours and as often as may be reasonably desired, upon reasonable advance notice to the Borrowing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no Event of Default exists, (x) the Borrowers shall not be obligated to reimburse the expenses associated with more than one visit and inspection per calendar year and (y) there shall be not more than one visit and inspection per fiscal quarter in the aggregate for the Administrative Agent and the Lenders; and</w:t>
      </w:r>
    </w:p>
    <w:p>
      <w:pPr>
        <w:spacing w:after="0" w:line="4" w:lineRule="exact"/>
        <w:rPr>
          <w:sz w:val="20"/>
          <w:szCs w:val="20"/>
          <w:color w:val="auto"/>
        </w:rPr>
      </w:pPr>
    </w:p>
    <w:p>
      <w:pPr>
        <w:ind w:right="280" w:firstLine="8"/>
        <w:spacing w:after="0" w:line="290" w:lineRule="auto"/>
        <w:tabs>
          <w:tab w:leader="none" w:pos="26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158"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6.11 Use of Proceeds</w:t>
      </w:r>
      <w:r>
        <w:rPr>
          <w:rFonts w:ascii="Arial" w:cs="Arial" w:eastAsia="Arial" w:hAnsi="Arial"/>
          <w:sz w:val="18"/>
          <w:szCs w:val="18"/>
          <w:color w:val="auto"/>
        </w:rPr>
        <w:t>. Use the proceeds of the Credit Extensions for general corporate purposes not in contravention of any Law or of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b w:val="1"/>
          <w:bCs w:val="1"/>
          <w:color w:val="auto"/>
        </w:rPr>
        <w:t>Additional Guarantors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2" w:lineRule="auto"/>
        <w:tabs>
          <w:tab w:leader="none" w:pos="1294"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Material Subsidiaries; Guarantors of Permitted Convertible Notes</w:t>
      </w:r>
      <w:r>
        <w:rPr>
          <w:rFonts w:ascii="Arial" w:cs="Arial" w:eastAsia="Arial" w:hAnsi="Arial"/>
          <w:sz w:val="17"/>
          <w:szCs w:val="17"/>
          <w:color w:val="auto"/>
        </w:rPr>
        <w:t xml:space="preserve">. (i) Promptly notify the Administrative Agent at the time that any Person is or becomes a Material Subsidiary or is or becomes a guarantor of any Indebtedness owing with respect to any Permitted Convertible Notes (if, in either case, not already a Guarantor hereunder), and (ii) promptly (and in any event, with respect to Domestic Subsidiaries, within thirty (30) days, and, with respect to Foreign Subsidiaries, within sixty (60) days) cause such Person to become a Guarantor by executing and delivering to the Administrative Agent a Guaranty Joinder Agreement or such other document as the Administrative Agent shall deem appropriate for such purpose;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Foreign Subsidiary shall be required to become a Guarantor pursuant to this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if such guaranty would violate applicable Law or result in a material adverse tax consequence to the Borrowers or any Subsidiary.</w:t>
      </w:r>
    </w:p>
    <w:p>
      <w:pPr>
        <w:spacing w:after="0" w:line="177" w:lineRule="exact"/>
        <w:rPr>
          <w:rFonts w:ascii="Arial" w:cs="Arial" w:eastAsia="Arial" w:hAnsi="Arial"/>
          <w:sz w:val="17"/>
          <w:szCs w:val="17"/>
          <w:color w:val="auto"/>
        </w:rPr>
      </w:pPr>
    </w:p>
    <w:p>
      <w:pPr>
        <w:ind w:right="80" w:firstLine="656"/>
        <w:spacing w:after="0" w:line="277" w:lineRule="auto"/>
        <w:tabs>
          <w:tab w:leader="none" w:pos="130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Other Subsidiaries</w:t>
      </w:r>
      <w:r>
        <w:rPr>
          <w:rFonts w:ascii="Arial" w:cs="Arial" w:eastAsia="Arial" w:hAnsi="Arial"/>
          <w:sz w:val="18"/>
          <w:szCs w:val="18"/>
          <w:color w:val="auto"/>
        </w:rPr>
        <w:t>. If, as of the end of any fiscal quarter of WFS occurring after the Closing Date, the aggregate book value of assets of all then existing Guarantors, on a consolidated basis, (including Equity Interests in other Subsidiaries, but excluding Investments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that are eliminated in consolidation) do not represent at least 80% of the aggregate book value of assets of WFS and its Subsidiaries on a consolidated basis as of the end of WFS’s most recently completed fiscal year (the “</w:t>
      </w:r>
      <w:r>
        <w:rPr>
          <w:rFonts w:ascii="Arial" w:cs="Arial" w:eastAsia="Arial" w:hAnsi="Arial"/>
          <w:sz w:val="17"/>
          <w:szCs w:val="17"/>
          <w:u w:val="single" w:color="auto"/>
          <w:color w:val="auto"/>
        </w:rPr>
        <w:t>80% Guaranty Threshold</w:t>
      </w:r>
      <w:r>
        <w:rPr>
          <w:rFonts w:ascii="Arial" w:cs="Arial" w:eastAsia="Arial" w:hAnsi="Arial"/>
          <w:sz w:val="17"/>
          <w:szCs w:val="17"/>
          <w:color w:val="auto"/>
        </w:rPr>
        <w:t xml:space="preserve">”), then the Borrowing Agent shall (i) promptly notify the Administrative Agent that the 80% Guaranty Threshold is not met and identify additional Domestic Subsidiaries, and if necessary, additional Foreign Subsidiaries (without regard to any material adverse tax consequences which may result therefrom), to become Guarantors such that upon such identified Subsidiaries becoming Guarantors, the 80% Guaranty Threshold will be satisfied, and (ii) promptly (and in any event, with respect to any Domestic Subsidiary, within thirty (30) days, and, with respect to any Foreign Subsidiary, within sixty (60) days), in each case, which period may extended by the Administrative Agent in its sole discretion, cause each such Subsidiary to become a Guarantor by executing and delivering to the Administrative Agent a Guaranty Joinder Agreement or such other document as the Administrative Agent shall deem appropriate for such purpose;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no Foreign Subsidiary shall be required to become a Guarantor pursuant to this subsection (b) if such guaranty would violate applicable Law and (y) none of Atlantic Fuel Services, IRC and Resource Recovery shall be required to become a Guarantor pursuant to this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so long as such Subsidiary is in compliance with </w:t>
      </w:r>
      <w:r>
        <w:rPr>
          <w:rFonts w:ascii="Arial" w:cs="Arial" w:eastAsia="Arial" w:hAnsi="Arial"/>
          <w:sz w:val="17"/>
          <w:szCs w:val="17"/>
          <w:u w:val="single" w:color="auto"/>
          <w:color w:val="auto"/>
        </w:rPr>
        <w:t>Section 7.13</w:t>
      </w:r>
      <w:r>
        <w:rPr>
          <w:rFonts w:ascii="Arial" w:cs="Arial" w:eastAsia="Arial" w:hAnsi="Arial"/>
          <w:sz w:val="17"/>
          <w:szCs w:val="17"/>
          <w:color w:val="auto"/>
        </w:rPr>
        <w:t>.</w:t>
      </w:r>
    </w:p>
    <w:p>
      <w:pPr>
        <w:spacing w:after="0" w:line="183" w:lineRule="exact"/>
        <w:rPr>
          <w:sz w:val="20"/>
          <w:szCs w:val="20"/>
          <w:color w:val="auto"/>
        </w:rPr>
      </w:pPr>
    </w:p>
    <w:p>
      <w:pPr>
        <w:ind w:left="1320" w:hanging="664"/>
        <w:spacing w:after="0"/>
        <w:tabs>
          <w:tab w:leader="none" w:pos="1320"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Additional Collateral; Documents</w:t>
      </w:r>
      <w:r>
        <w:rPr>
          <w:rFonts w:ascii="Arial" w:cs="Arial" w:eastAsia="Arial" w:hAnsi="Arial"/>
          <w:sz w:val="16"/>
          <w:szCs w:val="16"/>
          <w:color w:val="auto"/>
        </w:rPr>
        <w:t xml:space="preserve">. In the event that any Subsidiary becomes a Guarantor after the Closing Date pursuant to </w:t>
      </w:r>
      <w:r>
        <w:rPr>
          <w:rFonts w:ascii="Arial" w:cs="Arial" w:eastAsia="Arial" w:hAnsi="Arial"/>
          <w:sz w:val="16"/>
          <w:szCs w:val="16"/>
          <w:u w:val="single" w:color="auto"/>
          <w:color w:val="auto"/>
        </w:rPr>
        <w:t>subsections</w:t>
      </w:r>
    </w:p>
    <w:p>
      <w:pPr>
        <w:spacing w:after="0" w:line="46" w:lineRule="exact"/>
        <w:rPr>
          <w:rFonts w:ascii="Arial" w:cs="Arial" w:eastAsia="Arial" w:hAnsi="Arial"/>
          <w:sz w:val="16"/>
          <w:szCs w:val="16"/>
          <w:color w:val="auto"/>
        </w:rPr>
      </w:pPr>
    </w:p>
    <w:p>
      <w:pPr>
        <w:ind w:right="80" w:firstLine="8"/>
        <w:spacing w:after="0" w:line="302" w:lineRule="auto"/>
        <w:tabs>
          <w:tab w:leader="none" w:pos="245" w:val="left"/>
        </w:tabs>
        <w:numPr>
          <w:ilvl w:val="0"/>
          <w:numId w:val="152"/>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6.12</w:t>
      </w:r>
      <w:r>
        <w:rPr>
          <w:rFonts w:ascii="Arial" w:cs="Arial" w:eastAsia="Arial" w:hAnsi="Arial"/>
          <w:sz w:val="16"/>
          <w:szCs w:val="16"/>
          <w:color w:val="auto"/>
        </w:rPr>
        <w:t>, promptly (and in any event, with respect to any Domestic Subsidiary, within thirty (30) days, and, with respect to any Foreign Subsidiary, within sixty (60) days, in each case, which period may extended by the Administrative Agent in its sole discretion) cause (i) each such Subsidiary to (A) if such Subsidiary is a Domestic Subsidiary and in fact has one or more Subsidiaries, become a party to the Pledge Agreement by executing and</w:t>
      </w:r>
    </w:p>
    <w:p>
      <w:pPr>
        <w:sectPr>
          <w:pgSz w:w="11900" w:h="16944" w:orient="portrait"/>
          <w:cols w:equalWidth="0" w:num="1">
            <w:col w:w="11420"/>
          </w:cols>
          <w:pgMar w:left="240" w:top="125" w:right="239" w:bottom="0" w:gutter="0" w:footer="0" w:header="0"/>
        </w:sectPr>
      </w:pPr>
    </w:p>
    <w:bookmarkStart w:id="54" w:name="page55"/>
    <w:bookmarkEnd w:id="54"/>
    <w:p>
      <w:pPr>
        <w:spacing w:after="0" w:line="11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 xml:space="preserve">delivering to the Administrative Agent a Pledge Joinder Agreement or such other document as the Administrative Agent shall deem appropriate for such purpose and comply with the requirements therein, and (B) deliver to the Administrative Agent documents of the types referred to in </w:t>
      </w:r>
      <w:r>
        <w:rPr>
          <w:rFonts w:ascii="Arial" w:cs="Arial" w:eastAsia="Arial" w:hAnsi="Arial"/>
          <w:sz w:val="16"/>
          <w:szCs w:val="16"/>
          <w:u w:val="single" w:color="auto"/>
          <w:color w:val="auto"/>
        </w:rPr>
        <w:t>clauses (v)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and, if requested by the Administrative Agent, favorable opinions of counsel to such Person (which shall cover, among other things, the legality, validity, binding effect and enforceability of the documentation required to entered into by such Subsidiary pursuant to this </w:t>
      </w:r>
      <w:r>
        <w:rPr>
          <w:rFonts w:ascii="Arial" w:cs="Arial" w:eastAsia="Arial" w:hAnsi="Arial"/>
          <w:sz w:val="16"/>
          <w:szCs w:val="16"/>
          <w:u w:val="single" w:color="auto"/>
          <w:color w:val="auto"/>
        </w:rPr>
        <w:t>Section 6.12</w:t>
      </w:r>
      <w:r>
        <w:rPr>
          <w:rFonts w:ascii="Arial" w:cs="Arial" w:eastAsia="Arial" w:hAnsi="Arial"/>
          <w:sz w:val="16"/>
          <w:szCs w:val="16"/>
          <w:color w:val="auto"/>
        </w:rPr>
        <w:t>), and</w:t>
      </w:r>
    </w:p>
    <w:p>
      <w:pPr>
        <w:spacing w:after="0" w:line="2" w:lineRule="exact"/>
        <w:rPr>
          <w:sz w:val="20"/>
          <w:szCs w:val="20"/>
          <w:color w:val="auto"/>
        </w:rPr>
      </w:pPr>
    </w:p>
    <w:p>
      <w:pPr>
        <w:ind w:right="40" w:firstLine="8"/>
        <w:spacing w:after="0" w:line="277" w:lineRule="auto"/>
        <w:tabs>
          <w:tab w:leader="none" w:pos="26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each owner of the Equity Interests of such Subsidiary (if such owner is WFS or any of its Domestic Subsidiaries that is a Guarantor) shall deliver a Pledge Agreement Supplement or Pledge Joinder Agreement, as applicable, pursuant to which such owner shall pledge its then owned Pledged Interests in such Subsidiary, in the case of each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in form, content and scope reasonably satisfactory to the Administrative Agent.</w:t>
      </w:r>
    </w:p>
    <w:p>
      <w:pPr>
        <w:spacing w:after="0" w:line="169" w:lineRule="exact"/>
        <w:rPr>
          <w:sz w:val="20"/>
          <w:szCs w:val="20"/>
          <w:color w:val="auto"/>
        </w:rPr>
      </w:pPr>
    </w:p>
    <w:p>
      <w:pPr>
        <w:ind w:right="80" w:firstLine="648"/>
        <w:spacing w:after="0" w:line="295" w:lineRule="auto"/>
        <w:rPr>
          <w:sz w:val="20"/>
          <w:szCs w:val="20"/>
          <w:color w:val="auto"/>
        </w:rPr>
      </w:pPr>
      <w:r>
        <w:rPr>
          <w:rFonts w:ascii="Arial" w:cs="Arial" w:eastAsia="Arial" w:hAnsi="Arial"/>
          <w:sz w:val="16"/>
          <w:szCs w:val="16"/>
          <w:b w:val="1"/>
          <w:bCs w:val="1"/>
          <w:color w:val="auto"/>
        </w:rPr>
        <w:t xml:space="preserve">6.13 Compliance with Environmental Laws. </w:t>
      </w:r>
      <w:r>
        <w:rPr>
          <w:rFonts w:ascii="Arial" w:cs="Arial" w:eastAsia="Arial" w:hAnsi="Arial"/>
          <w:sz w:val="16"/>
          <w:szCs w:val="16"/>
          <w:color w:val="auto"/>
        </w:rPr>
        <w:t>Comply, and cause all lessees and other Persons operating or occupying its properties to comply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all applicable Environmental Laws and Environmental Permits, except if the failure to so comply could not reasonably be expected to have a Material Adverse Effect; obtain and renew all Environmental Permits required by all applicable Environmental Laws for its operations and properties, except to the extent the failure to obtain or renew the same could not reasonably be expected to have a Material Adverse Effect;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any Borrower nor any Restricted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Subsidiary shall be required to undertake any such cleanup, removal, remedial or other action (a) to the extent that its obligation to do so is being contested in good faith and by proper proceedings and appropriate reserves are being maintained with respect to such circumstances in accordance with GAAP or (b) if the failure to do so could not reasonably be expected to have a Material Adverse Effect.</w:t>
      </w:r>
    </w:p>
    <w:p>
      <w:pPr>
        <w:spacing w:after="0" w:line="17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 xml:space="preserve">6.14 Further Assurances. </w:t>
      </w:r>
      <w:r>
        <w:rPr>
          <w:rFonts w:ascii="Arial" w:cs="Arial" w:eastAsia="Arial" w:hAnsi="Arial"/>
          <w:sz w:val="16"/>
          <w:szCs w:val="16"/>
          <w:color w:val="auto"/>
        </w:rPr>
        <w:t>Within a reasonable time following the request by the Administrative Agent, or any Lender through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Restricted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161"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b w:val="1"/>
          <w:bCs w:val="1"/>
          <w:color w:val="auto"/>
        </w:rPr>
        <w:t xml:space="preserve">6.15 Material Contracts. </w:t>
      </w:r>
      <w:r>
        <w:rPr>
          <w:rFonts w:ascii="Arial" w:cs="Arial" w:eastAsia="Arial" w:hAnsi="Arial"/>
          <w:sz w:val="17"/>
          <w:szCs w:val="17"/>
          <w:color w:val="auto"/>
        </w:rPr>
        <w:t>Perform and observe all the material terms and provisions of each Material Contract to be performed or observed by</w:t>
      </w:r>
      <w:r>
        <w:rPr>
          <w:rFonts w:ascii="Arial" w:cs="Arial" w:eastAsia="Arial" w:hAnsi="Arial"/>
          <w:sz w:val="17"/>
          <w:szCs w:val="17"/>
          <w:b w:val="1"/>
          <w:bCs w:val="1"/>
          <w:color w:val="auto"/>
        </w:rPr>
        <w:t xml:space="preserve"> </w:t>
      </w:r>
      <w:r>
        <w:rPr>
          <w:rFonts w:ascii="Arial" w:cs="Arial" w:eastAsia="Arial" w:hAnsi="Arial"/>
          <w:sz w:val="17"/>
          <w:szCs w:val="17"/>
          <w:color w:val="auto"/>
        </w:rPr>
        <w:t>it, maintain each such Material Contract in full force and effect and enforce each such Material Contract in accordance with its terms.</w:t>
      </w:r>
    </w:p>
    <w:p>
      <w:pPr>
        <w:spacing w:after="0" w:line="138"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6.16 BSA Provision</w:t>
      </w:r>
      <w:r>
        <w:rPr>
          <w:rFonts w:ascii="Arial" w:cs="Arial" w:eastAsia="Arial" w:hAnsi="Arial"/>
          <w:sz w:val="18"/>
          <w:szCs w:val="18"/>
          <w:color w:val="auto"/>
        </w:rPr>
        <w:t>. The Borrowers shall use commercially reasonable efforts to comply, and cause each Restricted Subsidiary to use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comply, with all applicable Bank Secrecy Act laws and regulations, as amended.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NEGATIVE COVENANTS</w:t>
      </w:r>
    </w:p>
    <w:p>
      <w:pPr>
        <w:spacing w:after="0" w:line="229"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So long as any Lender shall have any Commitment hereunder, any Loan or other outstanding Obligation hereunder shall remain unpaid or unsatisfied, or any Letter of Credit or Bankers’ Acceptance shall remain outstanding, no Borrower shall, nor shall any Borrower permit any Restricted Subsidiary to, directly or indirectly:</w:t>
      </w:r>
    </w:p>
    <w:p>
      <w:pPr>
        <w:spacing w:after="0" w:line="177"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7.01 Liens</w:t>
      </w:r>
      <w:r>
        <w:rPr>
          <w:rFonts w:ascii="Arial" w:cs="Arial" w:eastAsia="Arial" w:hAnsi="Arial"/>
          <w:sz w:val="18"/>
          <w:szCs w:val="18"/>
          <w:color w:val="auto"/>
        </w:rPr>
        <w:t>. Create, incur, assume or suffer to exist any Lien upon any of its property, assets or revenues, whether now owned or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other than the following:</w:t>
      </w:r>
    </w:p>
    <w:p>
      <w:pPr>
        <w:spacing w:after="0" w:line="166"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ind w:right="80" w:firstLine="656"/>
        <w:spacing w:after="0" w:line="277" w:lineRule="auto"/>
        <w:tabs>
          <w:tab w:leader="none" w:pos="130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Liens existing on the Closing Date and listed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actual property covered thereby is not expanded, (ii) the amount secured or benefited thereby is not increased except as contemplated by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and (iii) any renewal or extension of the obligations secured or benefited thereby is permitted by </w:t>
      </w:r>
      <w:r>
        <w:rPr>
          <w:rFonts w:ascii="Arial" w:cs="Arial" w:eastAsia="Arial" w:hAnsi="Arial"/>
          <w:sz w:val="18"/>
          <w:szCs w:val="18"/>
          <w:u w:val="single" w:color="auto"/>
          <w:color w:val="auto"/>
        </w:rPr>
        <w:t>Section 7.03(b)</w:t>
      </w:r>
      <w:r>
        <w:rPr>
          <w:rFonts w:ascii="Arial" w:cs="Arial" w:eastAsia="Arial" w:hAnsi="Arial"/>
          <w:sz w:val="18"/>
          <w:szCs w:val="18"/>
          <w:color w:val="auto"/>
        </w:rPr>
        <w:t>;</w:t>
      </w:r>
    </w:p>
    <w:p>
      <w:pPr>
        <w:spacing w:after="0" w:line="225" w:lineRule="exact"/>
        <w:rPr>
          <w:sz w:val="20"/>
          <w:szCs w:val="20"/>
          <w:color w:val="auto"/>
        </w:rPr>
      </w:pPr>
    </w:p>
    <w:p>
      <w:pPr>
        <w:ind w:right="520" w:firstLine="656"/>
        <w:spacing w:after="0" w:line="277" w:lineRule="auto"/>
        <w:tabs>
          <w:tab w:leader="none" w:pos="130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good faith by appropriate proceedings and with respect to which adequate reserves or other appropriate provisions are being maintained to the extent required by GAAP;</w:t>
      </w:r>
    </w:p>
    <w:p>
      <w:pPr>
        <w:spacing w:after="0" w:line="170" w:lineRule="exact"/>
        <w:rPr>
          <w:rFonts w:ascii="Arial" w:cs="Arial" w:eastAsia="Arial" w:hAnsi="Arial"/>
          <w:sz w:val="18"/>
          <w:szCs w:val="18"/>
          <w:color w:val="auto"/>
        </w:rPr>
      </w:pPr>
    </w:p>
    <w:p>
      <w:pPr>
        <w:ind w:right="60" w:firstLine="656"/>
        <w:spacing w:after="0" w:line="259" w:lineRule="auto"/>
        <w:tabs>
          <w:tab w:leader="none" w:pos="13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Liens of landlords arising by statute and Liens of suppliers, mechanics, carriers, materialmen, warehousemen or workmen and other similar Liens, in each case, (i) imposed by law or arising in the ordinary course of business, (ii) for amounts not yet due or that are being contested in good faith by appropriate proceedings and (iii) with respect to which adequate reserves or other appropriate provisions are being maintained to the extent required by GAAP;</w:t>
      </w:r>
    </w:p>
    <w:p>
      <w:pPr>
        <w:spacing w:after="0" w:line="186" w:lineRule="exact"/>
        <w:rPr>
          <w:rFonts w:ascii="Arial" w:cs="Arial" w:eastAsia="Arial" w:hAnsi="Arial"/>
          <w:sz w:val="18"/>
          <w:szCs w:val="18"/>
          <w:color w:val="auto"/>
        </w:rPr>
      </w:pPr>
    </w:p>
    <w:p>
      <w:pPr>
        <w:ind w:right="140" w:firstLine="656"/>
        <w:spacing w:after="0" w:line="308" w:lineRule="auto"/>
        <w:tabs>
          <w:tab w:leader="none" w:pos="130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encumbrances arising under leases or subleases of real property that do not, in the aggregate, materially detract from the value of such real property or interfere with the ordinary conduct of the business conducted or proposed to be conducted on or at such real property;</w:t>
      </w:r>
    </w:p>
    <w:p>
      <w:pPr>
        <w:spacing w:after="0" w:line="146" w:lineRule="exact"/>
        <w:rPr>
          <w:rFonts w:ascii="Arial" w:cs="Arial" w:eastAsia="Arial" w:hAnsi="Arial"/>
          <w:sz w:val="17"/>
          <w:szCs w:val="17"/>
          <w:color w:val="auto"/>
        </w:rPr>
      </w:pPr>
    </w:p>
    <w:p>
      <w:pPr>
        <w:ind w:right="500" w:firstLine="656"/>
        <w:spacing w:after="0" w:line="277" w:lineRule="auto"/>
        <w:tabs>
          <w:tab w:leader="none" w:pos="130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Liens in favor of lessors securing operating leases and financing statements with respect to a lessor’s right in and to personal property leased in the ordinary course of business other than through a Capital Lease;</w:t>
      </w:r>
    </w:p>
    <w:p>
      <w:pPr>
        <w:spacing w:after="0" w:line="170" w:lineRule="exact"/>
        <w:rPr>
          <w:rFonts w:ascii="Arial" w:cs="Arial" w:eastAsia="Arial" w:hAnsi="Arial"/>
          <w:sz w:val="18"/>
          <w:szCs w:val="18"/>
          <w:color w:val="auto"/>
        </w:rPr>
      </w:pPr>
    </w:p>
    <w:p>
      <w:pPr>
        <w:ind w:right="440" w:firstLine="656"/>
        <w:spacing w:after="0" w:line="308" w:lineRule="auto"/>
        <w:tabs>
          <w:tab w:leader="none" w:pos="131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any title transfer, retention of title, hire purchase or conditional sale arrangement or arrangements having a similar effect arising in the ordinary course of business in connection with the deferred purchase price of goods or services in favor of the suppliers thereof;</w:t>
      </w:r>
    </w:p>
    <w:p>
      <w:pPr>
        <w:sectPr>
          <w:pgSz w:w="11900" w:h="16953" w:orient="portrait"/>
          <w:cols w:equalWidth="0" w:num="1">
            <w:col w:w="11420"/>
          </w:cols>
          <w:pgMar w:left="240" w:top="125" w:right="239" w:bottom="0" w:gutter="0" w:footer="0" w:header="0"/>
        </w:sectPr>
      </w:pPr>
    </w:p>
    <w:bookmarkStart w:id="55" w:name="page56"/>
    <w:bookmarkEnd w:id="55"/>
    <w:p>
      <w:pPr>
        <w:spacing w:after="0" w:line="137" w:lineRule="exact"/>
        <w:rPr>
          <w:sz w:val="20"/>
          <w:szCs w:val="20"/>
          <w:color w:val="auto"/>
        </w:rPr>
      </w:pPr>
    </w:p>
    <w:p>
      <w:pPr>
        <w:ind w:right="20" w:firstLine="656"/>
        <w:spacing w:after="0" w:line="277" w:lineRule="auto"/>
        <w:tabs>
          <w:tab w:leader="none" w:pos="130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w:t>
      </w:r>
    </w:p>
    <w:p>
      <w:pPr>
        <w:spacing w:after="0" w:line="170" w:lineRule="exact"/>
        <w:rPr>
          <w:rFonts w:ascii="Arial" w:cs="Arial" w:eastAsia="Arial" w:hAnsi="Arial"/>
          <w:sz w:val="18"/>
          <w:szCs w:val="18"/>
          <w:color w:val="auto"/>
        </w:rPr>
      </w:pPr>
    </w:p>
    <w:p>
      <w:pPr>
        <w:ind w:right="80" w:firstLine="656"/>
        <w:spacing w:after="0" w:line="277" w:lineRule="auto"/>
        <w:tabs>
          <w:tab w:leader="none" w:pos="13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deposits to secure the performance of bids, tenders, sales, trade contracts and leases (other than Indebtedness), statutory obligations, surety and appeal bonds, performance bonds and other obligations of a like nature incurred in the ordinary course of business;</w:t>
      </w:r>
    </w:p>
    <w:p>
      <w:pPr>
        <w:spacing w:after="0" w:line="170" w:lineRule="exact"/>
        <w:rPr>
          <w:rFonts w:ascii="Arial" w:cs="Arial" w:eastAsia="Arial" w:hAnsi="Arial"/>
          <w:sz w:val="18"/>
          <w:szCs w:val="18"/>
          <w:color w:val="auto"/>
        </w:rPr>
      </w:pPr>
    </w:p>
    <w:p>
      <w:pPr>
        <w:ind w:right="220" w:firstLine="656"/>
        <w:spacing w:after="0" w:line="308" w:lineRule="auto"/>
        <w:tabs>
          <w:tab w:leader="none" w:pos="130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277" w:lineRule="auto"/>
        <w:tabs>
          <w:tab w:leader="none" w:pos="13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7.03(f)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at any time encumber any property other than the property financed by such Indebtedness;</w:t>
      </w:r>
    </w:p>
    <w:p>
      <w:pPr>
        <w:spacing w:after="0" w:line="170" w:lineRule="exact"/>
        <w:rPr>
          <w:rFonts w:ascii="Arial" w:cs="Arial" w:eastAsia="Arial" w:hAnsi="Arial"/>
          <w:sz w:val="18"/>
          <w:szCs w:val="18"/>
          <w:color w:val="auto"/>
        </w:rPr>
      </w:pPr>
    </w:p>
    <w:p>
      <w:pPr>
        <w:ind w:firstLine="656"/>
        <w:spacing w:after="0" w:line="277" w:lineRule="auto"/>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7.03(k)</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at any time encumber any property other than the property (and proceeds thereof) financed by such Indebtedness;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w:t>
      </w:r>
      <w:r>
        <w:rPr>
          <w:rFonts w:ascii="Arial" w:cs="Arial" w:eastAsia="Arial" w:hAnsi="Arial"/>
          <w:sz w:val="16"/>
          <w:szCs w:val="16"/>
          <w:u w:val="single" w:color="auto"/>
          <w:color w:val="auto"/>
        </w:rPr>
        <w:t>Section 7.03(l)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do not at any time encumber any Collateral and</w:t>
      </w:r>
    </w:p>
    <w:p>
      <w:pPr>
        <w:spacing w:after="0" w:line="46" w:lineRule="exact"/>
        <w:rPr>
          <w:rFonts w:ascii="Arial" w:cs="Arial" w:eastAsia="Arial" w:hAnsi="Arial"/>
          <w:sz w:val="16"/>
          <w:szCs w:val="16"/>
          <w:color w:val="auto"/>
        </w:rPr>
      </w:pPr>
    </w:p>
    <w:p>
      <w:pPr>
        <w:ind w:right="420" w:firstLine="8"/>
        <w:spacing w:after="0" w:line="261" w:lineRule="auto"/>
        <w:tabs>
          <w:tab w:leader="none" w:pos="26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aggregate value of property (calculated using the cost thereof) subject to such Liens at any time shall not exceed 105% of the aggregate principal amount of such Indebtedness;</w:t>
      </w:r>
    </w:p>
    <w:p>
      <w:pPr>
        <w:spacing w:after="0" w:line="183" w:lineRule="exact"/>
        <w:rPr>
          <w:rFonts w:ascii="Arial" w:cs="Arial" w:eastAsia="Arial" w:hAnsi="Arial"/>
          <w:sz w:val="18"/>
          <w:szCs w:val="18"/>
          <w:color w:val="auto"/>
        </w:rPr>
      </w:pPr>
    </w:p>
    <w:p>
      <w:pPr>
        <w:ind w:right="860" w:firstLine="656"/>
        <w:spacing w:after="0" w:line="342" w:lineRule="auto"/>
        <w:tabs>
          <w:tab w:leader="none" w:pos="1304"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cash collateral provided in the ordinary course of business under commodities hedging agreements (including synthetic hedging agreements) permitted under </w:t>
      </w:r>
      <w:r>
        <w:rPr>
          <w:rFonts w:ascii="Arial" w:cs="Arial" w:eastAsia="Arial" w:hAnsi="Arial"/>
          <w:sz w:val="16"/>
          <w:szCs w:val="16"/>
          <w:u w:val="single" w:color="auto"/>
          <w:color w:val="auto"/>
        </w:rPr>
        <w:t>Section 7.03(e)</w:t>
      </w:r>
      <w:r>
        <w:rPr>
          <w:rFonts w:ascii="Arial" w:cs="Arial" w:eastAsia="Arial" w:hAnsi="Arial"/>
          <w:sz w:val="16"/>
          <w:szCs w:val="16"/>
          <w:color w:val="auto"/>
        </w:rPr>
        <w:t xml:space="preserve"> as required due to fluctuations in the price of the underlying commodities of such agreements;</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(i) Liens on Related Rights and Property in favor of any transferee of accounts receivable Disposed of pursuant to </w:t>
      </w:r>
      <w:r>
        <w:rPr>
          <w:rFonts w:ascii="Arial" w:cs="Arial" w:eastAsia="Arial" w:hAnsi="Arial"/>
          <w:sz w:val="16"/>
          <w:szCs w:val="16"/>
          <w:u w:val="single" w:color="auto"/>
          <w:color w:val="auto"/>
        </w:rPr>
        <w:t>Section 7.05(e)</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7.03(f)(ii)</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320" w:hanging="664"/>
        <w:spacing w:after="0"/>
        <w:tabs>
          <w:tab w:leader="none" w:pos="13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7.03(p)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656"/>
        <w:spacing w:after="0" w:line="259" w:lineRule="auto"/>
        <w:tabs>
          <w:tab w:leader="none" w:pos="131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Liens incurred in connection with any Netting Arrangement,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encumber any property of a Borrower or a Restricted Subsidiary other than the rights of such Borrower or Restricted Subsidiary in any obligations owing to it by a Counterparty under any transaction and its contractual rights against a Counterparty under any transaction (i.e., all receivables and general intangibles for which such Counterparty is the obligor); and</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Liens not otherwise permitted hereunder securing obligations the amount of which shall at no time exceed $1,000,000 in the aggregate.</w:t>
      </w:r>
    </w:p>
    <w:p>
      <w:pPr>
        <w:spacing w:after="0" w:line="24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6"/>
          <w:szCs w:val="16"/>
          <w:b w:val="1"/>
          <w:bCs w:val="1"/>
          <w:color w:val="auto"/>
        </w:rPr>
        <w:t>Investments</w:t>
      </w:r>
      <w:r>
        <w:rPr>
          <w:rFonts w:ascii="Arial" w:cs="Arial" w:eastAsia="Arial" w:hAnsi="Arial"/>
          <w:sz w:val="16"/>
          <w:szCs w:val="16"/>
          <w:color w:val="auto"/>
        </w:rPr>
        <w:t>. Make any Investments, except:</w:t>
      </w:r>
    </w:p>
    <w:p>
      <w:pPr>
        <w:spacing w:after="0" w:line="229" w:lineRule="exact"/>
        <w:rPr>
          <w:sz w:val="20"/>
          <w:szCs w:val="20"/>
          <w:color w:val="auto"/>
        </w:rPr>
      </w:pPr>
    </w:p>
    <w:p>
      <w:pPr>
        <w:ind w:left="1300" w:hanging="644"/>
        <w:spacing w:after="0"/>
        <w:tabs>
          <w:tab w:leader="none" w:pos="1300"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Investments held by such Borrower or such Restricted Subsidiary in the form of cash, cash equivalents or short-term marketable debt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0" w:lineRule="exact"/>
        <w:rPr>
          <w:rFonts w:ascii="Arial" w:cs="Arial" w:eastAsia="Arial" w:hAnsi="Arial"/>
          <w:sz w:val="17"/>
          <w:szCs w:val="17"/>
          <w:color w:val="auto"/>
        </w:rPr>
      </w:pPr>
    </w:p>
    <w:p>
      <w:pPr>
        <w:ind w:left="1320" w:hanging="664"/>
        <w:spacing w:after="0"/>
        <w:tabs>
          <w:tab w:leader="none" w:pos="13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 Investments by any Borrower or any Restricted Subsidiary in their respective Restricted Subsidiaries outstanding on the date hereof and</w:t>
      </w:r>
    </w:p>
    <w:p>
      <w:pPr>
        <w:spacing w:after="0" w:line="46" w:lineRule="exact"/>
        <w:rPr>
          <w:rFonts w:ascii="Arial" w:cs="Arial" w:eastAsia="Arial" w:hAnsi="Arial"/>
          <w:sz w:val="16"/>
          <w:szCs w:val="16"/>
          <w:color w:val="auto"/>
        </w:rPr>
      </w:pPr>
    </w:p>
    <w:p>
      <w:pPr>
        <w:ind w:right="140" w:firstLine="8"/>
        <w:spacing w:after="0" w:line="261" w:lineRule="auto"/>
        <w:tabs>
          <w:tab w:leader="none" w:pos="26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additional Investments after the Closing Date by any Borrower or any Restricted Subsidiary in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upon giving effect to such Investment in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the 80% Guarantor Threshold is satisfied;</w:t>
      </w:r>
    </w:p>
    <w:p>
      <w:pPr>
        <w:spacing w:after="0" w:line="183" w:lineRule="exact"/>
        <w:rPr>
          <w:rFonts w:ascii="Arial" w:cs="Arial" w:eastAsia="Arial" w:hAnsi="Arial"/>
          <w:sz w:val="18"/>
          <w:szCs w:val="18"/>
          <w:color w:val="auto"/>
        </w:rPr>
      </w:pPr>
    </w:p>
    <w:p>
      <w:pPr>
        <w:ind w:right="100" w:firstLine="656"/>
        <w:spacing w:after="0" w:line="264" w:lineRule="auto"/>
        <w:tabs>
          <w:tab w:leader="none" w:pos="130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to the extent constituting Investments, transactions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Investments existing on the date hereof (other than those referred to in </w:t>
      </w:r>
      <w:r>
        <w:rPr>
          <w:rFonts w:ascii="Arial" w:cs="Arial" w:eastAsia="Arial" w:hAnsi="Arial"/>
          <w:sz w:val="18"/>
          <w:szCs w:val="18"/>
          <w:u w:val="single" w:color="auto"/>
          <w:color w:val="auto"/>
        </w:rPr>
        <w:t>Section 7.02(b)(i)</w:t>
      </w:r>
      <w:r>
        <w:rPr>
          <w:rFonts w:ascii="Arial" w:cs="Arial" w:eastAsia="Arial" w:hAnsi="Arial"/>
          <w:sz w:val="18"/>
          <w:szCs w:val="18"/>
          <w:color w:val="auto"/>
        </w:rPr>
        <w:t xml:space="preserve">) and set forth on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Investments constituting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Acquisition made pursuant to this </w:t>
      </w:r>
      <w:r>
        <w:rPr>
          <w:rFonts w:ascii="Arial" w:cs="Arial" w:eastAsia="Arial" w:hAnsi="Arial"/>
          <w:sz w:val="18"/>
          <w:szCs w:val="18"/>
          <w:u w:val="single" w:color="auto"/>
          <w:color w:val="auto"/>
        </w:rPr>
        <w:t>Section 7.02(f)</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right="140" w:firstLine="647"/>
        <w:spacing w:after="0" w:line="277" w:lineRule="auto"/>
        <w:tabs>
          <w:tab w:leader="none" w:pos="213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any Restricted Subsidiary created to consummate, or acquired as a result of, such Acquisition shall comply with the applicable requirements of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20" w:right="260" w:firstLine="647"/>
        <w:spacing w:after="0" w:line="264" w:lineRule="auto"/>
        <w:tabs>
          <w:tab w:leader="none" w:pos="21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lines of business of the Person to be (or the property of which is to be) so purchased or otherwise acquired shall not be substantially different from the marketing, sale, financing, distribution or brokerage of fuel and/or energy products or the provision of ancillary services related or incidental thereto;</w:t>
      </w:r>
    </w:p>
    <w:p>
      <w:pPr>
        <w:spacing w:after="0" w:line="181" w:lineRule="exact"/>
        <w:rPr>
          <w:rFonts w:ascii="Arial" w:cs="Arial" w:eastAsia="Arial" w:hAnsi="Arial"/>
          <w:sz w:val="18"/>
          <w:szCs w:val="18"/>
          <w:color w:val="auto"/>
        </w:rPr>
      </w:pPr>
    </w:p>
    <w:p>
      <w:pPr>
        <w:ind w:left="2160" w:hanging="693"/>
        <w:spacing w:after="0"/>
        <w:tabs>
          <w:tab w:leader="none" w:pos="21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immediately before and immediately after giving effect to any such Acquisition no Default shall have occurred and be</w:t>
      </w:r>
    </w:p>
    <w:p>
      <w:pPr>
        <w:spacing w:after="0" w:line="34" w:lineRule="exact"/>
        <w:rPr>
          <w:rFonts w:ascii="Arial" w:cs="Arial" w:eastAsia="Arial" w:hAnsi="Arial"/>
          <w:sz w:val="17"/>
          <w:szCs w:val="17"/>
          <w:color w:val="auto"/>
        </w:rPr>
      </w:pPr>
    </w:p>
    <w:p>
      <w:pPr>
        <w:ind w:left="820"/>
        <w:spacing w:after="0"/>
        <w:rPr>
          <w:rFonts w:ascii="Arial" w:cs="Arial" w:eastAsia="Arial" w:hAnsi="Arial"/>
          <w:sz w:val="17"/>
          <w:szCs w:val="17"/>
          <w:color w:val="auto"/>
        </w:rPr>
      </w:pPr>
      <w:r>
        <w:rPr>
          <w:rFonts w:ascii="Arial" w:cs="Arial" w:eastAsia="Arial" w:hAnsi="Arial"/>
          <w:sz w:val="18"/>
          <w:szCs w:val="18"/>
          <w:color w:val="auto"/>
        </w:rPr>
        <w:t>continuing,</w:t>
      </w:r>
    </w:p>
    <w:p>
      <w:pPr>
        <w:spacing w:after="0" w:line="210" w:lineRule="exact"/>
        <w:rPr>
          <w:rFonts w:ascii="Arial" w:cs="Arial" w:eastAsia="Arial" w:hAnsi="Arial"/>
          <w:sz w:val="17"/>
          <w:szCs w:val="17"/>
          <w:color w:val="auto"/>
        </w:rPr>
      </w:pPr>
    </w:p>
    <w:p>
      <w:pPr>
        <w:ind w:left="820" w:right="200" w:firstLine="647"/>
        <w:spacing w:after="0" w:line="342" w:lineRule="auto"/>
        <w:tabs>
          <w:tab w:leader="none" w:pos="213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the Consolidated Senior Leverage Ratio is less than </w:t>
      </w:r>
      <w:r>
        <w:rPr>
          <w:rFonts w:ascii="Arial" w:cs="Arial" w:eastAsia="Arial" w:hAnsi="Arial"/>
          <w:sz w:val="16"/>
          <w:szCs w:val="16"/>
          <w:u w:val="single" w:color="auto"/>
          <w:color w:val="auto"/>
        </w:rPr>
        <w:t>3.50</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1.00</w:t>
      </w:r>
      <w:r>
        <w:rPr>
          <w:rFonts w:ascii="Arial" w:cs="Arial" w:eastAsia="Arial" w:hAnsi="Arial"/>
          <w:sz w:val="16"/>
          <w:szCs w:val="16"/>
          <w:color w:val="auto"/>
        </w:rPr>
        <w:t>, both immediately before such Acquisition and immediately after giving effect to such Acquisition on a pro forma basis as if such Acquisition occurred on the first day of the four-fiscal quarter period most</w:t>
      </w:r>
    </w:p>
    <w:p>
      <w:pPr>
        <w:sectPr>
          <w:pgSz w:w="11900" w:h="16975" w:orient="portrait"/>
          <w:cols w:equalWidth="0" w:num="1">
            <w:col w:w="11380"/>
          </w:cols>
          <w:pgMar w:left="240" w:top="341" w:right="279" w:bottom="0" w:gutter="0" w:footer="0" w:header="0"/>
        </w:sectPr>
      </w:pPr>
    </w:p>
    <w:bookmarkStart w:id="56" w:name="page57"/>
    <w:bookmarkEnd w:id="56"/>
    <w:p>
      <w:pPr>
        <w:spacing w:after="0" w:line="36" w:lineRule="exact"/>
        <w:rPr>
          <w:sz w:val="20"/>
          <w:szCs w:val="20"/>
          <w:color w:val="auto"/>
        </w:rPr>
      </w:pPr>
    </w:p>
    <w:p>
      <w:pPr>
        <w:ind w:left="820" w:right="60"/>
        <w:spacing w:after="0" w:line="255" w:lineRule="auto"/>
        <w:rPr>
          <w:sz w:val="20"/>
          <w:szCs w:val="20"/>
          <w:color w:val="auto"/>
        </w:rPr>
      </w:pPr>
      <w:r>
        <w:rPr>
          <w:rFonts w:ascii="Arial" w:cs="Arial" w:eastAsia="Arial" w:hAnsi="Arial"/>
          <w:sz w:val="18"/>
          <w:szCs w:val="18"/>
          <w:color w:val="auto"/>
        </w:rPr>
        <w:t xml:space="preserve">recently ended for which financial information has been delivered to the Administrative Agent and the Lenders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the case may be (except that, in the case of any Acquisition consummated after the end of the fourth fiscal quarter of a fiscal year and prior to the delivery of audited financials for such fiscal year, such pro forma calculations may be based, to the extent approved by Administrative Agent, on financial information that complies with the requirements of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and, in the case of any Acquisition for consideration in excess of the Threshold Amount, WFS shall have delivered to the Administrative Agent a Compliance Certificate demonstrating compliance with the requirements of this </w:t>
      </w:r>
      <w:r>
        <w:rPr>
          <w:rFonts w:ascii="Arial" w:cs="Arial" w:eastAsia="Arial" w:hAnsi="Arial"/>
          <w:sz w:val="18"/>
          <w:szCs w:val="18"/>
          <w:u w:val="single" w:color="auto"/>
          <w:color w:val="auto"/>
        </w:rPr>
        <w:t>clause (iv)</w:t>
      </w:r>
      <w:r>
        <w:rPr>
          <w:rFonts w:ascii="Arial" w:cs="Arial" w:eastAsia="Arial" w:hAnsi="Arial"/>
          <w:sz w:val="18"/>
          <w:szCs w:val="18"/>
          <w:color w:val="auto"/>
        </w:rPr>
        <w:t>;</w:t>
      </w:r>
    </w:p>
    <w:p>
      <w:pPr>
        <w:spacing w:after="0" w:line="193" w:lineRule="exact"/>
        <w:rPr>
          <w:sz w:val="20"/>
          <w:szCs w:val="20"/>
          <w:color w:val="auto"/>
        </w:rPr>
      </w:pPr>
    </w:p>
    <w:p>
      <w:pPr>
        <w:ind w:left="820" w:right="800" w:firstLine="647"/>
        <w:spacing w:after="0" w:line="342" w:lineRule="auto"/>
        <w:tabs>
          <w:tab w:leader="none" w:pos="2124"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on the date of the certificate delivered pursuant to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7.02(f)</w:t>
      </w:r>
      <w:r>
        <w:rPr>
          <w:rFonts w:ascii="Arial" w:cs="Arial" w:eastAsia="Arial" w:hAnsi="Arial"/>
          <w:sz w:val="16"/>
          <w:szCs w:val="16"/>
          <w:color w:val="auto"/>
        </w:rPr>
        <w:t xml:space="preserve"> and after giving effect to any such Acquisition (and any incurrence of Indebtedness in connection therewith) Available Liquidity shall not be less than $200,000,000; and</w:t>
      </w:r>
    </w:p>
    <w:p>
      <w:pPr>
        <w:spacing w:after="0" w:line="123" w:lineRule="exact"/>
        <w:rPr>
          <w:rFonts w:ascii="Arial" w:cs="Arial" w:eastAsia="Arial" w:hAnsi="Arial"/>
          <w:sz w:val="16"/>
          <w:szCs w:val="16"/>
          <w:color w:val="auto"/>
        </w:rPr>
      </w:pPr>
    </w:p>
    <w:p>
      <w:pPr>
        <w:ind w:left="820" w:firstLine="647"/>
        <w:spacing w:after="0" w:line="259" w:lineRule="auto"/>
        <w:tabs>
          <w:tab w:leader="none" w:pos="213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if such Acquisition is for consideration in excess of the Threshold Amount, the Borrowing Agent shall have delivered to the Administrative Agent, on or prior to the date on which such Acquisition is to be consummated, a certificate of a Responsible Officer certifying that all of the requirements set forth in this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subsection (f)</w:t>
      </w:r>
      <w:r>
        <w:rPr>
          <w:rFonts w:ascii="Arial" w:cs="Arial" w:eastAsia="Arial" w:hAnsi="Arial"/>
          <w:sz w:val="18"/>
          <w:szCs w:val="18"/>
          <w:color w:val="auto"/>
        </w:rPr>
        <w:t>) have been satisfied or will be satisfied on or prior to the consummation of such Acquisition;</w:t>
      </w:r>
    </w:p>
    <w:p>
      <w:pPr>
        <w:spacing w:after="0" w:line="186" w:lineRule="exact"/>
        <w:rPr>
          <w:rFonts w:ascii="Arial" w:cs="Arial" w:eastAsia="Arial" w:hAnsi="Arial"/>
          <w:sz w:val="18"/>
          <w:szCs w:val="18"/>
          <w:color w:val="auto"/>
        </w:rPr>
      </w:pPr>
    </w:p>
    <w:p>
      <w:pPr>
        <w:ind w:right="140" w:firstLine="656"/>
        <w:spacing w:after="0" w:line="264" w:lineRule="auto"/>
        <w:tabs>
          <w:tab w:leader="none" w:pos="131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Investments in the form of loans or other similar credit arrangements made to customers in consideration for the receipt of a commercial contract for the marketing, sale, financing, distribution or brokerage of fuel and/or energy products or the provision of ancillary services related or incidental thereto;</w:t>
      </w:r>
    </w:p>
    <w:p>
      <w:pPr>
        <w:spacing w:after="0" w:line="181" w:lineRule="exact"/>
        <w:rPr>
          <w:rFonts w:ascii="Arial" w:cs="Arial" w:eastAsia="Arial" w:hAnsi="Arial"/>
          <w:sz w:val="18"/>
          <w:szCs w:val="18"/>
          <w:color w:val="auto"/>
        </w:rPr>
      </w:pPr>
    </w:p>
    <w:p>
      <w:pPr>
        <w:ind w:right="20" w:firstLine="656"/>
        <w:spacing w:after="0" w:line="277" w:lineRule="auto"/>
        <w:tabs>
          <w:tab w:leader="none" w:pos="130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Investments in securities of Account Debtors received pursuant to any plan of reorganization or similar arrangement upon the bankruptcy or insolvency of such Account Debtors;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Investments in Unrestricted Subsidiaries in an aggregate amount not to exceed $150,000,000 outstanding at any time;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64" w:lineRule="auto"/>
        <w:tabs>
          <w:tab w:leader="none" w:pos="130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other Investments, including Investments in excess of amounts permitted by </w:t>
      </w:r>
      <w:r>
        <w:rPr>
          <w:rFonts w:ascii="Arial" w:cs="Arial" w:eastAsia="Arial" w:hAnsi="Arial"/>
          <w:sz w:val="18"/>
          <w:szCs w:val="18"/>
          <w:u w:val="single" w:color="auto"/>
          <w:color w:val="auto"/>
        </w:rPr>
        <w:t>Section 7.02(i)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book value thereof shall not exceed 10% of the aggregate book value of the assets (tangible and intangible) of WFS and its Restricted Subsidiaries, on a consolidated basis, without giving effect to any such Investment.</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7.03</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Create, incur, assume or suffer to exist any Indebtedness, except:</w:t>
      </w:r>
    </w:p>
    <w:p>
      <w:pPr>
        <w:spacing w:after="0" w:line="229" w:lineRule="exact"/>
        <w:rPr>
          <w:sz w:val="20"/>
          <w:szCs w:val="20"/>
          <w:color w:val="auto"/>
        </w:rPr>
      </w:pPr>
    </w:p>
    <w:p>
      <w:pPr>
        <w:ind w:left="1300" w:hanging="644"/>
        <w:spacing w:after="0"/>
        <w:tabs>
          <w:tab w:leader="none" w:pos="130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ind w:right="40" w:firstLine="656"/>
        <w:spacing w:after="0" w:line="271" w:lineRule="auto"/>
        <w:tabs>
          <w:tab w:leader="none" w:pos="1304" w:val="left"/>
        </w:tabs>
        <w:numPr>
          <w:ilvl w:val="1"/>
          <w:numId w:val="166"/>
        </w:numPr>
        <w:rPr>
          <w:rFonts w:ascii="Arial" w:cs="Arial" w:eastAsia="Arial" w:hAnsi="Arial"/>
          <w:sz w:val="17"/>
          <w:szCs w:val="17"/>
          <w:color w:val="auto"/>
        </w:rPr>
      </w:pPr>
      <w:r>
        <w:rPr>
          <w:rFonts w:ascii="Arial" w:cs="Arial" w:eastAsia="Arial" w:hAnsi="Arial"/>
          <w:sz w:val="17"/>
          <w:szCs w:val="17"/>
          <w:color w:val="auto"/>
        </w:rPr>
        <w:t xml:space="preserve">Indebtedness outstanding on the Closing Date and listed on </w:t>
      </w:r>
      <w:r>
        <w:rPr>
          <w:rFonts w:ascii="Arial" w:cs="Arial" w:eastAsia="Arial" w:hAnsi="Arial"/>
          <w:sz w:val="17"/>
          <w:szCs w:val="17"/>
          <w:u w:val="single" w:color="auto"/>
          <w:color w:val="auto"/>
        </w:rPr>
        <w:t>Schedule 7.03</w:t>
      </w:r>
      <w:r>
        <w:rPr>
          <w:rFonts w:ascii="Arial" w:cs="Arial" w:eastAsia="Arial" w:hAnsi="Arial"/>
          <w:sz w:val="17"/>
          <w:szCs w:val="17"/>
          <w:color w:val="auto"/>
        </w:rPr>
        <w:t xml:space="preserve"> and any refinancings, refundings, renewals or extensions thereof, of Senior Note Indebtedness and of Indebtedness represented by Permitted Convertible Notes;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(ii) the terms relating to principal amount, interest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w:t>
      </w:r>
    </w:p>
    <w:p>
      <w:pPr>
        <w:spacing w:after="0" w:line="178" w:lineRule="exact"/>
        <w:rPr>
          <w:rFonts w:ascii="Arial" w:cs="Arial" w:eastAsia="Arial" w:hAnsi="Arial"/>
          <w:sz w:val="17"/>
          <w:szCs w:val="17"/>
          <w:color w:val="auto"/>
        </w:rPr>
      </w:pPr>
    </w:p>
    <w:p>
      <w:pPr>
        <w:ind w:right="220" w:firstLine="656"/>
        <w:spacing w:after="0" w:line="286" w:lineRule="auto"/>
        <w:tabs>
          <w:tab w:leader="none" w:pos="1307" w:val="left"/>
        </w:tabs>
        <w:numPr>
          <w:ilvl w:val="1"/>
          <w:numId w:val="166"/>
        </w:numPr>
        <w:rPr>
          <w:rFonts w:ascii="Arial" w:cs="Arial" w:eastAsia="Arial" w:hAnsi="Arial"/>
          <w:sz w:val="17"/>
          <w:szCs w:val="17"/>
          <w:color w:val="auto"/>
        </w:rPr>
      </w:pPr>
      <w:r>
        <w:rPr>
          <w:rFonts w:ascii="Arial" w:cs="Arial" w:eastAsia="Arial" w:hAnsi="Arial"/>
          <w:sz w:val="17"/>
          <w:szCs w:val="17"/>
          <w:color w:val="auto"/>
        </w:rPr>
        <w:t xml:space="preserve">(i) Indebtedness of a Loan Party owed to another Loan Party, (ii) Indebtedness of a Restricted Subsidiary that is not a Loan Party owed to another Restricted Subsidiary that is not a Loan Party and (iii) any other Indebtedness between a Borrower or any Restricted Subsidiary and another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immediately upon giving effect to such Indebtedness in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the 80% Guarantor Threshold is satisfied;</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Guarantees made by any Borrower or any Restricted Subsidiary in respect of Indebtedness of any Loan Party otherwise permitted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hereunder;</w:t>
      </w:r>
    </w:p>
    <w:p>
      <w:pPr>
        <w:spacing w:after="0" w:line="210" w:lineRule="exact"/>
        <w:rPr>
          <w:rFonts w:ascii="Arial" w:cs="Arial" w:eastAsia="Arial" w:hAnsi="Arial"/>
          <w:sz w:val="17"/>
          <w:szCs w:val="17"/>
          <w:color w:val="auto"/>
        </w:rPr>
      </w:pPr>
    </w:p>
    <w:p>
      <w:pPr>
        <w:jc w:val="both"/>
        <w:ind w:right="160" w:firstLine="656"/>
        <w:spacing w:after="0" w:line="259" w:lineRule="auto"/>
        <w:tabs>
          <w:tab w:leader="none" w:pos="1307"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of any Borrower or any Restricted Subsidiary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obligations are (or were) entered into by such Person in the ordinary course of business for the purpose of mitigating risks, and not for the sole purpose of speculation or (B) in the event that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does not apply to such obligations, the aggregate amount of such obligations at any one time outstanding shall not exceed a net payable of $50,000,000;</w:t>
      </w:r>
    </w:p>
    <w:p>
      <w:pPr>
        <w:spacing w:after="0" w:line="186" w:lineRule="exact"/>
        <w:rPr>
          <w:rFonts w:ascii="Arial" w:cs="Arial" w:eastAsia="Arial" w:hAnsi="Arial"/>
          <w:sz w:val="18"/>
          <w:szCs w:val="18"/>
          <w:color w:val="auto"/>
        </w:rPr>
      </w:pPr>
    </w:p>
    <w:p>
      <w:pPr>
        <w:ind w:right="100" w:firstLine="656"/>
        <w:spacing w:after="0" w:line="286" w:lineRule="auto"/>
        <w:tabs>
          <w:tab w:leader="none" w:pos="1301"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(i) Indebtedness in respect of Capital Leases, Synthetic Lease Obligations and purchase money obligations for fixed or capital assets (other than such Indebtedness assumed pursuant to </w:t>
      </w:r>
      <w:r>
        <w:rPr>
          <w:rFonts w:ascii="Arial" w:cs="Arial" w:eastAsia="Arial" w:hAnsi="Arial"/>
          <w:sz w:val="16"/>
          <w:szCs w:val="16"/>
          <w:u w:val="single" w:color="auto"/>
          <w:color w:val="auto"/>
        </w:rPr>
        <w:t>Section 7.03(k)</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aggregate principal amount of all such Indebtedness at any one time outstanding shall not exceed $50,000,000, and (ii) Indebtedness secured by accounts receivable of WFS and/or any of its Restricted Subsidiaries in an aggregate amount, which together with Dispositions made pursuant to Section 7.05(e), shall not exceed at any time the greater of (i) $100,000,000 or</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fifteen percent (15%) of the net book value of accounts receivable of WFS and its Restricted Subsidiaries on a consolidated basis at such time;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firstLine="656"/>
        <w:spacing w:after="0" w:line="342" w:lineRule="auto"/>
        <w:tabs>
          <w:tab w:leader="none" w:pos="1317"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Subordinated Debt, so long as with respect to the Permitted Convertible Notes, immediately before and immediately after the issuance thereof, (i) no Event of Default shall have occurred and be continuing and (ii) the Borrowers shall be in pro forma compliance with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to the extent constituting Indebtedness, Investments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40" w:firstLine="656"/>
        <w:spacing w:after="0" w:line="277" w:lineRule="auto"/>
        <w:tabs>
          <w:tab w:leader="none" w:pos="131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Indebtedness securing Liens permitted by </w:t>
      </w:r>
      <w:r>
        <w:rPr>
          <w:rFonts w:ascii="Arial" w:cs="Arial" w:eastAsia="Arial" w:hAnsi="Arial"/>
          <w:sz w:val="18"/>
          <w:szCs w:val="18"/>
          <w:u w:val="single" w:color="auto"/>
          <w:color w:val="auto"/>
        </w:rPr>
        <w:t>Section 7.01(g)</w:t>
      </w:r>
      <w:r>
        <w:rPr>
          <w:rFonts w:ascii="Arial" w:cs="Arial" w:eastAsia="Arial" w:hAnsi="Arial"/>
          <w:sz w:val="18"/>
          <w:szCs w:val="18"/>
          <w:color w:val="auto"/>
        </w:rPr>
        <w:t xml:space="preserve"> and endorsements for collection, deposit or negotiation and warranties of products or services, in each case incurred in the ordinary course of business;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Indebtedness under any performance or surety bond entered into in the ordinary course of business;</w:t>
      </w:r>
    </w:p>
    <w:p>
      <w:pPr>
        <w:sectPr>
          <w:pgSz w:w="11900" w:h="16874" w:orient="portrait"/>
          <w:cols w:equalWidth="0" w:num="1">
            <w:col w:w="11420"/>
          </w:cols>
          <w:pgMar w:left="240" w:top="125" w:right="239" w:bottom="0" w:gutter="0" w:footer="0" w:header="0"/>
        </w:sectPr>
      </w:pPr>
    </w:p>
    <w:bookmarkStart w:id="57" w:name="page58"/>
    <w:bookmarkEnd w:id="57"/>
    <w:p>
      <w:pPr>
        <w:ind w:right="420" w:firstLine="656"/>
        <w:spacing w:after="0" w:line="277" w:lineRule="auto"/>
        <w:tabs>
          <w:tab w:leader="none" w:pos="130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existing Indebtedness of a Person acquired in connection with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Indebtedness was not incurred in anticipation of such Acquisition;</w:t>
      </w:r>
    </w:p>
    <w:p>
      <w:pPr>
        <w:spacing w:after="0" w:line="170" w:lineRule="exact"/>
        <w:rPr>
          <w:rFonts w:ascii="Arial" w:cs="Arial" w:eastAsia="Arial" w:hAnsi="Arial"/>
          <w:sz w:val="18"/>
          <w:szCs w:val="18"/>
          <w:color w:val="auto"/>
        </w:rPr>
      </w:pPr>
    </w:p>
    <w:p>
      <w:pPr>
        <w:ind w:right="140" w:firstLine="656"/>
        <w:spacing w:after="0" w:line="264" w:lineRule="auto"/>
        <w:tabs>
          <w:tab w:leader="none" w:pos="131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7.01(n)</w:t>
      </w:r>
      <w:r>
        <w:rPr>
          <w:rFonts w:ascii="Arial" w:cs="Arial" w:eastAsia="Arial" w:hAnsi="Arial"/>
          <w:sz w:val="18"/>
          <w:szCs w:val="18"/>
          <w:color w:val="auto"/>
        </w:rPr>
        <w:t xml:space="preserve">, Capital Leases and purchase money obligations for fixed or capital assets in excess of amounts permitted under </w:t>
      </w:r>
      <w:r>
        <w:rPr>
          <w:rFonts w:ascii="Arial" w:cs="Arial" w:eastAsia="Arial" w:hAnsi="Arial"/>
          <w:sz w:val="18"/>
          <w:szCs w:val="18"/>
          <w:u w:val="single" w:color="auto"/>
          <w:color w:val="auto"/>
        </w:rPr>
        <w:t>Section 7.03(f)</w:t>
      </w:r>
      <w:r>
        <w:rPr>
          <w:rFonts w:ascii="Arial" w:cs="Arial" w:eastAsia="Arial" w:hAnsi="Arial"/>
          <w:sz w:val="18"/>
          <w:szCs w:val="18"/>
          <w:color w:val="auto"/>
        </w:rPr>
        <w:t xml:space="preserve"> (other than any such Indebtedness assumed pursuant to </w:t>
      </w:r>
      <w:r>
        <w:rPr>
          <w:rFonts w:ascii="Arial" w:cs="Arial" w:eastAsia="Arial" w:hAnsi="Arial"/>
          <w:sz w:val="18"/>
          <w:szCs w:val="18"/>
          <w:u w:val="single" w:color="auto"/>
          <w:color w:val="auto"/>
        </w:rPr>
        <w:t>Section 7.03(k)</w:t>
      </w:r>
      <w:r>
        <w:rPr>
          <w:rFonts w:ascii="Arial" w:cs="Arial" w:eastAsia="Arial" w:hAnsi="Arial"/>
          <w:sz w:val="18"/>
          <w:szCs w:val="18"/>
          <w:color w:val="auto"/>
        </w:rPr>
        <w:t xml:space="preserve">) and other secured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principal amount of such Indebtedness at any one time outstanding shall not exceed $40,000,000;</w:t>
      </w:r>
    </w:p>
    <w:p>
      <w:pPr>
        <w:spacing w:after="0" w:line="181" w:lineRule="exact"/>
        <w:rPr>
          <w:rFonts w:ascii="Arial" w:cs="Arial" w:eastAsia="Arial" w:hAnsi="Arial"/>
          <w:sz w:val="18"/>
          <w:szCs w:val="18"/>
          <w:color w:val="auto"/>
        </w:rPr>
      </w:pPr>
    </w:p>
    <w:p>
      <w:pPr>
        <w:ind w:right="120" w:firstLine="656"/>
        <w:spacing w:after="0" w:line="264" w:lineRule="auto"/>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unsecured Indebtedness not otherwise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before and immediately after giving effect to any incurrence of such Indebtedness (A) no Default shall have occurred and be continuing, and (B) the Borrowers are in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WFS Working Capital Guarantee;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Indebtedness arising under any Permitted Call Spread Swap Agreement;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Senior Note Indebtedness, so long as (i) no Default shall exist or would occur as a result from the incurrence of such Indebtedness,</w:t>
      </w:r>
    </w:p>
    <w:p>
      <w:pPr>
        <w:spacing w:after="0" w:line="46" w:lineRule="exact"/>
        <w:rPr>
          <w:rFonts w:ascii="Arial" w:cs="Arial" w:eastAsia="Arial" w:hAnsi="Arial"/>
          <w:sz w:val="16"/>
          <w:szCs w:val="16"/>
          <w:color w:val="auto"/>
        </w:rPr>
      </w:pPr>
    </w:p>
    <w:p>
      <w:pPr>
        <w:ind w:right="220" w:firstLine="8"/>
        <w:spacing w:after="0" w:line="255" w:lineRule="auto"/>
        <w:tabs>
          <w:tab w:leader="none" w:pos="26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after giving pro forma effect to the incurrence of such Indebtedness, the Consolidated Total Leverage Ratio shall be less than 3.25 to 1.00, and (iii) such secured Indebtedness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is junior in right of payment to the Indebtedness under this Agreement and is subject to Intercreditor Agreement.</w:t>
      </w:r>
    </w:p>
    <w:p>
      <w:pPr>
        <w:spacing w:after="0" w:line="186" w:lineRule="exact"/>
        <w:rPr>
          <w:sz w:val="20"/>
          <w:szCs w:val="20"/>
          <w:color w:val="auto"/>
        </w:rPr>
      </w:pPr>
    </w:p>
    <w:p>
      <w:pPr>
        <w:jc w:val="both"/>
        <w:ind w:right="180" w:firstLine="648"/>
        <w:spacing w:after="0" w:line="266" w:lineRule="auto"/>
        <w:rPr>
          <w:sz w:val="20"/>
          <w:szCs w:val="20"/>
          <w:color w:val="auto"/>
        </w:rPr>
      </w:pPr>
      <w:r>
        <w:rPr>
          <w:rFonts w:ascii="Arial" w:cs="Arial" w:eastAsia="Arial" w:hAnsi="Arial"/>
          <w:sz w:val="18"/>
          <w:szCs w:val="18"/>
          <w:b w:val="1"/>
          <w:bCs w:val="1"/>
          <w:color w:val="auto"/>
        </w:rPr>
        <w:t>7.04 Fundamental Changes</w:t>
      </w:r>
      <w:r>
        <w:rPr>
          <w:rFonts w:ascii="Arial" w:cs="Arial" w:eastAsia="Arial" w:hAnsi="Arial"/>
          <w:sz w:val="18"/>
          <w:szCs w:val="18"/>
          <w:color w:val="auto"/>
        </w:rPr>
        <w:t>. Merge, dissolve, liquidate, consolidate with or into another Person, or Dispose of (whether in one transaction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in a series of transactions) all or substantially all of its assets (whether now owned or hereafter acquired) to or in favor of any Person, except that, so long as no Default exists or would result therefrom:</w:t>
      </w:r>
    </w:p>
    <w:p>
      <w:pPr>
        <w:spacing w:after="0" w:line="180" w:lineRule="exact"/>
        <w:rPr>
          <w:sz w:val="20"/>
          <w:szCs w:val="20"/>
          <w:color w:val="auto"/>
        </w:rPr>
      </w:pPr>
    </w:p>
    <w:p>
      <w:pPr>
        <w:ind w:left="1300" w:hanging="644"/>
        <w:spacing w:after="0"/>
        <w:tabs>
          <w:tab w:leader="none" w:pos="130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 xml:space="preserve">any Restricted Subsidiary may merge with (i) any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Borrower shall be the continuing or surviving Person, or</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any one or more other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such merger, the 80% Guarantor Threshold is satisfied;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56"/>
        <w:spacing w:after="0" w:line="277" w:lineRule="auto"/>
        <w:tabs>
          <w:tab w:leader="none" w:pos="130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any Restricted Subsidiary may Dispose of all or substantially all of its assets (upon voluntary liquidation or otherwise) to any Borrower or to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Disposition, the 80% Guarantor Threshold is satisfied.</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7.05</w:t>
      </w:r>
      <w:r>
        <w:rPr>
          <w:sz w:val="20"/>
          <w:szCs w:val="20"/>
          <w:color w:val="auto"/>
        </w:rPr>
        <w:tab/>
      </w:r>
      <w:r>
        <w:rPr>
          <w:rFonts w:ascii="Arial" w:cs="Arial" w:eastAsia="Arial" w:hAnsi="Arial"/>
          <w:sz w:val="16"/>
          <w:szCs w:val="16"/>
          <w:b w:val="1"/>
          <w:bCs w:val="1"/>
          <w:color w:val="auto"/>
        </w:rPr>
        <w:t>Dispositions</w:t>
      </w:r>
      <w:r>
        <w:rPr>
          <w:rFonts w:ascii="Arial" w:cs="Arial" w:eastAsia="Arial" w:hAnsi="Arial"/>
          <w:sz w:val="16"/>
          <w:szCs w:val="16"/>
          <w:color w:val="auto"/>
        </w:rPr>
        <w:t>. Make any Disposition or enter into any agreement to make any Disposition, except:</w:t>
      </w:r>
    </w:p>
    <w:p>
      <w:pPr>
        <w:spacing w:after="0" w:line="229" w:lineRule="exact"/>
        <w:rPr>
          <w:sz w:val="20"/>
          <w:szCs w:val="20"/>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Dispositions of obsolete or worn out property, whether now owned or hereafter acquired;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225" w:lineRule="exact"/>
        <w:rPr>
          <w:rFonts w:ascii="Arial" w:cs="Arial" w:eastAsia="Arial" w:hAnsi="Arial"/>
          <w:sz w:val="18"/>
          <w:szCs w:val="18"/>
          <w:color w:val="auto"/>
        </w:rPr>
      </w:pPr>
    </w:p>
    <w:p>
      <w:pPr>
        <w:ind w:right="300" w:firstLine="656"/>
        <w:spacing w:after="0" w:line="342" w:lineRule="auto"/>
        <w:tabs>
          <w:tab w:leader="none" w:pos="130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Dispositions of equipment to the extent that (i) such equipment is exchanged for credit against the purchase price of similar replacement equipment or (ii) the proceeds of such Disposition are reasonably promptly applied to the purchase price of such replacement equipment;</w:t>
      </w:r>
    </w:p>
    <w:p>
      <w:pPr>
        <w:spacing w:after="0" w:line="123" w:lineRule="exact"/>
        <w:rPr>
          <w:rFonts w:ascii="Arial" w:cs="Arial" w:eastAsia="Arial" w:hAnsi="Arial"/>
          <w:sz w:val="16"/>
          <w:szCs w:val="16"/>
          <w:color w:val="auto"/>
        </w:rPr>
      </w:pPr>
    </w:p>
    <w:p>
      <w:pPr>
        <w:ind w:right="620" w:firstLine="656"/>
        <w:spacing w:after="0" w:line="277" w:lineRule="auto"/>
        <w:tabs>
          <w:tab w:leader="none" w:pos="130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Dispositions of property by any Borrower or any Restricted Subsidiary to any other Borrower or to any 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Disposition, the 80% Guarantor Threshold set forth in </w:t>
      </w:r>
      <w:r>
        <w:rPr>
          <w:rFonts w:ascii="Arial" w:cs="Arial" w:eastAsia="Arial" w:hAnsi="Arial"/>
          <w:sz w:val="18"/>
          <w:szCs w:val="18"/>
          <w:u w:val="single" w:color="auto"/>
          <w:color w:val="auto"/>
        </w:rPr>
        <w:t>Section 6.12(b)</w:t>
      </w:r>
      <w:r>
        <w:rPr>
          <w:rFonts w:ascii="Arial" w:cs="Arial" w:eastAsia="Arial" w:hAnsi="Arial"/>
          <w:sz w:val="18"/>
          <w:szCs w:val="18"/>
          <w:color w:val="auto"/>
        </w:rPr>
        <w:t xml:space="preserve"> is satisfied;</w:t>
      </w:r>
    </w:p>
    <w:p>
      <w:pPr>
        <w:spacing w:after="0" w:line="170" w:lineRule="exact"/>
        <w:rPr>
          <w:rFonts w:ascii="Arial" w:cs="Arial" w:eastAsia="Arial" w:hAnsi="Arial"/>
          <w:sz w:val="18"/>
          <w:szCs w:val="18"/>
          <w:color w:val="auto"/>
        </w:rPr>
      </w:pPr>
    </w:p>
    <w:p>
      <w:pPr>
        <w:jc w:val="both"/>
        <w:ind w:right="460" w:firstLine="656"/>
        <w:spacing w:after="0" w:line="264" w:lineRule="auto"/>
        <w:tabs>
          <w:tab w:leader="none" w:pos="130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Dispositions of accounts receivable on a non-recourse, non-bulk sale basis in an aggregate amount which, together with Indebtedness incurred pursuant to </w:t>
      </w:r>
      <w:r>
        <w:rPr>
          <w:rFonts w:ascii="Arial" w:cs="Arial" w:eastAsia="Arial" w:hAnsi="Arial"/>
          <w:sz w:val="18"/>
          <w:szCs w:val="18"/>
          <w:u w:val="single" w:color="auto"/>
          <w:color w:val="auto"/>
        </w:rPr>
        <w:t>Section 7.03(f)(ii)</w:t>
      </w:r>
      <w:r>
        <w:rPr>
          <w:rFonts w:ascii="Arial" w:cs="Arial" w:eastAsia="Arial" w:hAnsi="Arial"/>
          <w:sz w:val="18"/>
          <w:szCs w:val="18"/>
          <w:color w:val="auto"/>
        </w:rPr>
        <w:t>, shall not exceed at any time the greater of (i) $100,000,000 or (ii) fifteen percent (15%) of the net book value of accounts receivable of WFS and its Restricted Subsidiaries on a consolidated basis at such time;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100" w:firstLine="656"/>
        <w:spacing w:after="0" w:line="259" w:lineRule="auto"/>
        <w:tabs>
          <w:tab w:leader="none" w:pos="131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Dispositions not otherwise permitted under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at the time of such Disposition, no Default shall exist or would result from such Disposition, (ii) the aggregate book value of all property Disposed of in reliance on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in any fiscal year of WFS shall not exceed 10% of the aggregate book value of tangible assets of WFS and its Restricted Subsidiaries on a consolidated basis as of the end of WFS’s most recently completed fiscal year.</w:t>
      </w:r>
    </w:p>
    <w:p>
      <w:pPr>
        <w:spacing w:after="0" w:line="183" w:lineRule="exact"/>
        <w:rPr>
          <w:sz w:val="20"/>
          <w:szCs w:val="20"/>
          <w:color w:val="auto"/>
        </w:rPr>
      </w:pPr>
    </w:p>
    <w:p>
      <w:pPr>
        <w:ind w:right="40" w:firstLine="648"/>
        <w:spacing w:after="0" w:line="313" w:lineRule="auto"/>
        <w:rPr>
          <w:sz w:val="20"/>
          <w:szCs w:val="20"/>
          <w:color w:val="auto"/>
        </w:rPr>
      </w:pPr>
      <w:r>
        <w:rPr>
          <w:rFonts w:ascii="Arial" w:cs="Arial" w:eastAsia="Arial" w:hAnsi="Arial"/>
          <w:sz w:val="17"/>
          <w:szCs w:val="17"/>
          <w:b w:val="1"/>
          <w:bCs w:val="1"/>
          <w:color w:val="auto"/>
        </w:rPr>
        <w:t>7.06 Restricted Payments</w:t>
      </w:r>
      <w:r>
        <w:rPr>
          <w:rFonts w:ascii="Arial" w:cs="Arial" w:eastAsia="Arial" w:hAnsi="Arial"/>
          <w:sz w:val="17"/>
          <w:szCs w:val="17"/>
          <w:color w:val="auto"/>
        </w:rPr>
        <w:t>. Declare or make, directly or indirectly, any Restricted Payment, or incur any obligation (contingent or otherwise) to</w:t>
      </w:r>
      <w:r>
        <w:rPr>
          <w:rFonts w:ascii="Arial" w:cs="Arial" w:eastAsia="Arial" w:hAnsi="Arial"/>
          <w:sz w:val="17"/>
          <w:szCs w:val="17"/>
          <w:b w:val="1"/>
          <w:bCs w:val="1"/>
          <w:color w:val="auto"/>
        </w:rPr>
        <w:t xml:space="preserve"> </w:t>
      </w:r>
      <w:r>
        <w:rPr>
          <w:rFonts w:ascii="Arial" w:cs="Arial" w:eastAsia="Arial" w:hAnsi="Arial"/>
          <w:sz w:val="17"/>
          <w:szCs w:val="17"/>
          <w:color w:val="auto"/>
        </w:rPr>
        <w:t>do so, except that, so long as no Default shall have occurred and be continuing at the time of any action described below or would result therefrom:</w:t>
      </w:r>
    </w:p>
    <w:p>
      <w:pPr>
        <w:spacing w:after="0" w:line="142" w:lineRule="exact"/>
        <w:rPr>
          <w:sz w:val="20"/>
          <w:szCs w:val="20"/>
          <w:color w:val="auto"/>
        </w:rPr>
      </w:pPr>
    </w:p>
    <w:p>
      <w:pPr>
        <w:ind w:firstLine="656"/>
        <w:spacing w:after="0" w:line="264" w:lineRule="auto"/>
        <w:tabs>
          <w:tab w:leader="none" w:pos="129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Restricted Subsidiary may make Restricted Payments to any Borrower, any Guarantor or any other Person that owns an Equity Interest in such Restricted Subsidiary, ratably according to their respective holdings of the type of Equity Interest in respect of which such Restricted Payment is being made;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77" w:lineRule="auto"/>
        <w:tabs>
          <w:tab w:leader="none" w:pos="130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Borrower or any Restricted Subsidiary may declare and make dividend payments or other distributions payable solely in the common stock or other common Equity Interests of such Person;</w:t>
      </w:r>
    </w:p>
    <w:p>
      <w:pPr>
        <w:spacing w:after="0" w:line="170" w:lineRule="exact"/>
        <w:rPr>
          <w:rFonts w:ascii="Arial" w:cs="Arial" w:eastAsia="Arial" w:hAnsi="Arial"/>
          <w:sz w:val="18"/>
          <w:szCs w:val="18"/>
          <w:color w:val="auto"/>
        </w:rPr>
      </w:pPr>
    </w:p>
    <w:p>
      <w:pPr>
        <w:ind w:right="480" w:firstLine="656"/>
        <w:spacing w:after="0" w:line="277" w:lineRule="auto"/>
        <w:tabs>
          <w:tab w:leader="none" w:pos="130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Borrower or any Restricted Subsidiary may purchase, redeem or otherwise acquire Equity Interests issued by it with the proceeds received from the substantially concurrent issue of new shares of its common stock or other common Equity Interests;</w:t>
      </w:r>
    </w:p>
    <w:p>
      <w:pPr>
        <w:sectPr>
          <w:pgSz w:w="11900" w:h="16838" w:orient="portrait"/>
          <w:cols w:equalWidth="0" w:num="1">
            <w:col w:w="11420"/>
          </w:cols>
          <w:pgMar w:left="240" w:top="341" w:right="239" w:bottom="0" w:gutter="0" w:footer="0" w:header="0"/>
        </w:sectPr>
      </w:pPr>
    </w:p>
    <w:bookmarkStart w:id="58" w:name="page59"/>
    <w:bookmarkEnd w:id="58"/>
    <w:p>
      <w:pPr>
        <w:ind w:right="100" w:firstLine="656"/>
        <w:spacing w:after="0" w:line="288" w:lineRule="auto"/>
        <w:tabs>
          <w:tab w:leader="none" w:pos="1304" w:val="left"/>
        </w:tabs>
        <w:numPr>
          <w:ilvl w:val="1"/>
          <w:numId w:val="177"/>
        </w:numPr>
        <w:rPr>
          <w:rFonts w:ascii="Arial" w:cs="Arial" w:eastAsia="Arial" w:hAnsi="Arial"/>
          <w:sz w:val="16"/>
          <w:szCs w:val="16"/>
          <w:color w:val="auto"/>
        </w:rPr>
      </w:pPr>
      <w:r>
        <w:rPr>
          <w:rFonts w:ascii="Arial" w:cs="Arial" w:eastAsia="Arial" w:hAnsi="Arial"/>
          <w:sz w:val="16"/>
          <w:szCs w:val="16"/>
          <w:color w:val="auto"/>
        </w:rPr>
        <w:t xml:space="preserve">WFS may make Restricted Payments in an aggregate amount not to exceed the sum of: (i) $50,000,000,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50% of the cumulative Consolidated Net Income calculated for each fiscal quarter beginning with the fiscal quarter ended March 31, 2010(with amounts continuing to increase (or if Consolidated Net Income for a fiscal quarter is negative, decrease, as applicable) the amount of Restricted Payments permitted by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p>
    <w:p>
      <w:pPr>
        <w:ind w:left="320" w:hanging="312"/>
        <w:spacing w:after="0"/>
        <w:tabs>
          <w:tab w:leader="none" w:pos="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100% of the net proceeds of all Equity Issuances made after the Closing Date;</w:t>
      </w:r>
    </w:p>
    <w:p>
      <w:pPr>
        <w:spacing w:after="0" w:line="210" w:lineRule="exact"/>
        <w:rPr>
          <w:rFonts w:ascii="Arial" w:cs="Arial" w:eastAsia="Arial" w:hAnsi="Arial"/>
          <w:sz w:val="18"/>
          <w:szCs w:val="18"/>
          <w:color w:val="auto"/>
        </w:rPr>
      </w:pPr>
    </w:p>
    <w:p>
      <w:pPr>
        <w:ind w:right="60" w:firstLine="656"/>
        <w:spacing w:after="0" w:line="291" w:lineRule="auto"/>
        <w:tabs>
          <w:tab w:leader="none" w:pos="130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 xml:space="preserve">WFS may (i) at its option, prepay or exercise any call or cash settlement option held by it with respect to Permitted Convertible Notes or any portion thereof and (ii) fulfill its obligation with respect to a put right (as opposed to a conversion right) exercised by a holder of Permitted Convertible Notes, in each case, so long as (A) immediately after giving effect to any such prepayment or call or cash settlement, Available Liquidity is at least $300,000,000, (B) after giving pro forma effect to any such prepayment or call or cash settlement, the Consolidated Senior Leverage Ratio is not greater than 3.50 to 1.00, and (C) immediately before and immediately after giving effect to the any such prepayment or call or cash settlement, no Default or Event of Default shall have occurred and be continuing; provided that if either or both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are not satisfied with respect to any such prepayment, call or cash settlement, WFS may still make such prepayment, call or cash settlement to the extent permitted under </w:t>
      </w:r>
      <w:r>
        <w:rPr>
          <w:rFonts w:ascii="Arial" w:cs="Arial" w:eastAsia="Arial" w:hAnsi="Arial"/>
          <w:sz w:val="16"/>
          <w:szCs w:val="16"/>
          <w:u w:val="single" w:color="auto"/>
          <w:color w:val="auto"/>
        </w:rPr>
        <w:t>Section 7.06(d)</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300" w:hanging="644"/>
        <w:spacing w:after="0"/>
        <w:tabs>
          <w:tab w:leader="none" w:pos="130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WFS may elect to pay cash in lieu of fractional shares of Equity Interests arising out of conversions of Convertible Debt Securities;</w:t>
      </w:r>
    </w:p>
    <w:p>
      <w:pPr>
        <w:spacing w:after="0" w:line="236" w:lineRule="exact"/>
        <w:rPr>
          <w:rFonts w:ascii="Arial" w:cs="Arial" w:eastAsia="Arial" w:hAnsi="Arial"/>
          <w:sz w:val="17"/>
          <w:szCs w:val="17"/>
          <w:color w:val="auto"/>
        </w:rPr>
      </w:pPr>
    </w:p>
    <w:p>
      <w:pPr>
        <w:ind w:right="260" w:firstLine="656"/>
        <w:spacing w:after="0" w:line="264" w:lineRule="auto"/>
        <w:tabs>
          <w:tab w:leader="none" w:pos="131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WFS shall in no way be restricted from cash settling (in whole or in part) any Permitted Convertible Notes as may be required under the applicable Approved Convertible Debt Documents in connection with the exercise by a holder of Permitted Convertible Notes of its conversion rights in accordance with the terms of such Approved Convertible Debt Documents;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WFS may enter into, exercise its rights and perform its obligations under Permitted Call Spread Swap Agreements; and</w:t>
      </w:r>
    </w:p>
    <w:p>
      <w:pPr>
        <w:spacing w:after="0" w:line="225" w:lineRule="exact"/>
        <w:rPr>
          <w:rFonts w:ascii="Arial" w:cs="Arial" w:eastAsia="Arial" w:hAnsi="Arial"/>
          <w:sz w:val="18"/>
          <w:szCs w:val="18"/>
          <w:color w:val="auto"/>
        </w:rPr>
      </w:pPr>
    </w:p>
    <w:p>
      <w:pPr>
        <w:ind w:right="240" w:firstLine="656"/>
        <w:spacing w:after="0" w:line="264" w:lineRule="auto"/>
        <w:tabs>
          <w:tab w:leader="none" w:pos="131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WFS may make Restricted Payments (i) contemplated in WFS’s 2006 Omnibus Plan or any replacement thereof, (ii) contemplated by WFS’s 1993 Non-Employee Director Plan or any replacement thereof, and (iii) in connection with the issuance of its Equity Interests to employees or non-employees of WFS as compensation for services performed for WFS by such individuals.</w:t>
      </w:r>
    </w:p>
    <w:p>
      <w:pPr>
        <w:spacing w:after="0" w:line="177"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7.07 Change in Nature of Business</w:t>
      </w:r>
      <w:r>
        <w:rPr>
          <w:rFonts w:ascii="Arial" w:cs="Arial" w:eastAsia="Arial" w:hAnsi="Arial"/>
          <w:sz w:val="18"/>
          <w:szCs w:val="18"/>
          <w:color w:val="auto"/>
        </w:rPr>
        <w:t>. Engage in any material respect in any line of business that is substantially different from the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sale, financing, distribution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brokerage of fuel and/or energy products or the provision of ancillary services related or incidental thereto.</w:t>
      </w:r>
    </w:p>
    <w:p>
      <w:pPr>
        <w:spacing w:after="0" w:line="221"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7.08 Transactions with Affiliates</w:t>
      </w:r>
      <w:r>
        <w:rPr>
          <w:rFonts w:ascii="Arial" w:cs="Arial" w:eastAsia="Arial" w:hAnsi="Arial"/>
          <w:sz w:val="18"/>
          <w:szCs w:val="18"/>
          <w:color w:val="auto"/>
        </w:rPr>
        <w:t>. Except as otherwise permitted under this Agreement, enter into any transaction of any kind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Affiliate of such Borrower or such Restricted Subsidiary, whether or not in the ordinary course of business, other than on fair and reasonable terms substantially as favorable to such Borrower or such Restricted Subsidiary as would be obtainable by such Borrower or such Restricted Subsidiary at the time in a comparable arm’s length transaction with a Person other than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 shall not apply to transactions between or among Loan Parties.</w:t>
      </w:r>
    </w:p>
    <w:p>
      <w:pPr>
        <w:spacing w:after="0" w:line="184"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b w:val="1"/>
          <w:bCs w:val="1"/>
          <w:color w:val="auto"/>
        </w:rPr>
        <w:t>7.09 Burdensome Agreements</w:t>
      </w:r>
      <w:r>
        <w:rPr>
          <w:rFonts w:ascii="Arial" w:cs="Arial" w:eastAsia="Arial" w:hAnsi="Arial"/>
          <w:sz w:val="16"/>
          <w:szCs w:val="16"/>
          <w:color w:val="auto"/>
        </w:rPr>
        <w:t>. Except as otherwise permitted under this Agreement, enter into any Contractual Obligation (other than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or any other Loan Document) that (a) limits the ability (i) of any Restricted Subsidiary to make Restricted Payments to any Loan Party or to otherwise transfer property to any Loan Party, (ii) of any Restricted Subsidiary to Guarantee the Indebtedness of any Borrower or (iii) of any Loan Party to create, incur, assume or suffer to exist Liens on property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shall not prohibit any negative pledge incurred or provided in favor of any holder of (x) Indebtedness permitted under </w:t>
      </w:r>
      <w:r>
        <w:rPr>
          <w:rFonts w:ascii="Arial" w:cs="Arial" w:eastAsia="Arial" w:hAnsi="Arial"/>
          <w:sz w:val="16"/>
          <w:szCs w:val="16"/>
          <w:u w:val="single" w:color="auto"/>
          <w:color w:val="auto"/>
        </w:rPr>
        <w:t>Section 7.03(f)</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7.03(k)</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7.03(l)</w:t>
      </w:r>
      <w:r>
        <w:rPr>
          <w:rFonts w:ascii="Arial" w:cs="Arial" w:eastAsia="Arial" w:hAnsi="Arial"/>
          <w:sz w:val="16"/>
          <w:szCs w:val="16"/>
          <w:color w:val="auto"/>
        </w:rPr>
        <w:t xml:space="preserve"> solely to the extent any such negative pledge relates to the property financed by or the subject of the Lien securing such Indebtedness, (y) the Senior Note Indebtedness permitted by </w:t>
      </w:r>
      <w:r>
        <w:rPr>
          <w:rFonts w:ascii="Arial" w:cs="Arial" w:eastAsia="Arial" w:hAnsi="Arial"/>
          <w:sz w:val="16"/>
          <w:szCs w:val="16"/>
          <w:u w:val="single" w:color="auto"/>
          <w:color w:val="auto"/>
        </w:rPr>
        <w:t>Section 7.03(p)</w:t>
      </w:r>
      <w:r>
        <w:rPr>
          <w:rFonts w:ascii="Arial" w:cs="Arial" w:eastAsia="Arial" w:hAnsi="Arial"/>
          <w:sz w:val="16"/>
          <w:szCs w:val="16"/>
          <w:color w:val="auto"/>
        </w:rPr>
        <w:t xml:space="preserve"> so long as the covenants set forth in the Senior Note Agreement and any other Senior Note Document are no more restrictive than those set forth in this Agreement, or (z) the Indebtedness under the Permitted Convertible Notes permitted by </w:t>
      </w:r>
      <w:r>
        <w:rPr>
          <w:rFonts w:ascii="Arial" w:cs="Arial" w:eastAsia="Arial" w:hAnsi="Arial"/>
          <w:sz w:val="16"/>
          <w:szCs w:val="16"/>
          <w:u w:val="single" w:color="auto"/>
          <w:color w:val="auto"/>
        </w:rPr>
        <w:t>Section 7.03(g)</w:t>
      </w:r>
      <w:r>
        <w:rPr>
          <w:rFonts w:ascii="Arial" w:cs="Arial" w:eastAsia="Arial" w:hAnsi="Arial"/>
          <w:sz w:val="16"/>
          <w:szCs w:val="16"/>
          <w:color w:val="auto"/>
        </w:rPr>
        <w:t xml:space="preserve"> so long as the covenants set forth in the Approved Convertible Debt Documents are customary restrictions in indentures for Convertible Debt Securities or high yield or investment grade securities that are, in each case, permitted under this Agreement; or (b) requires the grant of a Lien to secure an obligation of such Person if a Lien is granted to secure another obligation of such Person (other than the Senior Note Agreement).</w:t>
      </w:r>
    </w:p>
    <w:p>
      <w:pPr>
        <w:spacing w:after="0" w:line="164"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7.10 Use of Proceeds</w:t>
      </w:r>
      <w:r>
        <w:rPr>
          <w:rFonts w:ascii="Arial" w:cs="Arial" w:eastAsia="Arial" w:hAnsi="Arial"/>
          <w:sz w:val="18"/>
          <w:szCs w:val="18"/>
          <w:color w:val="auto"/>
        </w:rPr>
        <w:t>. Use the proceeds of any Credit Extension, whether directly or indirectly, and whether immediately, incidentally or</w:t>
      </w:r>
      <w:r>
        <w:rPr>
          <w:rFonts w:ascii="Arial" w:cs="Arial" w:eastAsia="Arial" w:hAnsi="Arial"/>
          <w:sz w:val="18"/>
          <w:szCs w:val="18"/>
          <w:b w:val="1"/>
          <w:bCs w:val="1"/>
          <w:color w:val="auto"/>
        </w:rPr>
        <w:t xml:space="preserve"> </w:t>
      </w:r>
      <w:r>
        <w:rPr>
          <w:rFonts w:ascii="Arial" w:cs="Arial" w:eastAsia="Arial" w:hAnsi="Arial"/>
          <w:sz w:val="18"/>
          <w:szCs w:val="18"/>
          <w:color w:val="auto"/>
        </w:rPr>
        <w:t>ultimately, to purchase or carry margin stock (within the meaning of Regulation U of the FRB) or to extend credit to others for the purpose of purchasing or carrying margin stock or to refund indebtedness originally incurred for such purpose.</w:t>
      </w:r>
    </w:p>
    <w:p>
      <w:pPr>
        <w:spacing w:after="0" w:line="17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7.11</w:t>
      </w:r>
      <w:r>
        <w:rPr>
          <w:sz w:val="20"/>
          <w:szCs w:val="20"/>
          <w:color w:val="auto"/>
        </w:rPr>
        <w:tab/>
      </w:r>
      <w:r>
        <w:rPr>
          <w:rFonts w:ascii="Arial" w:cs="Arial" w:eastAsia="Arial" w:hAnsi="Arial"/>
          <w:sz w:val="16"/>
          <w:szCs w:val="16"/>
          <w:b w:val="1"/>
          <w:bCs w:val="1"/>
          <w:color w:val="auto"/>
        </w:rPr>
        <w:t>Financial Covenants</w:t>
      </w:r>
      <w:r>
        <w:rPr>
          <w:rFonts w:ascii="Arial" w:cs="Arial" w:eastAsia="Arial" w:hAnsi="Arial"/>
          <w:sz w:val="16"/>
          <w:szCs w:val="16"/>
          <w:color w:val="auto"/>
        </w:rPr>
        <w:t>.</w:t>
      </w:r>
    </w:p>
    <w:p>
      <w:pPr>
        <w:spacing w:after="0" w:line="229" w:lineRule="exact"/>
        <w:rPr>
          <w:sz w:val="20"/>
          <w:szCs w:val="20"/>
          <w:color w:val="auto"/>
        </w:rPr>
      </w:pPr>
    </w:p>
    <w:p>
      <w:pPr>
        <w:ind w:left="1300" w:hanging="644"/>
        <w:spacing w:after="0"/>
        <w:tabs>
          <w:tab w:leader="none" w:pos="1300"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Consolidated Interest Coverage Ratio</w:t>
      </w:r>
      <w:r>
        <w:rPr>
          <w:rFonts w:ascii="Arial" w:cs="Arial" w:eastAsia="Arial" w:hAnsi="Arial"/>
          <w:sz w:val="16"/>
          <w:szCs w:val="16"/>
          <w:color w:val="auto"/>
        </w:rPr>
        <w:t>. Permit the Consolidated Interest Coverage Ratio as of the end of any fiscal quarter of WFS to be less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than </w:t>
      </w:r>
      <w:r>
        <w:rPr>
          <w:rFonts w:ascii="Arial" w:cs="Arial" w:eastAsia="Arial" w:hAnsi="Arial"/>
          <w:sz w:val="18"/>
          <w:szCs w:val="18"/>
          <w:u w:val="single" w:color="auto"/>
          <w:color w:val="auto"/>
        </w:rPr>
        <w:t>2.00</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1.00</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right="280" w:firstLine="656"/>
        <w:spacing w:after="0" w:line="277" w:lineRule="auto"/>
        <w:tabs>
          <w:tab w:leader="none" w:pos="130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Consolidated Asset Coverage Ratio</w:t>
      </w:r>
      <w:r>
        <w:rPr>
          <w:rFonts w:ascii="Arial" w:cs="Arial" w:eastAsia="Arial" w:hAnsi="Arial"/>
          <w:sz w:val="18"/>
          <w:szCs w:val="18"/>
          <w:color w:val="auto"/>
        </w:rPr>
        <w:t>. Permit the Consolidated Asset Coverage Ratio as of the last day of any fiscal quarter of WFS to be less than 1.20 to 1.00.</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Permit the Consolidated Total Leverage Ratio at any time to be greater than 4.50 to 1.00.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Consolidated Senior Leverage Ratio</w:t>
      </w:r>
      <w:r>
        <w:rPr>
          <w:rFonts w:ascii="Arial" w:cs="Arial" w:eastAsia="Arial" w:hAnsi="Arial"/>
          <w:sz w:val="17"/>
          <w:szCs w:val="17"/>
          <w:color w:val="auto"/>
        </w:rPr>
        <w:t>. Permit the Consolidated Senior Leverage Ratio at any time to be greater than 3.75 to 1.00.</w:t>
      </w:r>
    </w:p>
    <w:p>
      <w:pPr>
        <w:spacing w:after="0" w:line="233"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7.12 Amendments of Organization Documents. </w:t>
      </w:r>
      <w:r>
        <w:rPr>
          <w:rFonts w:ascii="Arial" w:cs="Arial" w:eastAsia="Arial" w:hAnsi="Arial"/>
          <w:sz w:val="18"/>
          <w:szCs w:val="18"/>
          <w:color w:val="auto"/>
        </w:rPr>
        <w:t>Amend any of its Organization Documents (in a manner that could reasonably be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and adversely affect the interests of the Lenders).</w:t>
      </w:r>
    </w:p>
    <w:p>
      <w:pPr>
        <w:sectPr>
          <w:pgSz w:w="11900" w:h="16838" w:orient="portrait"/>
          <w:cols w:equalWidth="0" w:num="1">
            <w:col w:w="11400"/>
          </w:cols>
          <w:pgMar w:left="240" w:top="125" w:right="259" w:bottom="0" w:gutter="0" w:footer="0" w:header="0"/>
        </w:sectPr>
      </w:pPr>
    </w:p>
    <w:bookmarkStart w:id="59" w:name="page60"/>
    <w:bookmarkEnd w:id="59"/>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7.13 Inactive Subsidiaries. </w:t>
      </w:r>
      <w:r>
        <w:rPr>
          <w:rFonts w:ascii="Arial" w:cs="Arial" w:eastAsia="Arial" w:hAnsi="Arial"/>
          <w:sz w:val="18"/>
          <w:szCs w:val="18"/>
          <w:color w:val="auto"/>
        </w:rPr>
        <w:t>Not permit Atlantic Fuel Services, IRC or Resource Recovery at any time to engage in any type of operations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those conducted by such Restricted Subsidiary as of the Closing Date, other than Dispositions in connection with the winding up or liquidation of lines of business of such Restricted Subsidiary.</w:t>
      </w:r>
    </w:p>
    <w:p>
      <w:pPr>
        <w:spacing w:after="0" w:line="17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7.14 Amendments of Approved Convertible Debt Documents. </w:t>
      </w:r>
      <w:r>
        <w:rPr>
          <w:rFonts w:ascii="Arial" w:cs="Arial" w:eastAsia="Arial" w:hAnsi="Arial"/>
          <w:sz w:val="18"/>
          <w:szCs w:val="18"/>
          <w:color w:val="auto"/>
        </w:rPr>
        <w:t>Amend any of Approved Convertible Debt Documents in a manner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be expected to materially and adversely affect the interests of the Lenders without the prior written consent of the Administrative Agent (such consent not to be unreasonably withheld or delayed).</w:t>
      </w:r>
    </w:p>
    <w:p>
      <w:pPr>
        <w:spacing w:after="0" w:line="176"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7.15 Sanctions</w:t>
      </w:r>
      <w:r>
        <w:rPr>
          <w:rFonts w:ascii="Arial" w:cs="Arial" w:eastAsia="Arial" w:hAnsi="Arial"/>
          <w:sz w:val="18"/>
          <w:szCs w:val="18"/>
          <w:color w:val="auto"/>
        </w:rPr>
        <w:t>. Directly or indirectly, use the proceeds of any Credit Extension, or lend, contribute or otherwise make available such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to any Subsidiary, joint venture partner or other individual or entity, to fund any activities of or business with any individual or entity, or in any Designated Jurisdiction, that, at the time of such funding, is the subject of Sanctions (except, in each case, to the extent authorized by the relevant Sanctions authority or not prohibited under the relevant Sanction), or in any other manner that will result in a violation by any Lender, Joint Lead Arranger, the Administrative Agent, the L/C-BA Issuer, the Swing Line Lender, or any Affliliate thereof) of Sanctions.</w:t>
      </w:r>
    </w:p>
    <w:p>
      <w:pPr>
        <w:spacing w:after="0" w:line="18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ARTICLE VIII. EVENTS OF DEFAULT AND REMEDIES</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Any of the following shall constitute an Event of Default:</w:t>
      </w:r>
    </w:p>
    <w:p>
      <w:pPr>
        <w:spacing w:after="0" w:line="229" w:lineRule="exact"/>
        <w:rPr>
          <w:sz w:val="20"/>
          <w:szCs w:val="20"/>
          <w:color w:val="auto"/>
        </w:rPr>
      </w:pPr>
    </w:p>
    <w:p>
      <w:pPr>
        <w:jc w:val="both"/>
        <w:ind w:right="180" w:firstLine="656"/>
        <w:spacing w:after="0" w:line="264" w:lineRule="auto"/>
        <w:tabs>
          <w:tab w:leader="none" w:pos="129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The Borrowers or any other Loan Party fails to pay (i) when and as required to be paid herein, any amount of principal of any Loan or any L/C-BA Obligation, or (ii) within five days after the same becomes due, any interest on any Loan or on any L/C-BA Obligation, or any fee due hereunder, any other amount payable hereunder or under any other Loan Document; or</w:t>
      </w:r>
    </w:p>
    <w:p>
      <w:pPr>
        <w:spacing w:after="0" w:line="181" w:lineRule="exact"/>
        <w:rPr>
          <w:rFonts w:ascii="Arial" w:cs="Arial" w:eastAsia="Arial" w:hAnsi="Arial"/>
          <w:sz w:val="18"/>
          <w:szCs w:val="18"/>
          <w:color w:val="auto"/>
        </w:rPr>
      </w:pPr>
    </w:p>
    <w:p>
      <w:pPr>
        <w:ind w:right="160" w:firstLine="656"/>
        <w:spacing w:after="0" w:line="277" w:lineRule="auto"/>
        <w:tabs>
          <w:tab w:leader="none" w:pos="130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The Borrowers fail to perform or observe any term, covenant or agreement contained in any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6.02(d)</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w:t>
      </w:r>
      <w:r>
        <w:rPr>
          <w:rFonts w:ascii="Arial" w:cs="Arial" w:eastAsia="Arial" w:hAnsi="Arial"/>
          <w:sz w:val="18"/>
          <w:szCs w:val="18"/>
          <w:color w:val="auto"/>
        </w:rPr>
        <w:t xml:space="preserve">,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right="140" w:firstLine="656"/>
        <w:spacing w:after="0" w:line="259" w:lineRule="auto"/>
        <w:tabs>
          <w:tab w:leader="none" w:pos="1307"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Loan Party fails to perform or observe any other covenant or agreement (not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Loan Document on its part to be performed or observed and such failure continues for 30 days after the earlier of (i) the date on which a Responsible Officer of a Loan Party becomes aware of such failure and (ii) the date on which written notice of such failure shall have been given to the Borrowing Agent by the Administrative Agent; or</w:t>
      </w:r>
    </w:p>
    <w:p>
      <w:pPr>
        <w:spacing w:after="0" w:line="186" w:lineRule="exact"/>
        <w:rPr>
          <w:rFonts w:ascii="Arial" w:cs="Arial" w:eastAsia="Arial" w:hAnsi="Arial"/>
          <w:sz w:val="18"/>
          <w:szCs w:val="18"/>
          <w:color w:val="auto"/>
        </w:rPr>
      </w:pPr>
    </w:p>
    <w:p>
      <w:pPr>
        <w:ind w:right="200" w:firstLine="656"/>
        <w:spacing w:after="0" w:line="277" w:lineRule="auto"/>
        <w:tabs>
          <w:tab w:leader="none" w:pos="130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any other Loan Party herein, in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Loan Document, or in any document delivered in connection herewith or therewith shall be incorrect or misleading in any material respect when made or deemed made; or</w:t>
      </w:r>
    </w:p>
    <w:p>
      <w:pPr>
        <w:spacing w:after="0" w:line="170" w:lineRule="exact"/>
        <w:rPr>
          <w:sz w:val="20"/>
          <w:szCs w:val="20"/>
          <w:color w:val="auto"/>
        </w:rPr>
      </w:pPr>
    </w:p>
    <w:p>
      <w:pPr>
        <w:ind w:firstLine="656"/>
        <w:spacing w:after="0" w:line="285" w:lineRule="auto"/>
        <w:tabs>
          <w:tab w:leader="none" w:pos="1307"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xml:space="preserve">. (i) any Borrower or any Restricted Subsidiary (A) fails to make any payment when due (whether by scheduled maturity, required prepayment, acceleration, demand, or otherwise) in respect of (x)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(y) the Senior Note Indebtedness, or (B) fails to observe or perform any other agreement or condition relating to any such Indebtedness, Guarantee or the Senior Note Indebtedness or contained in any instrument or agreement evidencing, securing or relating thereto (including, without limitation, the Senior Note Agreement),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Borrowers or any Restricted Subsidiary is the Defaulting Party (as defined in such Swap Contract) or (B) any Termination Event (as so defined) under such Swap Contract as to which any Borrower or any Restricted Subsidiary is an Affected Party (as so defined) and, in either event, the Swap Termination Value owed by the Borrowers or such Restricted Subsidiary as a result thereof is greater than $35,000,000, which has not been waived by the Required Lenders within ten (10) Business Days of receipt by such Borrower or Restricted Subsidiary of notice of such Early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shall not apply to (x) any redemption, repurchase, conversion or settlement of any Convertible Debt Security pursuant to its terms unless such redemption, repurchase, conversion or settlement results from a default thereunder and an acceleration of rights thereunder by the trustee under such Convertible Debt Security or (y) any early payment requirement or unwinding or termination with respect to any Permitted Call Spread Swap Agreement not resulting from an event of default thereunder.</w:t>
      </w:r>
    </w:p>
    <w:p>
      <w:pPr>
        <w:spacing w:after="0" w:line="388" w:lineRule="exact"/>
        <w:rPr>
          <w:rFonts w:ascii="Arial" w:cs="Arial" w:eastAsia="Arial" w:hAnsi="Arial"/>
          <w:sz w:val="16"/>
          <w:szCs w:val="16"/>
          <w:color w:val="auto"/>
        </w:rPr>
      </w:pPr>
    </w:p>
    <w:p>
      <w:pPr>
        <w:ind w:right="40" w:firstLine="656"/>
        <w:spacing w:after="0" w:line="255" w:lineRule="auto"/>
        <w:tabs>
          <w:tab w:leader="none" w:pos="1301"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Any Loan Party or any Restricted Subsidiary institutes or consents to the institution of any proceeding under any Debtor Relief Law, or makes an assignment for the benefit of creditors; or applies for or consents to the appointment of any receiver, trustee, custodian, conservator, liquidator, judicial manager, rehabilitator or similar officer for it or for all or any material part of its property; or any receiver, trustee, custodian, conservator, liquidator, judicial manager,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86" w:lineRule="auto"/>
        <w:tabs>
          <w:tab w:leader="none" w:pos="1317"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Inability to Pay Debts; Attachment</w:t>
      </w:r>
      <w:r>
        <w:rPr>
          <w:rFonts w:ascii="Arial" w:cs="Arial" w:eastAsia="Arial" w:hAnsi="Arial"/>
          <w:sz w:val="17"/>
          <w:szCs w:val="17"/>
          <w:color w:val="auto"/>
        </w:rPr>
        <w:t>. (i) any Borrower or any Restricted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ectPr>
          <w:pgSz w:w="11900" w:h="16838" w:orient="portrait"/>
          <w:cols w:equalWidth="0" w:num="1">
            <w:col w:w="11420"/>
          </w:cols>
          <w:pgMar w:left="240" w:top="121" w:right="239" w:bottom="0" w:gutter="0" w:footer="0" w:header="0"/>
        </w:sectPr>
      </w:pPr>
    </w:p>
    <w:bookmarkStart w:id="60" w:name="page61"/>
    <w:bookmarkEnd w:id="60"/>
    <w:p>
      <w:pPr>
        <w:spacing w:after="0" w:line="137" w:lineRule="exact"/>
        <w:rPr>
          <w:sz w:val="20"/>
          <w:szCs w:val="20"/>
          <w:color w:val="auto"/>
        </w:rPr>
      </w:pPr>
    </w:p>
    <w:p>
      <w:pPr>
        <w:ind w:right="60" w:firstLine="656"/>
        <w:spacing w:after="0" w:line="273" w:lineRule="auto"/>
        <w:tabs>
          <w:tab w:leader="none" w:pos="1304"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There is entered against any Borrower or any Restricted Subsidiary (i) one or more final and non-appealable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and non-appealable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78" w:lineRule="exact"/>
        <w:rPr>
          <w:rFonts w:ascii="Arial" w:cs="Arial" w:eastAsia="Arial" w:hAnsi="Arial"/>
          <w:sz w:val="17"/>
          <w:szCs w:val="17"/>
          <w:color w:val="auto"/>
        </w:rPr>
      </w:pPr>
    </w:p>
    <w:p>
      <w:pPr>
        <w:ind w:firstLine="656"/>
        <w:spacing w:after="0" w:line="257" w:lineRule="auto"/>
        <w:tabs>
          <w:tab w:leader="none" w:pos="1318"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Borrowers under Title IV of ERISA to the Pension Plan, Multiemployer Plan or the PBGC in an aggregate amount in excess of the Threshold Amount, or (ii) any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8" w:lineRule="exact"/>
        <w:rPr>
          <w:rFonts w:ascii="Arial" w:cs="Arial" w:eastAsia="Arial" w:hAnsi="Arial"/>
          <w:sz w:val="18"/>
          <w:szCs w:val="18"/>
          <w:color w:val="auto"/>
        </w:rPr>
      </w:pPr>
    </w:p>
    <w:p>
      <w:pPr>
        <w:ind w:right="40" w:firstLine="656"/>
        <w:spacing w:after="0" w:line="279" w:lineRule="auto"/>
        <w:tabs>
          <w:tab w:leader="none" w:pos="1304"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Invalidity of Loan Documents</w:t>
      </w:r>
      <w:r>
        <w:rPr>
          <w:rFonts w:ascii="Arial" w:cs="Arial" w:eastAsia="Arial" w:hAnsi="Arial"/>
          <w:sz w:val="17"/>
          <w:szCs w:val="17"/>
          <w:color w:val="auto"/>
        </w:rPr>
        <w:t>.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225" w:lineRule="exact"/>
        <w:rPr>
          <w:rFonts w:ascii="Arial" w:cs="Arial" w:eastAsia="Arial" w:hAnsi="Arial"/>
          <w:sz w:val="18"/>
          <w:szCs w:val="18"/>
          <w:color w:val="auto"/>
        </w:rPr>
      </w:pPr>
    </w:p>
    <w:p>
      <w:pPr>
        <w:ind w:right="60" w:firstLine="656"/>
        <w:spacing w:after="0" w:line="272" w:lineRule="auto"/>
        <w:tabs>
          <w:tab w:leader="none" w:pos="1318"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(i) Any subordination, stand-still or collateral sharing provisions of the Intercreditor Agreement or contained in any Approved Convertible Debt Documents (collectively, the “</w:t>
      </w:r>
      <w:r>
        <w:rPr>
          <w:rFonts w:ascii="Arial" w:cs="Arial" w:eastAsia="Arial" w:hAnsi="Arial"/>
          <w:sz w:val="17"/>
          <w:szCs w:val="17"/>
          <w:u w:val="single" w:color="auto"/>
          <w:color w:val="auto"/>
        </w:rPr>
        <w:t>Subordination Provisions</w:t>
      </w:r>
      <w:r>
        <w:rPr>
          <w:rFonts w:ascii="Arial" w:cs="Arial" w:eastAsia="Arial" w:hAnsi="Arial"/>
          <w:sz w:val="17"/>
          <w:szCs w:val="17"/>
          <w:color w:val="auto"/>
        </w:rPr>
        <w:t>”) shall, in whole or in part, terminate, cease to be effective or cease to be legally valid, binding and enforceable against any holder of Senior Note Indebtedness or any Permitted Convertible Notes, as applicable; or (ii) any Borrower or any other Loan Party shall, directly or indirectly, disavow or contest in any manner (A) the effectiveness, validity or enforceability of any of the Subordination Provisions, (B) that the Subordination Provisions exist for the benefit of the Administrative Agent, the Lenders and the L/C Issuer or (C) that all payments of principal of or premium and interest on the Senior Notes Indebtedness or the Permitted Convertible Notes, as applicable, or realized from the liquidation of any property of any Loan Party, shall be subject to any of the Subordination Provisions;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77"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Senior Notes</w:t>
      </w:r>
      <w:r>
        <w:rPr>
          <w:rFonts w:ascii="Arial" w:cs="Arial" w:eastAsia="Arial" w:hAnsi="Arial"/>
          <w:sz w:val="18"/>
          <w:szCs w:val="18"/>
          <w:color w:val="auto"/>
        </w:rPr>
        <w:t>. Any event of default occurs under the Senior Note Documents (after giving effect to any grace periods and/or notifications required thereunder);</w:t>
      </w:r>
    </w:p>
    <w:p>
      <w:pPr>
        <w:spacing w:after="0" w:line="170" w:lineRule="exact"/>
        <w:rPr>
          <w:rFonts w:ascii="Arial" w:cs="Arial" w:eastAsia="Arial" w:hAnsi="Arial"/>
          <w:sz w:val="18"/>
          <w:szCs w:val="18"/>
          <w:color w:val="auto"/>
        </w:rPr>
      </w:pPr>
    </w:p>
    <w:p>
      <w:pPr>
        <w:ind w:right="120" w:firstLine="656"/>
        <w:spacing w:after="0" w:line="342" w:lineRule="auto"/>
        <w:tabs>
          <w:tab w:leader="none" w:pos="1304"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Declared Company</w:t>
      </w:r>
      <w:r>
        <w:rPr>
          <w:rFonts w:ascii="Arial" w:cs="Arial" w:eastAsia="Arial" w:hAnsi="Arial"/>
          <w:sz w:val="16"/>
          <w:szCs w:val="16"/>
          <w:color w:val="auto"/>
        </w:rPr>
        <w:t>. A Borrower is declared by the Minister for Finance in Singapore to be a “declared company” under the provisions of Part IX of the Companies Act, Chapter 50 of Singapore and such declaration remains in full force and effect for a period of more than sixty (60) days.</w:t>
      </w:r>
    </w:p>
    <w:p>
      <w:pPr>
        <w:spacing w:after="0" w:line="12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8.02 Remedies Upon Event of Default</w:t>
      </w:r>
      <w:r>
        <w:rPr>
          <w:rFonts w:ascii="Arial" w:cs="Arial" w:eastAsia="Arial" w:hAnsi="Arial"/>
          <w:sz w:val="18"/>
          <w:szCs w:val="18"/>
          <w:color w:val="auto"/>
        </w:rPr>
        <w:t>. If any Event of Default occurs and is continuing, the Administrative Agent shall, at the request of, or</w:t>
      </w:r>
      <w:r>
        <w:rPr>
          <w:rFonts w:ascii="Arial" w:cs="Arial" w:eastAsia="Arial" w:hAnsi="Arial"/>
          <w:sz w:val="18"/>
          <w:szCs w:val="18"/>
          <w:b w:val="1"/>
          <w:bCs w:val="1"/>
          <w:color w:val="auto"/>
        </w:rPr>
        <w:t xml:space="preserve"> </w:t>
      </w:r>
      <w:r>
        <w:rPr>
          <w:rFonts w:ascii="Arial" w:cs="Arial" w:eastAsia="Arial" w:hAnsi="Arial"/>
          <w:sz w:val="18"/>
          <w:szCs w:val="18"/>
          <w:color w:val="auto"/>
        </w:rPr>
        <w:t>may, with the consent of, the Required Lenders, take any or all of the following actions:</w:t>
      </w:r>
    </w:p>
    <w:p>
      <w:pPr>
        <w:spacing w:after="0" w:line="166" w:lineRule="exact"/>
        <w:rPr>
          <w:sz w:val="20"/>
          <w:szCs w:val="20"/>
          <w:color w:val="auto"/>
        </w:rPr>
      </w:pPr>
    </w:p>
    <w:p>
      <w:pPr>
        <w:ind w:right="360" w:firstLine="656"/>
        <w:spacing w:after="0" w:line="277" w:lineRule="auto"/>
        <w:tabs>
          <w:tab w:leader="none" w:pos="129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declare the commitment of each Revolving Lender to make Revolving Loans and any obligation of the L/C-BA Issuer to make L/C-BA Credit Extensions to be terminated, whereupon such commitments and obligation shall be terminated;</w:t>
      </w:r>
    </w:p>
    <w:p>
      <w:pPr>
        <w:spacing w:after="0" w:line="170" w:lineRule="exact"/>
        <w:rPr>
          <w:rFonts w:ascii="Arial" w:cs="Arial" w:eastAsia="Arial" w:hAnsi="Arial"/>
          <w:sz w:val="18"/>
          <w:szCs w:val="18"/>
          <w:color w:val="auto"/>
        </w:rPr>
      </w:pPr>
    </w:p>
    <w:p>
      <w:pPr>
        <w:ind w:right="140" w:firstLine="656"/>
        <w:spacing w:after="0" w:line="264" w:lineRule="auto"/>
        <w:tabs>
          <w:tab w:leader="none" w:pos="130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each Borrower;</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require that the Borrowers Cash Collateralize the L/C-BA Obligations (in an amount equal to the then Outstanding Amount thereof);</w:t>
      </w:r>
    </w:p>
    <w:p>
      <w:pPr>
        <w:spacing w:after="0" w:line="236" w:lineRule="exact"/>
        <w:rPr>
          <w:rFonts w:ascii="Arial" w:cs="Arial" w:eastAsia="Arial" w:hAnsi="Arial"/>
          <w:sz w:val="17"/>
          <w:szCs w:val="17"/>
          <w:color w:val="auto"/>
        </w:rPr>
      </w:pPr>
    </w:p>
    <w:p>
      <w:pPr>
        <w:ind w:right="260" w:firstLine="656"/>
        <w:spacing w:after="0" w:line="277" w:lineRule="auto"/>
        <w:tabs>
          <w:tab w:leader="none" w:pos="130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L/C-BA Issuer all rights and remedies available to it, the Lenders and the L/C-BA Issuer under the Loan Documents; and</w:t>
      </w:r>
    </w:p>
    <w:p>
      <w:pPr>
        <w:spacing w:after="0" w:line="170" w:lineRule="exact"/>
        <w:rPr>
          <w:rFonts w:ascii="Arial" w:cs="Arial" w:eastAsia="Arial" w:hAnsi="Arial"/>
          <w:sz w:val="18"/>
          <w:szCs w:val="18"/>
          <w:color w:val="auto"/>
        </w:rPr>
      </w:pPr>
    </w:p>
    <w:p>
      <w:pPr>
        <w:ind w:right="280" w:firstLine="656"/>
        <w:spacing w:after="0" w:line="277" w:lineRule="auto"/>
        <w:tabs>
          <w:tab w:leader="none" w:pos="130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direct the Administrative Agent (as collateral agent) in accordance with the Intercreditor Agreement to exercise on behalf of the Secured Parties all rights and remedies available to the Secured Parties under the Collateral Documents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any Borrower under any Debtor Relief Law, the obligation of each Lender to make Loans and any obligation of the L/C-BA Issuer to make L/C-BA Credit Extensions shall automatically terminate, the unpaid principal amount of all outstanding Loans and all interest and other amounts as aforesaid shall automatically become due and payable, and the obligation of the Borrowers to Cash Collateralize the L/C-BA Obligations as aforesaid shall automatically become effective, in each case without further act of the Administrative Agent or any Lender.</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8.03</w:t>
      </w:r>
      <w:r>
        <w:rPr>
          <w:sz w:val="20"/>
          <w:szCs w:val="20"/>
          <w:color w:val="auto"/>
        </w:rPr>
        <w:tab/>
      </w:r>
      <w:r>
        <w:rPr>
          <w:rFonts w:ascii="Arial" w:cs="Arial" w:eastAsia="Arial" w:hAnsi="Arial"/>
          <w:sz w:val="16"/>
          <w:szCs w:val="16"/>
          <w:b w:val="1"/>
          <w:bCs w:val="1"/>
          <w:color w:val="auto"/>
        </w:rPr>
        <w:t>Application of Funds</w:t>
      </w:r>
      <w:r>
        <w:rPr>
          <w:rFonts w:ascii="Arial" w:cs="Arial" w:eastAsia="Arial" w:hAnsi="Arial"/>
          <w:sz w:val="16"/>
          <w:szCs w:val="16"/>
          <w:color w:val="auto"/>
        </w:rPr>
        <w:t>. After the exercise of remedies provided for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8.02</w:t>
      </w:r>
      <w:r>
        <w:rPr>
          <w:rFonts w:ascii="Arial" w:cs="Arial" w:eastAsia="Arial" w:hAnsi="Arial"/>
          <w:sz w:val="16"/>
          <w:szCs w:val="16"/>
          <w:b w:val="1"/>
          <w:bCs w:val="1"/>
          <w:color w:val="auto"/>
        </w:rPr>
        <w:t xml:space="preserve"> </w:t>
      </w:r>
      <w:r>
        <w:rPr>
          <w:rFonts w:ascii="Arial" w:cs="Arial" w:eastAsia="Arial" w:hAnsi="Arial"/>
          <w:sz w:val="16"/>
          <w:szCs w:val="16"/>
          <w:color w:val="auto"/>
        </w:rPr>
        <w:t>(or after the Loans have automatically become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immediately due and payable and the L/C-BA Obligations have automatically been required to be Cash Collateralized as set forth in the proviso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8.02</w:t>
      </w:r>
      <w:r>
        <w:rPr>
          <w:rFonts w:ascii="Arial" w:cs="Arial" w:eastAsia="Arial" w:hAnsi="Arial"/>
          <w:sz w:val="16"/>
          <w:szCs w:val="16"/>
          <w:color w:val="auto"/>
        </w:rPr>
        <w:t>), any amounts received on account of the Obligations (including amounts received pursuant to the Intercreditor Agreement) shall,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provisions of the Intercreditor Agreement (if any),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be applied by the Administrative Agent in the following order: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12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of that portion of the Obligations constituting fees, indemnities and other amounts (other than principal, interest, Letter of Credit Fees and BA Fees) arising under the Loan Documents and payable to the Lenders and the L/C-BA Issuer (including fees, charges and disbursements of</w:t>
      </w:r>
    </w:p>
    <w:p>
      <w:pPr>
        <w:sectPr>
          <w:pgSz w:w="11900" w:h="16975" w:orient="portrait"/>
          <w:cols w:equalWidth="0" w:num="1">
            <w:col w:w="11420"/>
          </w:cols>
          <w:pgMar w:left="240" w:top="125" w:right="239" w:bottom="0" w:gutter="0" w:footer="0" w:header="0"/>
        </w:sectPr>
      </w:pPr>
    </w:p>
    <w:bookmarkStart w:id="61" w:name="page62"/>
    <w:bookmarkEnd w:id="61"/>
    <w:p>
      <w:pPr>
        <w:jc w:val="both"/>
        <w:ind w:right="80"/>
        <w:spacing w:after="0" w:line="342" w:lineRule="auto"/>
        <w:rPr>
          <w:sz w:val="20"/>
          <w:szCs w:val="20"/>
          <w:color w:val="auto"/>
        </w:rPr>
      </w:pPr>
      <w:r>
        <w:rPr>
          <w:rFonts w:ascii="Arial" w:cs="Arial" w:eastAsia="Arial" w:hAnsi="Arial"/>
          <w:sz w:val="16"/>
          <w:szCs w:val="16"/>
          <w:color w:val="auto"/>
        </w:rPr>
        <w:t xml:space="preserve">counsel to the respective Lenders and the L/C-BA Issuer (including fees and time charges for attorneys who may be employees of any Lender or the L/C-BA Issuer)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ratably among them in proportion to the respective amounts described in this clause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payable to them;</w:t>
      </w:r>
    </w:p>
    <w:p>
      <w:pPr>
        <w:spacing w:after="0" w:line="124"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BA Fees and interest on the Loans, L/C-BA Borrowings and other Obligations arising under the Loan Documents, ratably among the Lenders and the L/C-BA Issuer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18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payment of that portion of the Obligations constituting unpaid principal of the Loans, L/C-BA Borrowings and Obligations then owing under Secured Hedge Agreements and Secured Cash Management Agreements, ratably among the Lenders, the L/C-BA Issuer, the Hedge Banks and the Cash Management Banks in proportion to the respective amounts described in this clause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held by them;</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Administrative Agent for the account of the L/C-BA Issuer, to Cash Collateralize that portion of L/C-BA Obligations comprised of the aggregate undrawn amount of Letters of Credit or Bankers’ Acceptances to the extent not otherwise Cash Collateralized by the Borrowers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Borrowers or as otherwise required by Law;</w:t>
      </w:r>
    </w:p>
    <w:p>
      <w:pPr>
        <w:spacing w:after="0" w:line="2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Excluded Swap Obligations with respect to any Loan Party shall not be paid with amounts received from such Loan Party or its assets, but appropriate adjustments shall be made with respect to payments from other Loan Parties to preserve the allocation to Obligations otherwise set forth above in this Section.</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2.03(d)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amounts used to Cash Collateralize the aggregate undrawn amount of Letters of Credit or Bankers’ Acceptances pursuant to clause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above shall be applied to satisfy drawings under such Letters of Credit or Bankers’ Acceptances as they occur. If any amount remains on deposit as Cash Collateral after all Letters of Credit or Bankers’ Acceptances have either been fully drawn or expired, such remaining amount shall be applied to the other Obligations, if any, in the order set forth above and subject to the Intercreditor Agreement (if any).</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Notwithstanding the foregoing, </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arising under Secured Cash Management Agreements and Secured Hedge Agreements shall be excluded from the application described above if the Administrative Agent has not received written notice thereof, together with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for itself and its Affiliates as if a “Lender” party hereto.</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Any amounts received by the Administrative Agent (as collateral agent) on account of the Obligations shall be applied by the Administrative Agent as set forth in the Intercreditor Agreement (if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ADMINISTRATIVE AGENT</w:t>
      </w: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6"/>
          <w:szCs w:val="16"/>
          <w:b w:val="1"/>
          <w:bCs w:val="1"/>
          <w:color w:val="auto"/>
        </w:rPr>
        <w:t>Appointment and Authority</w:t>
      </w:r>
      <w:r>
        <w:rPr>
          <w:rFonts w:ascii="Arial" w:cs="Arial" w:eastAsia="Arial" w:hAnsi="Arial"/>
          <w:sz w:val="16"/>
          <w:szCs w:val="16"/>
          <w:color w:val="auto"/>
        </w:rPr>
        <w:t>.</w:t>
      </w:r>
    </w:p>
    <w:p>
      <w:pPr>
        <w:spacing w:after="0" w:line="229" w:lineRule="exact"/>
        <w:rPr>
          <w:sz w:val="20"/>
          <w:szCs w:val="20"/>
          <w:color w:val="auto"/>
        </w:rPr>
      </w:pPr>
    </w:p>
    <w:p>
      <w:pPr>
        <w:ind w:right="60" w:firstLine="656"/>
        <w:spacing w:after="0" w:line="272" w:lineRule="auto"/>
        <w:tabs>
          <w:tab w:leader="none" w:pos="129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Each of the Lenders and the L/C-BA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and each of the Singapore Term Loan Lenders hereby irrevocably appoints Bank of America Singapore to act as the Singapore Agent with respect to fundings, payments, interest rate selection, fees, assignments, participations and notices relating to the Singapore Term Loan Facility. The provisions of this Article are solely for the benefit of the Administrative Agent, the Lenders and the L/C-BA Issuer, and neither any Borrower nor any other Loan Party shall have rights as a third party beneficiary of any of such provisions.</w:t>
      </w:r>
    </w:p>
    <w:p>
      <w:pPr>
        <w:spacing w:after="0" w:line="177" w:lineRule="exact"/>
        <w:rPr>
          <w:rFonts w:ascii="Arial" w:cs="Arial" w:eastAsia="Arial" w:hAnsi="Arial"/>
          <w:sz w:val="17"/>
          <w:szCs w:val="17"/>
          <w:color w:val="auto"/>
        </w:rPr>
      </w:pPr>
    </w:p>
    <w:p>
      <w:pPr>
        <w:ind w:firstLine="656"/>
        <w:spacing w:after="0" w:line="270" w:lineRule="auto"/>
        <w:tabs>
          <w:tab w:leader="none" w:pos="130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Bank of America, N.A., as Administrative Agent, shall also act as the “collateral agent” under the Loan Documents, and each of the Lenders (including in its capacities as a potential Hedge Bank and a potential Cash Management Bank) and the L/C-BA Issuer hereby irrevocably appoints and authorizes the Administrative Agent to act as the agent of such Lender and the L/C-BA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10.04(c)</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181" w:lineRule="exact"/>
        <w:rPr>
          <w:rFonts w:ascii="Arial" w:cs="Arial" w:eastAsia="Arial" w:hAnsi="Arial"/>
          <w:sz w:val="17"/>
          <w:szCs w:val="17"/>
          <w:color w:val="auto"/>
        </w:rPr>
      </w:pPr>
    </w:p>
    <w:p>
      <w:pPr>
        <w:ind w:right="100" w:firstLine="656"/>
        <w:spacing w:after="0" w:line="277" w:lineRule="auto"/>
        <w:tabs>
          <w:tab w:leader="none" w:pos="130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Each Lender (including in its capacities as a potential Hedge Bank and a potential Cash Management Bank) and the L/C-BA Issuer hereby authorize the Administrative Agent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enter into each of the Subordination Agreement, the Intercreditor Agreement and any amendment (or amendment and restatement) to any Collateral Document necessary to reflect the appointment of the Administrative Agent (as collateral agent) and the parity lien on the respective Collateral described therein in favor of any holders of Senior Note Indebtedness.</w:t>
      </w:r>
    </w:p>
    <w:p>
      <w:pPr>
        <w:spacing w:after="0" w:line="181" w:lineRule="exact"/>
        <w:rPr>
          <w:sz w:val="20"/>
          <w:szCs w:val="20"/>
          <w:color w:val="auto"/>
        </w:rPr>
      </w:pPr>
    </w:p>
    <w:p>
      <w:pPr>
        <w:ind w:left="1320" w:hanging="664"/>
        <w:spacing w:after="0"/>
        <w:tabs>
          <w:tab w:leader="none" w:pos="13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of Bank of America, N.A. and Bank of America, N.A., Singapore Branch, is entitled to the benefits of this Article IX.</w:t>
      </w:r>
    </w:p>
    <w:p>
      <w:pPr>
        <w:sectPr>
          <w:pgSz w:w="11900" w:h="16838" w:orient="portrait"/>
          <w:cols w:equalWidth="0" w:num="1">
            <w:col w:w="11400"/>
          </w:cols>
          <w:pgMar w:left="240" w:top="125" w:right="259" w:bottom="0" w:gutter="0" w:footer="0" w:header="0"/>
        </w:sectPr>
      </w:pPr>
    </w:p>
    <w:bookmarkStart w:id="62" w:name="page63"/>
    <w:bookmarkEnd w:id="62"/>
    <w:p>
      <w:pPr>
        <w:spacing w:after="0" w:line="92" w:lineRule="exact"/>
        <w:rPr>
          <w:sz w:val="20"/>
          <w:szCs w:val="20"/>
          <w:color w:val="auto"/>
        </w:rPr>
      </w:pPr>
    </w:p>
    <w:p>
      <w:pPr>
        <w:ind w:right="140" w:firstLine="648"/>
        <w:spacing w:after="0" w:line="274" w:lineRule="auto"/>
        <w:rPr>
          <w:sz w:val="20"/>
          <w:szCs w:val="20"/>
          <w:color w:val="auto"/>
        </w:rPr>
      </w:pPr>
      <w:r>
        <w:rPr>
          <w:rFonts w:ascii="Arial" w:cs="Arial" w:eastAsia="Arial" w:hAnsi="Arial"/>
          <w:sz w:val="17"/>
          <w:szCs w:val="17"/>
          <w:b w:val="1"/>
          <w:bCs w:val="1"/>
          <w:color w:val="auto"/>
        </w:rPr>
        <w:t>9.02 Rights as a Lender</w:t>
      </w:r>
      <w:r>
        <w:rPr>
          <w:rFonts w:ascii="Arial" w:cs="Arial" w:eastAsia="Arial" w:hAnsi="Arial"/>
          <w:sz w:val="17"/>
          <w:szCs w:val="17"/>
          <w:color w:val="auto"/>
        </w:rPr>
        <w:t>. The Person serving as the Administrative Agent hereunder shall have the same rights and powers in its capacity as a</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Restricted Subsidiary or other Affiliate thereof as if such Person were not the Administrative Agent hereunder and without any duty to account therefor to the Lenders.</w:t>
      </w:r>
    </w:p>
    <w:p>
      <w:pPr>
        <w:spacing w:after="0" w:line="174"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9.03 Exculpatory Provisions</w:t>
      </w:r>
      <w:r>
        <w:rPr>
          <w:rFonts w:ascii="Arial" w:cs="Arial" w:eastAsia="Arial" w:hAnsi="Arial"/>
          <w:sz w:val="18"/>
          <w:szCs w:val="18"/>
          <w:color w:val="auto"/>
        </w:rPr>
        <w:t>. The Administrative Agent shall not have any duties or obligations except those expressly set forth herein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Loan Documents. Without limiting the generality of the foregoing, the Administrative Agent:</w:t>
      </w:r>
    </w:p>
    <w:p>
      <w:pPr>
        <w:spacing w:after="0" w:line="166" w:lineRule="exact"/>
        <w:rPr>
          <w:sz w:val="20"/>
          <w:szCs w:val="20"/>
          <w:color w:val="auto"/>
        </w:rPr>
      </w:pPr>
    </w:p>
    <w:p>
      <w:pPr>
        <w:ind w:left="1300" w:hanging="64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right="200" w:firstLine="656"/>
        <w:spacing w:after="0" w:line="257" w:lineRule="auto"/>
        <w:tabs>
          <w:tab w:leader="none" w:pos="130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188" w:lineRule="exact"/>
        <w:rPr>
          <w:rFonts w:ascii="Arial" w:cs="Arial" w:eastAsia="Arial" w:hAnsi="Arial"/>
          <w:sz w:val="18"/>
          <w:szCs w:val="18"/>
          <w:color w:val="auto"/>
        </w:rPr>
      </w:pPr>
    </w:p>
    <w:p>
      <w:pPr>
        <w:ind w:right="300" w:firstLine="656"/>
        <w:spacing w:after="0" w:line="264" w:lineRule="auto"/>
        <w:tabs>
          <w:tab w:leader="none" w:pos="130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Borrowers or any of their Affiliates that is communicated to or obtained by the Person serving as the Administrative Agent or any of its Affiliates in any capacity.</w:t>
      </w:r>
    </w:p>
    <w:p>
      <w:pPr>
        <w:spacing w:after="0" w:line="181" w:lineRule="exact"/>
        <w:rPr>
          <w:rFonts w:ascii="Arial" w:cs="Arial" w:eastAsia="Arial" w:hAnsi="Arial"/>
          <w:sz w:val="18"/>
          <w:szCs w:val="18"/>
          <w:color w:val="auto"/>
        </w:rPr>
      </w:pPr>
    </w:p>
    <w:p>
      <w:pPr>
        <w:ind w:right="260" w:firstLine="656"/>
        <w:spacing w:after="0" w:line="257" w:lineRule="auto"/>
        <w:tabs>
          <w:tab w:leader="none" w:pos="130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a Borrower, a Lender or the L/C-BA Issuer.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56"/>
        <w:spacing w:after="0" w:line="273" w:lineRule="auto"/>
        <w:tabs>
          <w:tab w:leader="none" w:pos="1343"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7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9.04 Reliance by Administrative Agent</w:t>
      </w:r>
      <w:r>
        <w:rPr>
          <w:rFonts w:ascii="Arial" w:cs="Arial" w:eastAsia="Arial" w:hAnsi="Arial"/>
          <w:sz w:val="17"/>
          <w:szCs w:val="17"/>
          <w:color w:val="auto"/>
        </w:rPr>
        <w:t>. The Administrative Agent shall be entitled to rely upon, and shall not incur any liability for relying</w:t>
      </w:r>
      <w:r>
        <w:rPr>
          <w:rFonts w:ascii="Arial" w:cs="Arial" w:eastAsia="Arial" w:hAnsi="Arial"/>
          <w:sz w:val="17"/>
          <w:szCs w:val="17"/>
          <w:b w:val="1"/>
          <w:bCs w:val="1"/>
          <w:color w:val="auto"/>
        </w:rPr>
        <w:t xml:space="preserve"> </w:t>
      </w:r>
      <w:r>
        <w:rPr>
          <w:rFonts w:ascii="Arial" w:cs="Arial" w:eastAsia="Arial" w:hAnsi="Arial"/>
          <w:sz w:val="17"/>
          <w:szCs w:val="17"/>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or Bankers’ Acceptance, that by its terms must be fulfilled to the satisfaction of a Lender or the L/C-BA Issuer, the Administrative Agent may presume that such condition is satisfactory to such Lender or the L/C-BA Issuer unless the Administrative Agent shall have received notice to the contrary from such Lender or the L/C-BA Issuer prior to the making of such Loan or the issuance of such Letter of Credit or Bankers’ Acceptance.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ind w:right="120" w:firstLine="648"/>
        <w:spacing w:after="0" w:line="298" w:lineRule="auto"/>
        <w:rPr>
          <w:sz w:val="20"/>
          <w:szCs w:val="20"/>
          <w:color w:val="auto"/>
        </w:rPr>
      </w:pPr>
      <w:r>
        <w:rPr>
          <w:rFonts w:ascii="Arial" w:cs="Arial" w:eastAsia="Arial" w:hAnsi="Arial"/>
          <w:sz w:val="16"/>
          <w:szCs w:val="16"/>
          <w:b w:val="1"/>
          <w:bCs w:val="1"/>
          <w:color w:val="auto"/>
        </w:rPr>
        <w:t>9.05 Delegation of Duties</w:t>
      </w:r>
      <w:r>
        <w:rPr>
          <w:rFonts w:ascii="Arial" w:cs="Arial" w:eastAsia="Arial" w:hAnsi="Arial"/>
          <w:sz w:val="16"/>
          <w:szCs w:val="16"/>
          <w:color w:val="auto"/>
        </w:rPr>
        <w:t>. The Administrative Agent may perform any and all of its duties and exercise its rights and powers 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w:t>
      </w:r>
    </w:p>
    <w:p>
      <w:pPr>
        <w:spacing w:after="0" w:line="154"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9.06 Resignation of Administrative Agent</w:t>
      </w:r>
      <w:r>
        <w:rPr>
          <w:rFonts w:ascii="Arial" w:cs="Arial" w:eastAsia="Arial" w:hAnsi="Arial"/>
          <w:sz w:val="16"/>
          <w:szCs w:val="16"/>
          <w:color w:val="auto"/>
        </w:rPr>
        <w:t>. (a) The Administrative Agent may at any time give notice of its resignation to the Lenders, the</w:t>
      </w:r>
      <w:r>
        <w:rPr>
          <w:rFonts w:ascii="Arial" w:cs="Arial" w:eastAsia="Arial" w:hAnsi="Arial"/>
          <w:sz w:val="16"/>
          <w:szCs w:val="16"/>
          <w:b w:val="1"/>
          <w:bCs w:val="1"/>
          <w:color w:val="auto"/>
        </w:rPr>
        <w:t xml:space="preserve"> </w:t>
      </w:r>
      <w:r>
        <w:rPr>
          <w:rFonts w:ascii="Arial" w:cs="Arial" w:eastAsia="Arial" w:hAnsi="Arial"/>
          <w:sz w:val="16"/>
          <w:szCs w:val="16"/>
          <w:color w:val="auto"/>
        </w:rPr>
        <w:t>L/C-BA Issuer and the Borrowing Agent. Upon receipt of any such notice of resignation, the Required Lenders shall have the right, in consultation with the Borrowing Agent,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BA Issuer, appoint a successor Administrative Agent 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Borrowing Agent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and (2) all payments, communications and determinations provided to be made by, to or through the Administrative Agent shall instead be made by or to each Lender and the L/C-BA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w:t>
      </w:r>
    </w:p>
    <w:p>
      <w:pPr>
        <w:sectPr>
          <w:pgSz w:w="11900" w:h="16930" w:orient="portrait"/>
          <w:cols w:equalWidth="0" w:num="1">
            <w:col w:w="11400"/>
          </w:cols>
          <w:pgMar w:left="240" w:top="121" w:right="259" w:bottom="0" w:gutter="0" w:footer="0" w:header="0"/>
        </w:sectPr>
      </w:pPr>
    </w:p>
    <w:bookmarkStart w:id="63" w:name="page64"/>
    <w:bookmarkEnd w:id="63"/>
    <w:p>
      <w:pPr>
        <w:ind w:right="120"/>
        <w:spacing w:after="0" w:line="342" w:lineRule="auto"/>
        <w:rPr>
          <w:sz w:val="20"/>
          <w:szCs w:val="20"/>
          <w:color w:val="auto"/>
        </w:rPr>
      </w:pPr>
      <w:r>
        <w:rPr>
          <w:rFonts w:ascii="Arial" w:cs="Arial" w:eastAsia="Arial" w:hAnsi="Arial"/>
          <w:sz w:val="16"/>
          <w:szCs w:val="16"/>
          <w:color w:val="auto"/>
        </w:rPr>
        <w:t xml:space="preserve">this Article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continue in effect for the benefit of such retiring Administrative Agent, its sub agents and their respective Related Parties in respect of any actions taken or omitted to be taken by any of them while the retiring Administrative Agent was acting as Administrative Agent.</w:t>
      </w:r>
    </w:p>
    <w:p>
      <w:pPr>
        <w:spacing w:after="0" w:line="124" w:lineRule="exact"/>
        <w:rPr>
          <w:sz w:val="20"/>
          <w:szCs w:val="20"/>
          <w:color w:val="auto"/>
        </w:rPr>
      </w:pPr>
    </w:p>
    <w:p>
      <w:pPr>
        <w:ind w:right="160" w:firstLine="656"/>
        <w:spacing w:after="0" w:line="255" w:lineRule="auto"/>
        <w:tabs>
          <w:tab w:leader="none" w:pos="130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the Borrowing Agent and such Person remove such Person as Administrative Agent and, with the consent of the Borrowing Agent so long as no Event of Default has occurred and is continuing,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93" w:lineRule="exact"/>
        <w:rPr>
          <w:rFonts w:ascii="Arial" w:cs="Arial" w:eastAsia="Arial" w:hAnsi="Arial"/>
          <w:sz w:val="18"/>
          <w:szCs w:val="18"/>
          <w:color w:val="auto"/>
        </w:rPr>
      </w:pPr>
    </w:p>
    <w:p>
      <w:pPr>
        <w:ind w:firstLine="656"/>
        <w:spacing w:after="0" w:line="291" w:lineRule="auto"/>
        <w:tabs>
          <w:tab w:leader="none" w:pos="130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Any resignation by Bank of America as Administrative Agent pursuant to this Section shall also constitute its resignation as L/C-BA Issuer and Swing Line Lender. Upon the acceptance of a successor’s appointment as Administrative Agent hereunder, (a) such successor shall succeed to and become vested with all of the rights, powers, privileges and duties of such retiring L/C-BA Issuer and Swing Line Lender, (b) such retiring L/C-BA Issuer and Swing Line Lender shall be discharged from all of their respective duties and obligations hereunder or under the other Loan Documents, and (c) the successor L/C-BA Issuer of such retiring L/C-BA Issuer shall issue letters of credit and bankers’ acceptances in substitution for the Letters of Credit or Bankers’ Acceptances issued by such retiring L/C-BA Issuer, if any, outstanding at the time of such succession or make other arrangements satisfactory to such retiring L/C-BA Issuer to effectively assume the obligations of such retiring L/C-BA Issuer with respect to such Letters of Credit or Bankers’ Acceptances.</w:t>
      </w:r>
    </w:p>
    <w:p>
      <w:pPr>
        <w:spacing w:after="0" w:line="163" w:lineRule="exact"/>
        <w:rPr>
          <w:sz w:val="20"/>
          <w:szCs w:val="20"/>
          <w:color w:val="auto"/>
        </w:rPr>
      </w:pPr>
    </w:p>
    <w:p>
      <w:pPr>
        <w:ind w:right="1020" w:firstLine="648"/>
        <w:spacing w:after="0" w:line="347" w:lineRule="auto"/>
        <w:rPr>
          <w:sz w:val="20"/>
          <w:szCs w:val="20"/>
          <w:color w:val="auto"/>
        </w:rPr>
      </w:pPr>
      <w:r>
        <w:rPr>
          <w:rFonts w:ascii="Arial" w:cs="Arial" w:eastAsia="Arial" w:hAnsi="Arial"/>
          <w:sz w:val="16"/>
          <w:szCs w:val="16"/>
          <w:b w:val="1"/>
          <w:bCs w:val="1"/>
          <w:color w:val="auto"/>
        </w:rPr>
        <w:t>9.07 Non-Reliance on Administrative Agent and Other Lenders</w:t>
      </w:r>
      <w:r>
        <w:rPr>
          <w:rFonts w:ascii="Arial" w:cs="Arial" w:eastAsia="Arial" w:hAnsi="Arial"/>
          <w:sz w:val="16"/>
          <w:szCs w:val="16"/>
          <w:color w:val="auto"/>
        </w:rPr>
        <w:t>. Each Lender and the L/C-BA Issuer acknowledges that it has,</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independently and without reliance upon the Administrative Agent or any other Lender or any of their Related Parties and based on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documents and information as it has deemed appropriate, made its own credit analysis and decision to enter into this Agreement. Each Lender and the L/C-BA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0" w:lineRule="exact"/>
        <w:rPr>
          <w:sz w:val="20"/>
          <w:szCs w:val="20"/>
          <w:color w:val="auto"/>
        </w:rPr>
      </w:pPr>
    </w:p>
    <w:p>
      <w:pPr>
        <w:ind w:right="180" w:firstLine="648"/>
        <w:spacing w:after="0" w:line="289" w:lineRule="auto"/>
        <w:rPr>
          <w:sz w:val="20"/>
          <w:szCs w:val="20"/>
          <w:color w:val="auto"/>
        </w:rPr>
      </w:pPr>
      <w:r>
        <w:rPr>
          <w:rFonts w:ascii="Arial" w:cs="Arial" w:eastAsia="Arial" w:hAnsi="Arial"/>
          <w:sz w:val="17"/>
          <w:szCs w:val="17"/>
          <w:b w:val="1"/>
          <w:bCs w:val="1"/>
          <w:color w:val="auto"/>
        </w:rPr>
        <w:t>9.08 No Other Duties, Etc</w:t>
      </w:r>
      <w:r>
        <w:rPr>
          <w:rFonts w:ascii="Arial" w:cs="Arial" w:eastAsia="Arial" w:hAnsi="Arial"/>
          <w:sz w:val="17"/>
          <w:szCs w:val="17"/>
          <w:color w:val="auto"/>
        </w:rPr>
        <w:t>. Anything herein to the contrary notwithstanding, none of the Bookrunners, Joint Lead Arrangers, Co-Syndication</w:t>
      </w:r>
      <w:r>
        <w:rPr>
          <w:rFonts w:ascii="Arial" w:cs="Arial" w:eastAsia="Arial" w:hAnsi="Arial"/>
          <w:sz w:val="17"/>
          <w:szCs w:val="17"/>
          <w:b w:val="1"/>
          <w:bCs w:val="1"/>
          <w:color w:val="auto"/>
        </w:rPr>
        <w:t xml:space="preserve"> </w:t>
      </w:r>
      <w:r>
        <w:rPr>
          <w:rFonts w:ascii="Arial" w:cs="Arial" w:eastAsia="Arial" w:hAnsi="Arial"/>
          <w:sz w:val="17"/>
          <w:szCs w:val="17"/>
          <w:color w:val="auto"/>
        </w:rPr>
        <w:t>Agents or Documentation Agent listed on the cover page hereof shall have any powers, duties or responsibilities under this Agreement or any of the other Loan Documents, except in its capacity, as applicable, as the Administrative Agent, a Lender or an L/C-BA Issuer hereunder.</w:t>
      </w:r>
    </w:p>
    <w:p>
      <w:pPr>
        <w:spacing w:after="0" w:line="158"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b w:val="1"/>
          <w:bCs w:val="1"/>
          <w:color w:val="auto"/>
        </w:rPr>
        <w:t xml:space="preserve">9.09 Administrative Agent May File Proofs of Claim. </w:t>
      </w:r>
      <w:r>
        <w:rPr>
          <w:rFonts w:ascii="Arial" w:cs="Arial" w:eastAsia="Arial" w:hAnsi="Arial"/>
          <w:sz w:val="18"/>
          <w:szCs w:val="18"/>
          <w:color w:val="auto"/>
        </w:rPr>
        <w:t>In case of the pendency of any proceeding under any Debtor Relief Law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judicial proceeding relative to any Loan Party, the Administrative Agent (irrespective of whether the principal of any Loan or L/C-BA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4" w:lineRule="exact"/>
        <w:rPr>
          <w:sz w:val="20"/>
          <w:szCs w:val="20"/>
          <w:color w:val="auto"/>
        </w:rPr>
      </w:pPr>
    </w:p>
    <w:p>
      <w:pPr>
        <w:ind w:right="160" w:firstLine="656"/>
        <w:spacing w:after="0" w:line="297" w:lineRule="auto"/>
        <w:tabs>
          <w:tab w:leader="none" w:pos="1294"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L/C-BA Obligations and all other Obligations that are owing and unpaid and to file such other documents as may be necessary or advisable in order to have the claims of the Lenders, the L/C-BA Issuer and the Administrative Agent (including any claim for the reasonable compensation, expenses, disbursements and advances of the Lenders, the L/C-BA Issuer and the Administrative Agent and their respective agents and counsel and all other amounts due the Lenders, the L/C-BA Issuer and the Administrative Agent under </w:t>
      </w:r>
      <w:r>
        <w:rPr>
          <w:rFonts w:ascii="Arial" w:cs="Arial" w:eastAsia="Arial" w:hAnsi="Arial"/>
          <w:sz w:val="16"/>
          <w:szCs w:val="16"/>
          <w:u w:val="single" w:color="auto"/>
          <w:color w:val="auto"/>
        </w:rPr>
        <w:t>Sections 2.03(i)</w:t>
      </w:r>
      <w:r>
        <w:rPr>
          <w:rFonts w:ascii="Arial" w:cs="Arial" w:eastAsia="Arial" w:hAnsi="Arial"/>
          <w:sz w:val="16"/>
          <w:szCs w:val="16"/>
          <w:color w:val="auto"/>
        </w:rPr>
        <w:t xml:space="preserve">, (j) and (k),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allowed in such judicial proceeding; and</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-284480</wp:posOffset>
            </wp:positionV>
            <wp:extent cx="4921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L/C-BA Issuer to make such payments to the Administrative Agent and, in the event that the Administrative Agent shall consent to the making of such payments directly to the Lenders and the L/C-BA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8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the L/C-BA Issuer any plan of reorganization, arrangement, adjustment or composition affecting the Obligations or the rights of any Lender or the L/C-BA Issuer to authorize the Administrative Agent to vote in respect of the claim of any Lender or the L/C-BA Issuer in any such proceeding.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9.10 Collateral and Guaranty Matters</w:t>
      </w:r>
      <w:r>
        <w:rPr>
          <w:rFonts w:ascii="Arial" w:cs="Arial" w:eastAsia="Arial" w:hAnsi="Arial"/>
          <w:sz w:val="18"/>
          <w:szCs w:val="18"/>
          <w:color w:val="auto"/>
        </w:rPr>
        <w:t>. Each of the Lenders (including in its capacities as a potential Cash Management Bank and a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Hedge Bank) and the L/C-BA Issuer irrevocably authorize the Administrative Agent, at its option and in its discretion,</w:t>
      </w:r>
    </w:p>
    <w:p>
      <w:pPr>
        <w:spacing w:after="0" w:line="166" w:lineRule="exact"/>
        <w:rPr>
          <w:sz w:val="20"/>
          <w:szCs w:val="20"/>
          <w:color w:val="auto"/>
        </w:rPr>
      </w:pPr>
    </w:p>
    <w:p>
      <w:pPr>
        <w:ind w:right="160" w:firstLine="656"/>
        <w:spacing w:after="0" w:line="272" w:lineRule="auto"/>
        <w:tabs>
          <w:tab w:leader="none" w:pos="1294"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as to which arrangements satisfactory to the applicable Cash Management Bank or Hedge Bank shall have been made) and the expiration or termination of all Letters of Credit and Bankers’ Acceptances (other than Letters of Credit or Bankers’ Acceptances as to which other arrangements satisfactory to the Administrative Agent and the L/C-BA Issuer shall have been made), (ii) that is sold or to be sold as part of or in connection with any sale permitted hereunder or under any other Loan Document, or (iii) subject to </w:t>
      </w:r>
      <w:r>
        <w:rPr>
          <w:rFonts w:ascii="Arial" w:cs="Arial" w:eastAsia="Arial" w:hAnsi="Arial"/>
          <w:sz w:val="17"/>
          <w:szCs w:val="17"/>
          <w:u w:val="single" w:color="auto"/>
          <w:color w:val="auto"/>
        </w:rPr>
        <w:t>Section 10.01</w:t>
      </w:r>
      <w:r>
        <w:rPr>
          <w:rFonts w:ascii="Arial" w:cs="Arial" w:eastAsia="Arial" w:hAnsi="Arial"/>
          <w:sz w:val="17"/>
          <w:szCs w:val="17"/>
          <w:color w:val="auto"/>
        </w:rPr>
        <w:t>, if approved, authorized or ratified in writing by the Required Lenders;</w:t>
      </w:r>
    </w:p>
    <w:p>
      <w:pPr>
        <w:spacing w:after="0" w:line="177" w:lineRule="exact"/>
        <w:rPr>
          <w:rFonts w:ascii="Arial" w:cs="Arial" w:eastAsia="Arial" w:hAnsi="Arial"/>
          <w:sz w:val="17"/>
          <w:szCs w:val="17"/>
          <w:color w:val="auto"/>
        </w:rPr>
      </w:pPr>
    </w:p>
    <w:p>
      <w:pPr>
        <w:ind w:firstLine="656"/>
        <w:spacing w:after="0" w:line="277" w:lineRule="auto"/>
        <w:tabs>
          <w:tab w:leader="none" w:pos="130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7.01(l)</w:t>
      </w:r>
      <w:r>
        <w:rPr>
          <w:rFonts w:ascii="Arial" w:cs="Arial" w:eastAsia="Arial" w:hAnsi="Arial"/>
          <w:sz w:val="18"/>
          <w:szCs w:val="18"/>
          <w:color w:val="auto"/>
        </w:rPr>
        <w:t>; and</w:t>
      </w:r>
    </w:p>
    <w:p>
      <w:pPr>
        <w:sectPr>
          <w:pgSz w:w="11900" w:h="16838" w:orient="portrait"/>
          <w:cols w:equalWidth="0" w:num="1">
            <w:col w:w="11420"/>
          </w:cols>
          <w:pgMar w:left="240" w:top="125" w:right="239" w:bottom="0" w:gutter="0" w:footer="0" w:header="0"/>
        </w:sectPr>
      </w:pPr>
    </w:p>
    <w:bookmarkStart w:id="64" w:name="page65"/>
    <w:bookmarkEnd w:id="64"/>
    <w:p>
      <w:pPr>
        <w:spacing w:after="0" w:line="90" w:lineRule="exact"/>
        <w:rPr>
          <w:sz w:val="20"/>
          <w:szCs w:val="20"/>
          <w:color w:val="auto"/>
        </w:rPr>
      </w:pPr>
    </w:p>
    <w:p>
      <w:pPr>
        <w:ind w:right="680" w:firstLine="656"/>
        <w:spacing w:after="0" w:line="277" w:lineRule="auto"/>
        <w:tabs>
          <w:tab w:leader="none" w:pos="130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Restricted Subsidiary as a result of a transaction permitted hereunder.</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 Each Lender hereby authorizes the Administrative Agent to give blockage notices in connection with any Subordinated Debt at the direction of Required Lenders and agrees that it will not act unilaterally to deliver such notices.</w:t>
      </w:r>
    </w:p>
    <w:p>
      <w:pPr>
        <w:spacing w:after="0" w:line="18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9.11 Secured Cash Management Agreements and Secured Hedge Agreements</w:t>
      </w:r>
      <w:r>
        <w:rPr>
          <w:rFonts w:ascii="Arial" w:cs="Arial" w:eastAsia="Arial" w:hAnsi="Arial"/>
          <w:sz w:val="17"/>
          <w:szCs w:val="17"/>
          <w:color w:val="auto"/>
        </w:rPr>
        <w:t>. Except as otherwise expressly set forth herein, no Cash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Management Bank or Hedge Bank that obtains the benefit of the provisions of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X.MISCELLANEOUS</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b w:val="1"/>
          <w:bCs w:val="1"/>
          <w:color w:val="auto"/>
        </w:rPr>
        <w:t>10.01 Amendments, Etc</w:t>
      </w:r>
      <w:r>
        <w:rPr>
          <w:rFonts w:ascii="Arial" w:cs="Arial" w:eastAsia="Arial" w:hAnsi="Arial"/>
          <w:sz w:val="18"/>
          <w:szCs w:val="18"/>
          <w:color w:val="auto"/>
        </w:rPr>
        <w:t>. No amendment or waiver of any provision of this Agreement or any other Loan Document, and no consent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departure by the Borrowers or any other Loan Party therefrom, shall be effective unless in writing signed by the Required Lenders (or, in the case of the Intercreditor Agreement, by the Administrative Agent with the written consent of the Required Lenders) and the Borrowers or the applicable Loan Party (or, in the case of the Intercreditor Agreement, by the other parties required to be party thereto pursuant to the terms thereof), as the case may be,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w:t>
      </w:r>
    </w:p>
    <w:p>
      <w:pPr>
        <w:spacing w:after="0" w:line="192" w:lineRule="exact"/>
        <w:rPr>
          <w:sz w:val="20"/>
          <w:szCs w:val="20"/>
          <w:color w:val="auto"/>
        </w:rPr>
      </w:pPr>
    </w:p>
    <w:p>
      <w:pPr>
        <w:ind w:left="1300" w:hanging="644"/>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225" w:lineRule="exact"/>
        <w:rPr>
          <w:rFonts w:ascii="Arial" w:cs="Arial" w:eastAsia="Arial" w:hAnsi="Arial"/>
          <w:sz w:val="18"/>
          <w:szCs w:val="18"/>
          <w:color w:val="auto"/>
        </w:rPr>
      </w:pPr>
    </w:p>
    <w:p>
      <w:pPr>
        <w:ind w:right="200" w:firstLine="656"/>
        <w:spacing w:after="0" w:line="277" w:lineRule="auto"/>
        <w:tabs>
          <w:tab w:leader="none" w:pos="130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ind w:right="80" w:firstLine="656"/>
        <w:spacing w:after="0" w:line="264" w:lineRule="auto"/>
        <w:tabs>
          <w:tab w:leader="none" w:pos="130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81" w:lineRule="exact"/>
        <w:rPr>
          <w:rFonts w:ascii="Arial" w:cs="Arial" w:eastAsia="Arial" w:hAnsi="Arial"/>
          <w:sz w:val="18"/>
          <w:szCs w:val="18"/>
          <w:color w:val="auto"/>
        </w:rPr>
      </w:pPr>
    </w:p>
    <w:p>
      <w:pPr>
        <w:ind w:firstLine="656"/>
        <w:spacing w:after="0" w:line="255" w:lineRule="auto"/>
        <w:tabs>
          <w:tab w:leader="none" w:pos="130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L/C-BA Borrowing, mandatory prepayment or (subject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of the second proviso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any fees or other amounts payable hereunder or under any other Loan Document without the written consent of each Lender directly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Required Lenders shall be necessary (i) to amend the definition of “Default Rate” or to waive any obligation of the Borrowers to pay interest, Letter of Credit Fees or BA Fees at the Default Rate and (ii) to amend any financial covenant hereunder (or any defined term used therein) even if the effect of such amendment would be to reduce the rate of interest on any Loan or L/C-BA Borrowing or to reduce any fee payable hereunder;</w:t>
      </w:r>
    </w:p>
    <w:p>
      <w:pPr>
        <w:spacing w:after="0" w:line="193" w:lineRule="exact"/>
        <w:rPr>
          <w:rFonts w:ascii="Arial" w:cs="Arial" w:eastAsia="Arial" w:hAnsi="Arial"/>
          <w:sz w:val="18"/>
          <w:szCs w:val="18"/>
          <w:color w:val="auto"/>
        </w:rPr>
      </w:pPr>
    </w:p>
    <w:p>
      <w:pPr>
        <w:ind w:right="20" w:firstLine="656"/>
        <w:spacing w:after="0" w:line="297" w:lineRule="auto"/>
        <w:tabs>
          <w:tab w:leader="none" w:pos="130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change (i)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in a manner that would alter the pro rata sharing of payments required thereby without the written consent of each Lender or (ii) the order of application of any reduction in the Commitments or any prepayment of Loans among the Facilities from the application thereof set forth in the applicable provisions of </w:t>
      </w:r>
      <w:r>
        <w:rPr>
          <w:rFonts w:ascii="Arial" w:cs="Arial" w:eastAsia="Arial" w:hAnsi="Arial"/>
          <w:sz w:val="16"/>
          <w:szCs w:val="16"/>
          <w:u w:val="single" w:color="auto"/>
          <w:color w:val="auto"/>
        </w:rPr>
        <w:t>Section 2.05</w:t>
      </w:r>
      <w:r>
        <w:rPr>
          <w:rFonts w:ascii="Arial" w:cs="Arial" w:eastAsia="Arial" w:hAnsi="Arial"/>
          <w:sz w:val="16"/>
          <w:szCs w:val="16"/>
          <w:color w:val="auto"/>
        </w:rPr>
        <w:t>, in any manner that materially and adversely affects the Lenders under a Facility without the written consent of (i) if such Facility is the Domestic Term Loan Facility, the Required Domestic Term Loan Lenders, (ii) if such Facility is the Singapore Term Loan Facility, the Required Singapore Term Loan Lenders and (iii) if such Facility is the Revolving Facility, the Required Revolving Lenders;</w:t>
      </w:r>
    </w:p>
    <w:p>
      <w:pPr>
        <w:spacing w:after="0" w:line="158" w:lineRule="exact"/>
        <w:rPr>
          <w:rFonts w:ascii="Arial" w:cs="Arial" w:eastAsia="Arial" w:hAnsi="Arial"/>
          <w:sz w:val="16"/>
          <w:szCs w:val="16"/>
          <w:color w:val="auto"/>
        </w:rPr>
      </w:pPr>
    </w:p>
    <w:p>
      <w:pPr>
        <w:ind w:right="180" w:firstLine="656"/>
        <w:spacing w:after="0" w:line="264" w:lineRule="auto"/>
        <w:tabs>
          <w:tab w:leader="none" w:pos="130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10.01(f)</w:t>
      </w:r>
      <w:r>
        <w:rPr>
          <w:rFonts w:ascii="Arial" w:cs="Arial" w:eastAsia="Arial" w:hAnsi="Arial"/>
          <w:sz w:val="18"/>
          <w:szCs w:val="18"/>
          <w:color w:val="auto"/>
        </w:rPr>
        <w:t>), without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written consent of each Lender or (ii) the definition of “Required Facility Lenders,” “Required Revolving Lenders,” “Required Singapore Term Loan Lenders” or “Required Domestic Term Loan Lenders” without the written consent of each Lender under the applicable Facility;</w:t>
      </w:r>
    </w:p>
    <w:p>
      <w:pPr>
        <w:spacing w:after="0" w:line="147" w:lineRule="exact"/>
        <w:rPr>
          <w:sz w:val="20"/>
          <w:szCs w:val="20"/>
          <w:color w:val="auto"/>
        </w:rPr>
      </w:pPr>
    </w:p>
    <w:p>
      <w:pPr>
        <w:ind w:right="40" w:firstLine="656"/>
        <w:spacing w:after="0" w:line="257" w:lineRule="auto"/>
        <w:tabs>
          <w:tab w:leader="none" w:pos="131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(i) release any Guarantor from the Guaranty, (ii) release the Liens on all or substantially all of the Collateral in any transaction or series of related transactions (it being understood and agreed that the entering into of the Senior Note Documents and the transactions contemplated thereby shall not constitute a release of the Liens on all or substantially all of the Collateral), or (iii) release WFS from its joint and several obligations with respect to WFS Europe and WFS Singapore, without the written consent of each Lender, except to the extent such release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w:t>
      </w:r>
    </w:p>
    <w:p>
      <w:pPr>
        <w:spacing w:after="0" w:line="188" w:lineRule="exact"/>
        <w:rPr>
          <w:rFonts w:ascii="Arial" w:cs="Arial" w:eastAsia="Arial" w:hAnsi="Arial"/>
          <w:sz w:val="18"/>
          <w:szCs w:val="18"/>
          <w:color w:val="auto"/>
        </w:rPr>
      </w:pPr>
    </w:p>
    <w:p>
      <w:pPr>
        <w:ind w:right="900" w:firstLine="656"/>
        <w:spacing w:after="0" w:line="342" w:lineRule="auto"/>
        <w:tabs>
          <w:tab w:leader="none" w:pos="1304"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result in any Borrower satisfying any condition to a Revolving Borrowing contained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hereof (which, but for such amendment, waiver or consent would not otherwise be satisfied), unless and until the Required Revolving Lenders shall consent thereto; or</w:t>
      </w:r>
    </w:p>
    <w:p>
      <w:pPr>
        <w:spacing w:after="0" w:line="123" w:lineRule="exact"/>
        <w:rPr>
          <w:rFonts w:ascii="Arial" w:cs="Arial" w:eastAsia="Arial" w:hAnsi="Arial"/>
          <w:sz w:val="16"/>
          <w:szCs w:val="16"/>
          <w:color w:val="auto"/>
        </w:rPr>
      </w:pPr>
    </w:p>
    <w:p>
      <w:pPr>
        <w:ind w:right="220" w:firstLine="656"/>
        <w:spacing w:after="0" w:line="277" w:lineRule="auto"/>
        <w:tabs>
          <w:tab w:leader="none" w:pos="131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the Required Facility Lenders under such Facility;</w:t>
      </w:r>
    </w:p>
    <w:p>
      <w:pPr>
        <w:sectPr>
          <w:pgSz w:w="11900" w:h="16929" w:orient="portrait"/>
          <w:cols w:equalWidth="0" w:num="1">
            <w:col w:w="11420"/>
          </w:cols>
          <w:pgMar w:left="240" w:top="125" w:right="239" w:bottom="0" w:gutter="0" w:footer="0" w:header="0"/>
        </w:sectPr>
      </w:pPr>
    </w:p>
    <w:bookmarkStart w:id="65" w:name="page66"/>
    <w:bookmarkEnd w:id="65"/>
    <w:p>
      <w:pPr>
        <w:ind w:right="20"/>
        <w:spacing w:after="0" w:line="285"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no amendment, waiver or consent shall, unless in writing and signed by the L/C-BA Issuer in addition to the Lenders required above, affect the rights or duties of the L/C-BA Issuer under this Agreement or any Issuer Document relating to any Letter of Credit or Bankers’ Acceptance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and the definitions of the terms “Secured Cash Management Agreement” and “Secured Hedge Agreement” may not be amended, waived or otherwise modified in a manner adverse to any Cash Management Bank or Hedge Bank without the consent of each affected Cash Management Bank and Hedge Bank that has provided the Administrative Agent with the notice contemplated by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in respect of any affected Secured Cash Management Agreement or Secured Hedge Agreement; (v) the Fee Letters may be amended, or rights or privileges thereunder waived, in a writing executed only by the parties thereto; and (vi) any amendment which in the opinion of the Administrative Agent and the Singapore Agent relates strictly to the interest setting, payment and/or funding mechanics of the Singapore Term Loan Facility shall be effective upon the consent of WFS Singapore, the Administrative Agent and the Singapore Agent and no Lenders other than the Required Singapore Term Loan Lenders. Notwithstanding anything to the contrary herein, no Defaulting Lender other than a Voting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(A) the applicable Lenders other than Defaulting Lenders), and (B) any applicable Voting Defaulting Lenders), except that (x) the Commitment of any Defaulting Lender may not be increased or extended without the consent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such Lender and (y) any waiver, amendment or modification requiring the consent of all Lenders or each affected Lender, or all Lenders or each effected Lender under a Facility, that by its terms affects any Defaulting Lender more adversely than other affected Lenders shall require the consent of such Defaulting Lender.</w:t>
      </w:r>
    </w:p>
    <w:p>
      <w:pPr>
        <w:spacing w:after="0" w:line="181"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 xml:space="preserve">Notwithstanding any provision herein to the contrary, but subject to the following paragraph, this Agreement may be amended with the written consent of the Required Lenders, the Administrative Agent and the Borrowers (i) to add one or more additional revolving credit or term loan facilities to this Agreement , in each case subject to the limitations in </w:t>
      </w:r>
      <w:r>
        <w:rPr>
          <w:rFonts w:ascii="Arial" w:cs="Arial" w:eastAsia="Arial" w:hAnsi="Arial"/>
          <w:sz w:val="16"/>
          <w:szCs w:val="16"/>
          <w:u w:val="single" w:color="auto"/>
          <w:color w:val="auto"/>
        </w:rPr>
        <w:t>Section 2.14</w:t>
      </w:r>
      <w:r>
        <w:rPr>
          <w:rFonts w:ascii="Arial" w:cs="Arial" w:eastAsia="Arial" w:hAnsi="Arial"/>
          <w:sz w:val="16"/>
          <w:szCs w:val="16"/>
          <w:color w:val="auto"/>
        </w:rPr>
        <w: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w:t>
      </w:r>
    </w:p>
    <w:p>
      <w:pPr>
        <w:spacing w:after="0" w:line="2" w:lineRule="exact"/>
        <w:rPr>
          <w:sz w:val="20"/>
          <w:szCs w:val="20"/>
          <w:color w:val="auto"/>
        </w:rPr>
      </w:pPr>
    </w:p>
    <w:p>
      <w:pPr>
        <w:ind w:right="460" w:firstLine="8"/>
        <w:spacing w:after="0" w:line="255" w:lineRule="auto"/>
        <w:tabs>
          <w:tab w:leader="none" w:pos="26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8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6"/>
          <w:szCs w:val="16"/>
          <w:b w:val="1"/>
          <w:bCs w:val="1"/>
          <w:color w:val="auto"/>
        </w:rPr>
        <w:t>Notices; Effectiveness; Electronic Communication</w:t>
      </w:r>
      <w:r>
        <w:rPr>
          <w:rFonts w:ascii="Arial" w:cs="Arial" w:eastAsia="Arial" w:hAnsi="Arial"/>
          <w:sz w:val="16"/>
          <w:szCs w:val="16"/>
          <w:color w:val="auto"/>
        </w:rPr>
        <w:t>.</w:t>
      </w:r>
    </w:p>
    <w:p>
      <w:pPr>
        <w:spacing w:after="0" w:line="229" w:lineRule="exact"/>
        <w:rPr>
          <w:sz w:val="20"/>
          <w:szCs w:val="20"/>
          <w:color w:val="auto"/>
        </w:rPr>
      </w:pPr>
    </w:p>
    <w:p>
      <w:pPr>
        <w:ind w:right="220" w:firstLine="656"/>
        <w:spacing w:after="0" w:line="279" w:lineRule="auto"/>
        <w:tabs>
          <w:tab w:leader="none" w:pos="1294"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Notices Generally</w:t>
      </w:r>
      <w:r>
        <w:rPr>
          <w:rFonts w:ascii="Arial" w:cs="Arial" w:eastAsia="Arial" w:hAnsi="Arial"/>
          <w:sz w:val="17"/>
          <w:szCs w:val="17"/>
          <w:color w:val="auto"/>
        </w:rPr>
        <w:t xml:space="preserve">. Except in the case of notices and other communications expressly permitted to be given by telephone (and except as provided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820" w:right="200" w:firstLine="647"/>
        <w:spacing w:after="0" w:line="277" w:lineRule="auto"/>
        <w:tabs>
          <w:tab w:leader="none" w:pos="213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if to any Borrower, the Administrative Agent, the L/C-BA Issuer or the Swing Line Lender, to the address, telecopier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820" w:right="500" w:firstLine="647"/>
        <w:spacing w:after="0" w:line="312" w:lineRule="auto"/>
        <w:tabs>
          <w:tab w:leader="none" w:pos="2147" w:val="left"/>
        </w:tabs>
        <w:numPr>
          <w:ilvl w:val="1"/>
          <w:numId w:val="198"/>
        </w:numPr>
        <w:rPr>
          <w:rFonts w:ascii="Arial" w:cs="Arial" w:eastAsia="Arial" w:hAnsi="Arial"/>
          <w:sz w:val="16"/>
          <w:szCs w:val="16"/>
          <w:color w:val="auto"/>
        </w:rPr>
      </w:pPr>
      <w:r>
        <w:rPr>
          <w:rFonts w:ascii="Arial" w:cs="Arial" w:eastAsia="Arial" w:hAnsi="Arial"/>
          <w:sz w:val="16"/>
          <w:szCs w:val="16"/>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any Borrower).</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8" w:lineRule="exact"/>
        <w:rPr>
          <w:sz w:val="20"/>
          <w:szCs w:val="20"/>
          <w:color w:val="auto"/>
        </w:rPr>
      </w:pPr>
    </w:p>
    <w:p>
      <w:pPr>
        <w:ind w:right="440" w:firstLine="656"/>
        <w:spacing w:after="0" w:line="277" w:lineRule="auto"/>
        <w:tabs>
          <w:tab w:leader="none" w:pos="1304"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Notices and other communications to the Lenders and the L/C-BA Issuer hereunder may be delivered or furnished by electronic communication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(including e 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the L/C-BA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the L/C-BA Issuer, as applicable, has notified the Administrative Agent that it is incapable of receiving notices under such Article by electronic communication. The Administrative Agent or the Borrowers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88" w:lineRule="exact"/>
        <w:rPr>
          <w:sz w:val="20"/>
          <w:szCs w:val="20"/>
          <w:color w:val="auto"/>
        </w:rPr>
      </w:pPr>
    </w:p>
    <w:p>
      <w:pPr>
        <w:ind w:right="40" w:firstLine="656"/>
        <w:spacing w:after="0" w:line="293" w:lineRule="auto"/>
        <w:tabs>
          <w:tab w:leader="none" w:pos="130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notification that such notice or communication is available and identifying the website address therefor.</w:t>
      </w:r>
    </w:p>
    <w:p>
      <w:pPr>
        <w:sectPr>
          <w:pgSz w:w="11900" w:h="16838" w:orient="portrait"/>
          <w:cols w:equalWidth="0" w:num="1">
            <w:col w:w="11400"/>
          </w:cols>
          <w:pgMar w:left="240" w:top="341" w:right="259" w:bottom="0" w:gutter="0" w:footer="0" w:header="0"/>
        </w:sectPr>
      </w:pPr>
    </w:p>
    <w:bookmarkStart w:id="66" w:name="page67"/>
    <w:bookmarkEnd w:id="66"/>
    <w:p>
      <w:pPr>
        <w:spacing w:after="0" w:line="88" w:lineRule="exact"/>
        <w:rPr>
          <w:sz w:val="20"/>
          <w:szCs w:val="20"/>
          <w:color w:val="auto"/>
        </w:rPr>
      </w:pPr>
    </w:p>
    <w:p>
      <w:pPr>
        <w:ind w:right="20" w:firstLine="656"/>
        <w:spacing w:after="0" w:line="269" w:lineRule="auto"/>
        <w:tabs>
          <w:tab w:leader="none" w:pos="1304"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the Borrowers, any Lender, the L/C-BA Issuer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the Borrowers, any Lender, the L/C-BA Issuer or any other Person for indirect, special, incidental, consequential or punitive damages (as opposed to direct or actual damages).</w:t>
      </w:r>
    </w:p>
    <w:p>
      <w:pPr>
        <w:spacing w:after="0" w:line="179" w:lineRule="exact"/>
        <w:rPr>
          <w:rFonts w:ascii="Arial" w:cs="Arial" w:eastAsia="Arial" w:hAnsi="Arial"/>
          <w:sz w:val="17"/>
          <w:szCs w:val="17"/>
          <w:color w:val="auto"/>
        </w:rPr>
      </w:pPr>
    </w:p>
    <w:p>
      <w:pPr>
        <w:ind w:right="20" w:firstLine="656"/>
        <w:spacing w:after="0" w:line="259" w:lineRule="auto"/>
        <w:tabs>
          <w:tab w:leader="none" w:pos="1307"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Change of Address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Etc</w:t>
      </w:r>
      <w:r>
        <w:rPr>
          <w:rFonts w:ascii="Arial" w:cs="Arial" w:eastAsia="Arial" w:hAnsi="Arial"/>
          <w:sz w:val="18"/>
          <w:szCs w:val="18"/>
          <w:color w:val="auto"/>
        </w:rPr>
        <w:t>. Each of the Borrowers, the Administrative Agent, the L/C-BA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Borrowing Agent, the Administrative Agent, the L/C-BA Issuer and the Swing Line Lender. In addition, each Lender agrees to notify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its securities for purposes of United States Federal or state securities laws.</w:t>
      </w:r>
    </w:p>
    <w:p>
      <w:pPr>
        <w:spacing w:after="0" w:line="178" w:lineRule="exact"/>
        <w:rPr>
          <w:sz w:val="20"/>
          <w:szCs w:val="20"/>
          <w:color w:val="auto"/>
        </w:rPr>
      </w:pPr>
    </w:p>
    <w:p>
      <w:pPr>
        <w:ind w:firstLine="656"/>
        <w:spacing w:after="0" w:line="291" w:lineRule="auto"/>
        <w:tabs>
          <w:tab w:leader="none" w:pos="1301"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L/C-BA Issuer and Lenders. The Administrative Agent, the L/C-BA Issuer and the Lenders shall be entitled to rely and act upon any notices (including telephonic Committed Loan Notices and Swing Line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L/C-BA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-870585</wp:posOffset>
            </wp:positionV>
            <wp:extent cx="1294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143"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10.03 No Waiver; Cumulative Remedies; Enforcement</w:t>
      </w:r>
      <w:r>
        <w:rPr>
          <w:rFonts w:ascii="Arial" w:cs="Arial" w:eastAsia="Arial" w:hAnsi="Arial"/>
          <w:sz w:val="18"/>
          <w:szCs w:val="18"/>
          <w:color w:val="auto"/>
        </w:rPr>
        <w:t>. No failure by any Lender, the L/C-BA Issuer or the Administrative Agent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L/C-BA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L/C-BA Issuer or the Swing Line Lender from exercising the rights and remedies that inure to its benefit (solely in its capacity as L/C-BA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2.13</w:t>
      </w:r>
      <w:r>
        <w:rPr>
          <w:rFonts w:ascii="Arial" w:cs="Arial" w:eastAsia="Arial" w:hAnsi="Arial"/>
          <w:sz w:val="16"/>
          <w:szCs w:val="16"/>
          <w:color w:val="auto"/>
        </w:rPr>
        <w:t>), or (d) any Lender from filing proofs of claim or appearing and filing pleadings on its own behalf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8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10.04</w:t>
      </w:r>
      <w:r>
        <w:rPr>
          <w:sz w:val="20"/>
          <w:szCs w:val="20"/>
          <w:color w:val="auto"/>
        </w:rPr>
        <w:tab/>
      </w:r>
      <w:r>
        <w:rPr>
          <w:rFonts w:ascii="Arial" w:cs="Arial" w:eastAsia="Arial" w:hAnsi="Arial"/>
          <w:sz w:val="16"/>
          <w:szCs w:val="16"/>
          <w:b w:val="1"/>
          <w:bCs w:val="1"/>
          <w:color w:val="auto"/>
        </w:rPr>
        <w:t>Expenses; Indemnity; Damage Waiver</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87" w:lineRule="auto"/>
        <w:tabs>
          <w:tab w:leader="none" w:pos="1294"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Borrowers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L/C-BA Issuer in connection with the issuance, amendment, renewal or extension of any Letter of Credit or Bankers’ Acceptance or any demand for payment thereunder and (iii) all out of pocket expenses incurred by the Administrative Agent, any Lender or the L/C-BA Issuer (including the fees, charges and disbursements of any counsel for the Administrative Agent, any Lender or the L/C-BA Issuer), and shall pay all fees and time charges for attorneys who may be employees of the Administrative Agent, any Lender or the L/C-BA Issuer, in connection with the enforcement or protection of its rights (A) in connection with this Agreement and the other Loan Documents, including its rights under this Section, or (B) in connection with the Loans made or Letters of Credit or Bankers’ Acceptances issued hereunder, including all such out of pocket expenses incurred during any workout, restructuring or negotiations in respect of such Loans or Letters of Credit or Bankers’ Acceptances. Notwithstanding</w:t>
      </w:r>
    </w:p>
    <w:p>
      <w:pPr>
        <w:sectPr>
          <w:pgSz w:w="11900" w:h="16926" w:orient="portrait"/>
          <w:cols w:equalWidth="0" w:num="1">
            <w:col w:w="11400"/>
          </w:cols>
          <w:pgMar w:left="240" w:top="125" w:right="259" w:bottom="0" w:gutter="0" w:footer="0" w:header="0"/>
        </w:sectPr>
      </w:pPr>
    </w:p>
    <w:bookmarkStart w:id="67" w:name="page68"/>
    <w:bookmarkEnd w:id="67"/>
    <w:p>
      <w:pPr>
        <w:spacing w:after="0" w:line="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WFS Europe and WFS Singapore shall have no obligation for any such amounts resulting from the extension of credit solely for the benefit of WFS (other than extensions of credit made to WFS Europe and/or WFS Singapore at the request of the Borrowing Agent).</w:t>
      </w:r>
    </w:p>
    <w:p>
      <w:pPr>
        <w:spacing w:after="0" w:line="170" w:lineRule="exact"/>
        <w:rPr>
          <w:sz w:val="20"/>
          <w:szCs w:val="20"/>
          <w:color w:val="auto"/>
        </w:rPr>
      </w:pPr>
    </w:p>
    <w:p>
      <w:pPr>
        <w:ind w:right="100" w:firstLine="656"/>
        <w:spacing w:after="0" w:line="270" w:lineRule="auto"/>
        <w:tabs>
          <w:tab w:leader="none" w:pos="1304"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Borrowers</w:t>
      </w:r>
      <w:r>
        <w:rPr>
          <w:rFonts w:ascii="Arial" w:cs="Arial" w:eastAsia="Arial" w:hAnsi="Arial"/>
          <w:sz w:val="17"/>
          <w:szCs w:val="17"/>
          <w:color w:val="auto"/>
        </w:rPr>
        <w:t>. The Borrowers shall indemnify the Administrative Agent (and any sub-agent thereof), each Lender and the L/C-BA Issuer,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liabilities and related expenses (including the reasonable fees, charges and disbursements of any counsel for any Indemnitee), incurred by any Indemnitee or asserted against any Indemnitee by any third party or by the Borrowers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Letter of Credit or Bankers’ Acceptance or the use or proposed use of the proceeds therefrom (including any refusal by the L/C-BA Issuer to honor a demand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payment under a Letter of Credit if the documents presented in connection with such demand do not strictly comply with the terms of such Letter of Credit),</w:t>
      </w:r>
    </w:p>
    <w:p>
      <w:pPr>
        <w:spacing w:after="0" w:line="46" w:lineRule="exact"/>
        <w:rPr>
          <w:sz w:val="20"/>
          <w:szCs w:val="20"/>
          <w:color w:val="auto"/>
        </w:rPr>
      </w:pPr>
    </w:p>
    <w:p>
      <w:pPr>
        <w:ind w:right="160" w:firstLine="8"/>
        <w:spacing w:after="0" w:line="268" w:lineRule="auto"/>
        <w:tabs>
          <w:tab w:leader="none" w:pos="31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any actual or alleged presence or release of Hazardous Materials on or from any property owned or operated by the Borrowers or any of their Restricted Subsidiaries, or any Environmental Liability related in any way to the Borrowers or any of their Restricted Subsidiaries, or (iv) any actual or prospective claim, litigation, investigation or proceeding relating to any of the foregoing, whether based on contract, tort or any other theory, whether brought by a third party or by the Borrowers or any other Loan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Borrowers or any other Loan Party against an Indemnitee for breach in bad faith of such Indemnitee’s obligations hereunder or under any other Loan Document, if the Borrowers or such other Loan Party has obtained a final and nonappealable judgment in its favor on such claim as determined by a court of competent jurisdiction.</w:t>
      </w:r>
    </w:p>
    <w:p>
      <w:pPr>
        <w:spacing w:after="0" w:line="182" w:lineRule="exact"/>
        <w:rPr>
          <w:rFonts w:ascii="Arial" w:cs="Arial" w:eastAsia="Arial" w:hAnsi="Arial"/>
          <w:sz w:val="17"/>
          <w:szCs w:val="17"/>
          <w:color w:val="auto"/>
        </w:rPr>
      </w:pPr>
    </w:p>
    <w:p>
      <w:pPr>
        <w:ind w:left="1320" w:hanging="664"/>
        <w:spacing w:after="0"/>
        <w:tabs>
          <w:tab w:leader="none" w:pos="1320"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Borrowers for any reason fail to indefeasibly pay any amount required under </w:t>
      </w:r>
      <w:r>
        <w:rPr>
          <w:rFonts w:ascii="Arial" w:cs="Arial" w:eastAsia="Arial" w:hAnsi="Arial"/>
          <w:sz w:val="16"/>
          <w:szCs w:val="16"/>
          <w:u w:val="single" w:color="auto"/>
          <w:color w:val="auto"/>
        </w:rPr>
        <w:t>subsection</w:t>
      </w:r>
    </w:p>
    <w:p>
      <w:pPr>
        <w:spacing w:after="0" w:line="46" w:lineRule="exact"/>
        <w:rPr>
          <w:rFonts w:ascii="Arial" w:cs="Arial" w:eastAsia="Arial" w:hAnsi="Arial"/>
          <w:sz w:val="16"/>
          <w:szCs w:val="16"/>
          <w:color w:val="auto"/>
        </w:rPr>
      </w:pPr>
    </w:p>
    <w:p>
      <w:pPr>
        <w:ind w:right="80" w:firstLine="8"/>
        <w:spacing w:after="0" w:line="288" w:lineRule="auto"/>
        <w:tabs>
          <w:tab w:leader="none" w:pos="245" w:val="left"/>
        </w:tabs>
        <w:numPr>
          <w:ilvl w:val="0"/>
          <w:numId w:val="206"/>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to be paid by it to the Administrative Agent (or any sub-agent thereof), the L/C-BA Issuer or any Related Party of any of the foregoing, each Lender (and with respect to the LC-BA Issuer, each Revolving Lender) severally agrees to pay to the Administrative Agent (or any such sub-agent), the L/C-BA Issuer or such Related Party, as the case may be, such Lender’s Applicable Percentage (determined as of the time that the applicable unreimbursed expense or indemnity payment is sought) of such 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or the L/C-BA Issuer in its capacity as such, or against any Related Party of any of the foregoing acting for the Administrative Agent (or any such sub-agent) or L/C-BA Issuer in connection with such capacity. The obligations of the Lenders under this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168" w:lineRule="exact"/>
        <w:rPr>
          <w:rFonts w:ascii="Arial" w:cs="Arial" w:eastAsia="Arial" w:hAnsi="Arial"/>
          <w:sz w:val="16"/>
          <w:szCs w:val="16"/>
          <w:u w:val="single" w:color="auto"/>
          <w:color w:val="auto"/>
        </w:rPr>
      </w:pPr>
    </w:p>
    <w:p>
      <w:pPr>
        <w:ind w:right="40" w:firstLine="656"/>
        <w:spacing w:after="0" w:line="270" w:lineRule="auto"/>
        <w:tabs>
          <w:tab w:leader="none" w:pos="1304"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w:t>
      </w:r>
      <w:r>
        <w:rPr>
          <w:rFonts w:ascii="Arial" w:cs="Arial" w:eastAsia="Arial" w:hAnsi="Arial"/>
          <w:sz w:val="17"/>
          <w:szCs w:val="17"/>
          <w:color w:val="auto"/>
        </w:rPr>
        <w:t xml:space="preserve">, </w:t>
      </w:r>
      <w:r>
        <w:rPr>
          <w:rFonts w:ascii="Arial" w:cs="Arial" w:eastAsia="Arial" w:hAnsi="Arial"/>
          <w:sz w:val="17"/>
          <w:szCs w:val="17"/>
          <w:u w:val="single" w:color="auto"/>
          <w:color w:val="auto"/>
        </w:rPr>
        <w:t>Etc</w:t>
      </w:r>
      <w:r>
        <w:rPr>
          <w:rFonts w:ascii="Arial" w:cs="Arial" w:eastAsia="Arial" w:hAnsi="Arial"/>
          <w:sz w:val="17"/>
          <w:szCs w:val="17"/>
          <w:color w:val="auto"/>
        </w:rPr>
        <w:t xml:space="preserve">. To the fullest extent permitted by applicable law, the Borrowers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Letter of Credit or Bankers’ Acceptance or the use of the proceeds thereof. No Indemnitee referred to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(x) the gross negligence or willful misconduct of such Indemnitee as determined by a final and nonappealable judgment of a court of competent jurisdiction or (y) a breach in bad faith by an Indemnitee of </w:t>
      </w:r>
      <w:r>
        <w:rPr>
          <w:rFonts w:ascii="Arial" w:cs="Arial" w:eastAsia="Arial" w:hAnsi="Arial"/>
          <w:sz w:val="17"/>
          <w:szCs w:val="17"/>
          <w:u w:val="single" w:color="auto"/>
          <w:color w:val="auto"/>
        </w:rPr>
        <w:t>Section 10.07</w:t>
      </w:r>
      <w:r>
        <w:rPr>
          <w:rFonts w:ascii="Arial" w:cs="Arial" w:eastAsia="Arial" w:hAnsi="Arial"/>
          <w:sz w:val="17"/>
          <w:szCs w:val="17"/>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ind w:right="140" w:firstLine="656"/>
        <w:spacing w:after="0" w:line="264" w:lineRule="auto"/>
        <w:tabs>
          <w:tab w:leader="none" w:pos="1301"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agreements in this Section shall survive the resignation of the Administrative Agent, the L/C-BA Issuer and the Swing Line Lender, the replacement of any Lender, the termination of the Aggregate Commitments and the repayment, satisfaction or discharge of all the other Obligations.</w:t>
      </w:r>
    </w:p>
    <w:p>
      <w:pPr>
        <w:spacing w:after="0" w:line="177"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b w:val="1"/>
          <w:bCs w:val="1"/>
          <w:color w:val="auto"/>
        </w:rPr>
        <w:t>10.05 Payments Set Aside</w:t>
      </w:r>
      <w:r>
        <w:rPr>
          <w:rFonts w:ascii="Arial" w:cs="Arial" w:eastAsia="Arial" w:hAnsi="Arial"/>
          <w:sz w:val="16"/>
          <w:szCs w:val="16"/>
          <w:color w:val="auto"/>
        </w:rPr>
        <w:t>. To the extent that any payment by or on behalf of the Borrowers is made to the Administrative Agent, the L/C-BA</w:t>
      </w:r>
      <w:r>
        <w:rPr>
          <w:rFonts w:ascii="Arial" w:cs="Arial" w:eastAsia="Arial" w:hAnsi="Arial"/>
          <w:sz w:val="16"/>
          <w:szCs w:val="16"/>
          <w:b w:val="1"/>
          <w:bCs w:val="1"/>
          <w:color w:val="auto"/>
        </w:rPr>
        <w:t xml:space="preserve"> </w:t>
      </w:r>
      <w:r>
        <w:rPr>
          <w:rFonts w:ascii="Arial" w:cs="Arial" w:eastAsia="Arial" w:hAnsi="Arial"/>
          <w:sz w:val="16"/>
          <w:szCs w:val="16"/>
          <w:color w:val="auto"/>
        </w:rPr>
        <w:t>Issuer or any Lender, or the Administrative Agent, the L/C-BA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L/C-BA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4" w:lineRule="exact"/>
        <w:rPr>
          <w:sz w:val="20"/>
          <w:szCs w:val="20"/>
          <w:color w:val="auto"/>
        </w:rPr>
      </w:pPr>
    </w:p>
    <w:p>
      <w:pPr>
        <w:ind w:right="260" w:firstLine="8"/>
        <w:spacing w:after="0" w:line="273" w:lineRule="auto"/>
        <w:tabs>
          <w:tab w:leader="none" w:pos="255"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each Lender and the L/C-BA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L/C-BA Issuer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preceding sentence shall survive the payment in full of the Obligations and the termination of this Agreement.</w:t>
      </w:r>
    </w:p>
    <w:p>
      <w:pPr>
        <w:spacing w:after="0" w:line="17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10.06</w:t>
      </w:r>
      <w:r>
        <w:rPr>
          <w:sz w:val="20"/>
          <w:szCs w:val="20"/>
          <w:color w:val="auto"/>
        </w:rPr>
        <w:tab/>
      </w:r>
      <w:r>
        <w:rPr>
          <w:rFonts w:ascii="Arial" w:cs="Arial" w:eastAsia="Arial" w:hAnsi="Arial"/>
          <w:sz w:val="15"/>
          <w:szCs w:val="15"/>
          <w:b w:val="1"/>
          <w:bCs w:val="1"/>
          <w:color w:val="auto"/>
        </w:rPr>
        <w:t>Successors and Assigns</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93" w:lineRule="auto"/>
        <w:tabs>
          <w:tab w:leader="none" w:pos="1294"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neither the Borrowers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(ii) by way of participation in accordance with the provisions of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or (iii) by way of pledge or assignment of a security interest subject to the restrictions of </w:t>
      </w:r>
      <w:r>
        <w:rPr>
          <w:rFonts w:ascii="Arial" w:cs="Arial" w:eastAsia="Arial" w:hAnsi="Arial"/>
          <w:sz w:val="16"/>
          <w:szCs w:val="16"/>
          <w:u w:val="single" w:color="auto"/>
          <w:color w:val="auto"/>
        </w:rPr>
        <w:t>subsection (f)</w:t>
      </w:r>
      <w:r>
        <w:rPr>
          <w:rFonts w:ascii="Arial" w:cs="Arial" w:eastAsia="Arial" w:hAnsi="Arial"/>
          <w:sz w:val="16"/>
          <w:szCs w:val="16"/>
          <w:color w:val="auto"/>
        </w:rPr>
        <w:t xml:space="preserve"> of this Section (and any other attempted assignment or transfer by any party hereto shall be null and void). Nothing in this</w:t>
      </w:r>
    </w:p>
    <w:p>
      <w:pPr>
        <w:sectPr>
          <w:pgSz w:w="11900" w:h="16934" w:orient="portrait"/>
          <w:cols w:equalWidth="0" w:num="1">
            <w:col w:w="11420"/>
          </w:cols>
          <w:pgMar w:left="240" w:top="125" w:right="239" w:bottom="0" w:gutter="0" w:footer="0" w:header="0"/>
        </w:sectPr>
      </w:pPr>
    </w:p>
    <w:bookmarkStart w:id="68" w:name="page69"/>
    <w:bookmarkEnd w:id="68"/>
    <w:p>
      <w:pPr>
        <w:ind w:right="120"/>
        <w:spacing w:after="0" w:line="312" w:lineRule="auto"/>
        <w:rPr>
          <w:sz w:val="20"/>
          <w:szCs w:val="20"/>
          <w:color w:val="auto"/>
        </w:rPr>
      </w:pPr>
      <w:r>
        <w:rPr>
          <w:rFonts w:ascii="Arial" w:cs="Arial" w:eastAsia="Arial" w:hAnsi="Arial"/>
          <w:sz w:val="16"/>
          <w:szCs w:val="16"/>
          <w:color w:val="auto"/>
        </w:rPr>
        <w:t xml:space="preserve">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and, to the extent expressly contemplated hereby, the Related Parties of each of the Administrative Agent, the L/C-BA Issuer and the Lenders) any legal or equitable right, remedy or claim under or by reason of this Agreement.</w:t>
      </w:r>
    </w:p>
    <w:p>
      <w:pPr>
        <w:spacing w:after="0" w:line="147" w:lineRule="exact"/>
        <w:rPr>
          <w:sz w:val="20"/>
          <w:szCs w:val="20"/>
          <w:color w:val="auto"/>
        </w:rPr>
      </w:pPr>
    </w:p>
    <w:p>
      <w:pPr>
        <w:ind w:right="240" w:firstLine="656"/>
        <w:spacing w:after="0" w:line="277" w:lineRule="auto"/>
        <w:tabs>
          <w:tab w:leader="none" w:pos="1304"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participations in L/C-BA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170" w:lineRule="exact"/>
        <w:rPr>
          <w:sz w:val="20"/>
          <w:szCs w:val="20"/>
          <w:color w:val="auto"/>
        </w:rPr>
      </w:pPr>
    </w:p>
    <w:p>
      <w:pPr>
        <w:ind w:left="2140" w:hanging="673"/>
        <w:spacing w:after="0"/>
        <w:tabs>
          <w:tab w:leader="none" w:pos="2140" w:val="left"/>
        </w:tabs>
        <w:numPr>
          <w:ilvl w:val="2"/>
          <w:numId w:val="211"/>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80" w:firstLine="653"/>
        <w:spacing w:after="0" w:line="264" w:lineRule="auto"/>
        <w:tabs>
          <w:tab w:leader="none" w:pos="2617" w:val="left"/>
        </w:tabs>
        <w:numPr>
          <w:ilvl w:val="3"/>
          <w:numId w:val="211"/>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w:t>
      </w:r>
    </w:p>
    <w:p>
      <w:pPr>
        <w:spacing w:after="0" w:line="181" w:lineRule="exact"/>
        <w:rPr>
          <w:rFonts w:ascii="Arial" w:cs="Arial" w:eastAsia="Arial" w:hAnsi="Arial"/>
          <w:sz w:val="18"/>
          <w:szCs w:val="18"/>
          <w:color w:val="auto"/>
        </w:rPr>
      </w:pPr>
    </w:p>
    <w:p>
      <w:pPr>
        <w:ind w:left="1300" w:right="40" w:firstLine="653"/>
        <w:spacing w:after="0" w:line="288" w:lineRule="auto"/>
        <w:tabs>
          <w:tab w:leader="none" w:pos="2607" w:val="left"/>
        </w:tabs>
        <w:numPr>
          <w:ilvl w:val="3"/>
          <w:numId w:val="211"/>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in the case of an assignment in respect of the Revolving Credit Facility, or $5,000,000, in the case of an assignment in respect of the Domestic Term Loan Facility or the Singapore Term Loan Facility, unless each of the Administrative Agent and, so long as no Event of Default has occurred and is continuing, the Borrowing Agent otherwise consents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69" w:lineRule="exact"/>
        <w:rPr>
          <w:rFonts w:ascii="Arial" w:cs="Arial" w:eastAsia="Arial" w:hAnsi="Arial"/>
          <w:sz w:val="16"/>
          <w:szCs w:val="16"/>
          <w:color w:val="auto"/>
        </w:rPr>
      </w:pPr>
    </w:p>
    <w:p>
      <w:pPr>
        <w:ind w:left="820" w:right="180" w:firstLine="647"/>
        <w:spacing w:after="0" w:line="291" w:lineRule="auto"/>
        <w:tabs>
          <w:tab w:leader="none" w:pos="2147" w:val="left"/>
        </w:tabs>
        <w:numPr>
          <w:ilvl w:val="2"/>
          <w:numId w:val="211"/>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not</w:t>
      </w:r>
    </w:p>
    <w:p>
      <w:pPr>
        <w:ind w:left="820" w:right="380" w:hanging="2"/>
        <w:spacing w:after="0" w:line="261" w:lineRule="auto"/>
        <w:tabs>
          <w:tab w:leader="none" w:pos="111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apply to the Swing Line Lender’s rights and obligations in respect of Swing Line Loans or (B) prohibit any Lender from assigning all or a portion of its rights and obligations among separate Facilities on a non-pro rata basis;</w:t>
      </w:r>
    </w:p>
    <w:p>
      <w:pPr>
        <w:spacing w:after="0" w:line="183" w:lineRule="exact"/>
        <w:rPr>
          <w:rFonts w:ascii="Arial" w:cs="Arial" w:eastAsia="Arial" w:hAnsi="Arial"/>
          <w:sz w:val="18"/>
          <w:szCs w:val="18"/>
          <w:color w:val="auto"/>
        </w:rPr>
      </w:pPr>
    </w:p>
    <w:p>
      <w:pPr>
        <w:ind w:left="820" w:firstLine="647"/>
        <w:spacing w:after="0" w:line="277" w:lineRule="auto"/>
        <w:tabs>
          <w:tab w:leader="none" w:pos="2157" w:val="left"/>
        </w:tabs>
        <w:numPr>
          <w:ilvl w:val="2"/>
          <w:numId w:val="212"/>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3"/>
          <w:numId w:val="212"/>
        </w:numPr>
        <w:rPr>
          <w:rFonts w:ascii="Arial" w:cs="Arial" w:eastAsia="Arial" w:hAnsi="Arial"/>
          <w:sz w:val="16"/>
          <w:szCs w:val="16"/>
          <w:color w:val="auto"/>
        </w:rPr>
      </w:pPr>
      <w:r>
        <w:rPr>
          <w:rFonts w:ascii="Arial" w:cs="Arial" w:eastAsia="Arial" w:hAnsi="Arial"/>
          <w:sz w:val="16"/>
          <w:szCs w:val="16"/>
          <w:color w:val="auto"/>
        </w:rPr>
        <w:t>the consent of the Borrowing Agent (such consent not to be unreasonably withheld or delayed) shall be required unless</w:t>
      </w:r>
    </w:p>
    <w:p>
      <w:pPr>
        <w:spacing w:after="0" w:line="46" w:lineRule="exact"/>
        <w:rPr>
          <w:rFonts w:ascii="Arial" w:cs="Arial" w:eastAsia="Arial" w:hAnsi="Arial"/>
          <w:sz w:val="16"/>
          <w:szCs w:val="16"/>
          <w:color w:val="auto"/>
        </w:rPr>
      </w:pPr>
    </w:p>
    <w:p>
      <w:pPr>
        <w:ind w:left="1300" w:right="80" w:firstLine="5"/>
        <w:spacing w:after="0" w:line="255" w:lineRule="auto"/>
        <w:tabs>
          <w:tab w:leader="none" w:pos="155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an Event of Default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Borrowing Agent shall be deemed to have consented to any such assignment unless it shall object thereto by written notice to the Administrative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line="259" w:lineRule="auto"/>
        <w:rPr>
          <w:sz w:val="20"/>
          <w:szCs w:val="20"/>
          <w:color w:val="auto"/>
        </w:rPr>
      </w:pPr>
      <w:r>
        <w:rPr>
          <w:rFonts w:ascii="Arial" w:cs="Arial" w:eastAsia="Arial" w:hAnsi="Arial"/>
          <w:sz w:val="18"/>
          <w:szCs w:val="18"/>
          <w:color w:val="auto"/>
        </w:rPr>
        <w:t xml:space="preserve">Agent within five (5) Business Days after having received notice thereof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Borrowing Agent shall be deemed to be reasonable in withholding its consent to any assignment in respect of the Singapore Term Loan Facility if the proposed assignment is not to a commercial bank organized under the laws of the Republic of Singapore or a Singapore-authorized branch of a commercial bank organized under the laws of a jurisdiction other than Singapore;</w:t>
      </w:r>
    </w:p>
    <w:p>
      <w:pPr>
        <w:spacing w:after="0" w:line="187" w:lineRule="exact"/>
        <w:rPr>
          <w:sz w:val="20"/>
          <w:szCs w:val="20"/>
          <w:color w:val="auto"/>
        </w:rPr>
      </w:pPr>
    </w:p>
    <w:p>
      <w:pPr>
        <w:jc w:val="both"/>
        <w:ind w:left="1300" w:right="140" w:firstLine="653"/>
        <w:spacing w:after="0" w:line="288" w:lineRule="auto"/>
        <w:tabs>
          <w:tab w:leader="none" w:pos="2607" w:val="left"/>
        </w:tabs>
        <w:numPr>
          <w:ilvl w:val="2"/>
          <w:numId w:val="213"/>
        </w:numPr>
        <w:rPr>
          <w:rFonts w:ascii="Arial" w:cs="Arial" w:eastAsia="Arial" w:hAnsi="Arial"/>
          <w:sz w:val="16"/>
          <w:szCs w:val="16"/>
          <w:color w:val="auto"/>
        </w:rPr>
      </w:pPr>
      <w:r>
        <w:rPr>
          <w:rFonts w:ascii="Arial" w:cs="Arial" w:eastAsia="Arial" w:hAnsi="Arial"/>
          <w:sz w:val="16"/>
          <w:szCs w:val="16"/>
          <w:color w:val="auto"/>
        </w:rPr>
        <w:t>the consent of the Administrative Agent (such consent not to be unreasonably withheld or delayed) shall be required for assignments in respect of (i) any Term Loan Commitment or Revolving Commitment if such assignment is to a Person that is not a Lender with a Commitment in respect of the applicable Facility, an Affiliate of such Lender or an Approved Fund with respect to such Lender or</w:t>
      </w:r>
    </w:p>
    <w:p>
      <w:pPr>
        <w:ind w:left="1560" w:hanging="255"/>
        <w:spacing w:after="0"/>
        <w:tabs>
          <w:tab w:leader="none" w:pos="15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Term Loan to a Person that is not a Lender, an Affiliate of a Lender or an Approved Fund;</w:t>
      </w:r>
    </w:p>
    <w:p>
      <w:pPr>
        <w:spacing w:after="0" w:line="210" w:lineRule="exact"/>
        <w:rPr>
          <w:rFonts w:ascii="Arial" w:cs="Arial" w:eastAsia="Arial" w:hAnsi="Arial"/>
          <w:sz w:val="18"/>
          <w:szCs w:val="18"/>
          <w:color w:val="auto"/>
        </w:rPr>
      </w:pPr>
    </w:p>
    <w:p>
      <w:pPr>
        <w:ind w:left="1300" w:right="380" w:firstLine="653"/>
        <w:spacing w:after="0" w:line="264" w:lineRule="auto"/>
        <w:tabs>
          <w:tab w:leader="none" w:pos="2607" w:val="left"/>
        </w:tabs>
        <w:numPr>
          <w:ilvl w:val="2"/>
          <w:numId w:val="214"/>
        </w:numPr>
        <w:rPr>
          <w:rFonts w:ascii="Arial" w:cs="Arial" w:eastAsia="Arial" w:hAnsi="Arial"/>
          <w:sz w:val="18"/>
          <w:szCs w:val="18"/>
          <w:color w:val="auto"/>
        </w:rPr>
      </w:pPr>
      <w:r>
        <w:rPr>
          <w:rFonts w:ascii="Arial" w:cs="Arial" w:eastAsia="Arial" w:hAnsi="Arial"/>
          <w:sz w:val="18"/>
          <w:szCs w:val="18"/>
          <w:color w:val="auto"/>
        </w:rPr>
        <w:t>the consent of the L/C-BA Issuer (such consent not to be unreasonably withheld or delayed) shall be required for any assignment that increases the obligation of the assignee to participate in exposure under one or more Letters of Credit or Bankers’ Acceptances (whether or not then outstanding); and</w:t>
      </w:r>
    </w:p>
    <w:p>
      <w:pPr>
        <w:spacing w:after="0" w:line="181" w:lineRule="exact"/>
        <w:rPr>
          <w:rFonts w:ascii="Arial" w:cs="Arial" w:eastAsia="Arial" w:hAnsi="Arial"/>
          <w:sz w:val="18"/>
          <w:szCs w:val="18"/>
          <w:color w:val="auto"/>
        </w:rPr>
      </w:pPr>
    </w:p>
    <w:p>
      <w:pPr>
        <w:ind w:left="1300" w:right="40" w:firstLine="653"/>
        <w:spacing w:after="0" w:line="264" w:lineRule="auto"/>
        <w:tabs>
          <w:tab w:leader="none" w:pos="2617" w:val="left"/>
        </w:tabs>
        <w:numPr>
          <w:ilvl w:val="2"/>
          <w:numId w:val="214"/>
        </w:numPr>
        <w:rPr>
          <w:rFonts w:ascii="Arial" w:cs="Arial" w:eastAsia="Arial" w:hAnsi="Arial"/>
          <w:sz w:val="18"/>
          <w:szCs w:val="18"/>
          <w:color w:val="auto"/>
        </w:rPr>
      </w:pPr>
      <w:r>
        <w:rPr>
          <w:rFonts w:ascii="Arial" w:cs="Arial" w:eastAsia="Arial" w:hAnsi="Arial"/>
          <w:sz w:val="18"/>
          <w:szCs w:val="18"/>
          <w:color w:val="auto"/>
        </w:rPr>
        <w:t>the consent of the Swing Line Lender (such consent not to be unreasonably withheld or delayed) shall be required for any assignment that increases the obligation of the assignee to participate in exposure under any Swing Line Loan (whether or not then outstanding).</w:t>
      </w:r>
    </w:p>
    <w:p>
      <w:pPr>
        <w:spacing w:after="0" w:line="181" w:lineRule="exact"/>
        <w:rPr>
          <w:rFonts w:ascii="Arial" w:cs="Arial" w:eastAsia="Arial" w:hAnsi="Arial"/>
          <w:sz w:val="18"/>
          <w:szCs w:val="18"/>
          <w:color w:val="auto"/>
        </w:rPr>
      </w:pPr>
    </w:p>
    <w:p>
      <w:pPr>
        <w:ind w:left="820" w:right="20" w:firstLine="647"/>
        <w:spacing w:after="0" w:line="259" w:lineRule="auto"/>
        <w:tabs>
          <w:tab w:leader="none" w:pos="2133" w:val="left"/>
        </w:tabs>
        <w:numPr>
          <w:ilvl w:val="1"/>
          <w:numId w:val="214"/>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assignor and assignee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6" w:lineRule="exact"/>
        <w:rPr>
          <w:rFonts w:ascii="Arial" w:cs="Arial" w:eastAsia="Arial" w:hAnsi="Arial"/>
          <w:sz w:val="18"/>
          <w:szCs w:val="18"/>
          <w:color w:val="auto"/>
        </w:rPr>
      </w:pPr>
    </w:p>
    <w:p>
      <w:pPr>
        <w:ind w:left="820" w:right="80" w:firstLine="647"/>
        <w:spacing w:after="0" w:line="286" w:lineRule="auto"/>
        <w:tabs>
          <w:tab w:leader="none" w:pos="2124" w:val="left"/>
        </w:tabs>
        <w:numPr>
          <w:ilvl w:val="1"/>
          <w:numId w:val="214"/>
        </w:numPr>
        <w:rPr>
          <w:rFonts w:ascii="Arial" w:cs="Arial" w:eastAsia="Arial" w:hAnsi="Arial"/>
          <w:sz w:val="17"/>
          <w:szCs w:val="17"/>
          <w:color w:val="auto"/>
        </w:rPr>
      </w:pPr>
      <w:r>
        <w:rPr>
          <w:rFonts w:ascii="Arial" w:cs="Arial" w:eastAsia="Arial" w:hAnsi="Arial"/>
          <w:sz w:val="17"/>
          <w:szCs w:val="17"/>
          <w:u w:val="single" w:color="auto"/>
          <w:color w:val="auto"/>
        </w:rPr>
        <w:t>No Assignment to Certain Persons</w:t>
      </w:r>
      <w:r>
        <w:rPr>
          <w:rFonts w:ascii="Arial" w:cs="Arial" w:eastAsia="Arial" w:hAnsi="Arial"/>
          <w:sz w:val="17"/>
          <w:szCs w:val="17"/>
          <w:color w:val="auto"/>
        </w:rPr>
        <w:t xml:space="preserve">. No such assignment shall be made (A) to any Borrower or any of any Borrower’s Affiliates or Restricted Subsidiaries, or (B) to any Defaulting Lender or any of its Restricted Subsidiaries, or any Person who, upon becoming a Lender hereunder, would constitute any of the foregoing Persons described in this </w:t>
      </w:r>
      <w:r>
        <w:rPr>
          <w:rFonts w:ascii="Arial" w:cs="Arial" w:eastAsia="Arial" w:hAnsi="Arial"/>
          <w:sz w:val="17"/>
          <w:szCs w:val="17"/>
          <w:u w:val="single" w:color="auto"/>
          <w:color w:val="auto"/>
        </w:rPr>
        <w:t>clause (B)</w:t>
      </w:r>
      <w:r>
        <w:rPr>
          <w:rFonts w:ascii="Arial" w:cs="Arial" w:eastAsia="Arial" w:hAnsi="Arial"/>
          <w:sz w:val="17"/>
          <w:szCs w:val="17"/>
          <w:color w:val="auto"/>
        </w:rPr>
        <w:t>, or (C) to a natural person.</w:t>
      </w:r>
    </w:p>
    <w:p>
      <w:pPr>
        <w:sectPr>
          <w:pgSz w:w="11900" w:h="16838" w:orient="portrait"/>
          <w:cols w:equalWidth="0" w:num="1">
            <w:col w:w="11420"/>
          </w:cols>
          <w:pgMar w:left="240" w:top="125" w:right="239" w:bottom="0" w:gutter="0" w:footer="0" w:header="0"/>
        </w:sectPr>
      </w:pPr>
    </w:p>
    <w:bookmarkStart w:id="69" w:name="page70"/>
    <w:bookmarkEnd w:id="69"/>
    <w:p>
      <w:pPr>
        <w:spacing w:after="0" w:line="79" w:lineRule="exact"/>
        <w:rPr>
          <w:sz w:val="20"/>
          <w:szCs w:val="20"/>
          <w:color w:val="auto"/>
        </w:rPr>
      </w:pPr>
    </w:p>
    <w:p>
      <w:pPr>
        <w:ind w:left="820" w:right="20" w:firstLine="647"/>
        <w:spacing w:after="0" w:line="257" w:lineRule="auto"/>
        <w:tabs>
          <w:tab w:leader="none" w:pos="2133"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0"/>
        <w:spacing w:after="0" w:line="291" w:lineRule="auto"/>
        <w:rPr>
          <w:sz w:val="20"/>
          <w:szCs w:val="20"/>
          <w:color w:val="auto"/>
        </w:rPr>
      </w:pPr>
      <w:r>
        <w:rPr>
          <w:rFonts w:ascii="Arial" w:cs="Arial" w:eastAsia="Arial" w:hAnsi="Arial"/>
          <w:sz w:val="16"/>
          <w:szCs w:val="16"/>
          <w:color w:val="auto"/>
        </w:rPr>
        <w:t>the Borrowers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Bankers’ Acceptances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with respect to facts and circumstances occurring prior to the effective date of such assignment. Upon request, the Borrowers (at their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w:t>
      </w:r>
    </w:p>
    <w:p>
      <w:pPr>
        <w:spacing w:after="0" w:line="182" w:lineRule="exact"/>
        <w:rPr>
          <w:sz w:val="20"/>
          <w:szCs w:val="20"/>
          <w:color w:val="auto"/>
        </w:rPr>
      </w:pPr>
    </w:p>
    <w:p>
      <w:pPr>
        <w:ind w:right="80" w:firstLine="656"/>
        <w:spacing w:after="0" w:line="290" w:lineRule="auto"/>
        <w:tabs>
          <w:tab w:leader="none" w:pos="1307"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Borrowers (and such agency being solely for tax purposes), shall maintain at the Administrative Agent’s Office a copy of each Assignment and Assumption delivered to it and a register for the recordation of the names and addresses of the Lenders, and the Commitments of, and principal amounts of the Loans and L/C-BA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(and as a Voting Defaulting Lender)</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Register shall be available for inspection by the Borrowers and any Lender, at any reasonable time and from time to time upon reasonable prior notice.</w:t>
      </w:r>
    </w:p>
    <w:p>
      <w:pPr>
        <w:spacing w:after="0" w:line="166" w:lineRule="exact"/>
        <w:rPr>
          <w:rFonts w:ascii="Arial" w:cs="Arial" w:eastAsia="Arial" w:hAnsi="Arial"/>
          <w:sz w:val="16"/>
          <w:szCs w:val="16"/>
          <w:color w:val="auto"/>
        </w:rPr>
      </w:pPr>
    </w:p>
    <w:p>
      <w:pPr>
        <w:ind w:right="80" w:firstLine="656"/>
        <w:spacing w:after="0" w:line="264" w:lineRule="auto"/>
        <w:tabs>
          <w:tab w:leader="none" w:pos="1304"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Borrowers or the Administrative Agent, sell participations to any Person (other than a natural person, a Defaulting Lender or the Borrowers or any of the Borrower’s Affiliates or Restricted Subsidiaries) (each, a “</w:t>
      </w:r>
      <w:r>
        <w:rPr>
          <w:rFonts w:ascii="Arial" w:cs="Arial" w:eastAsia="Arial" w:hAnsi="Arial"/>
          <w:sz w:val="18"/>
          <w:szCs w:val="18"/>
          <w:u w:val="single" w:color="auto"/>
          <w:color w:val="auto"/>
        </w:rPr>
        <w:t>Participant</w:t>
      </w:r>
      <w:r>
        <w:rPr>
          <w:rFonts w:ascii="Arial" w:cs="Arial" w:eastAsia="Arial" w:hAnsi="Arial"/>
          <w:sz w:val="18"/>
          <w:szCs w:val="18"/>
          <w:color w:val="auto"/>
        </w:rPr>
        <w:t>”) in all or a portion of such Lender’s rights and/or obligations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under this Agreement (including all or a portion of its Commitment and/or the Loans (including such Lender’s participations in L/C-BA Obligations and/or Swing 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L/C-BA Issuer shall continue to deal solely and directly with such Lender in connection with such Lender’s rights and obligations under this Agreement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so long as no Event of Default has occurred and is continuing at the time of such participation, with respect to the sale of any participation in the Singapore Term Loan Facility, the Borrowing Agent’s consent shall be required, which consent shall not be unreasonably withheld or delayed (it being agreed that the Borrowing Agent shall be deemed to be reasonable in withholding its consent to any assignment in respect of the Singapore Term Loan Facility if the proposed assignment is not to a commercial bank organized under the laws of the Republic of Singapore or a Singapore-authorized branch of a commercial bank organized under the laws of a jurisdiction other than Singapore).</w:t>
      </w:r>
    </w:p>
    <w:p>
      <w:pPr>
        <w:spacing w:after="0" w:line="182"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Each Lender that sells a participation shall, acting solely for this purpose as an agent of the Borrowers, maintain a register on which it enters the name and address of each Participant and the principal amounts (and stated interest) of each Participant’s interest in the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Section, the Borrowers agree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To the extent permitted by law, each Participant also shall be entitled to the benefits of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as though it were a Lender.</w:t>
      </w:r>
    </w:p>
    <w:p>
      <w:pPr>
        <w:spacing w:after="0" w:line="178" w:lineRule="exact"/>
        <w:rPr>
          <w:sz w:val="20"/>
          <w:szCs w:val="20"/>
          <w:color w:val="auto"/>
        </w:rPr>
      </w:pPr>
    </w:p>
    <w:p>
      <w:pPr>
        <w:ind w:right="140" w:firstLine="656"/>
        <w:spacing w:after="0" w:line="264" w:lineRule="auto"/>
        <w:tabs>
          <w:tab w:leader="none" w:pos="1307"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Borrowing Agent’s prior written consent. A</w:t>
      </w:r>
    </w:p>
    <w:p>
      <w:pPr>
        <w:sectPr>
          <w:pgSz w:w="11900" w:h="16918" w:orient="portrait"/>
          <w:cols w:equalWidth="0" w:num="1">
            <w:col w:w="11420"/>
          </w:cols>
          <w:pgMar w:left="240" w:top="125" w:right="239" w:bottom="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Participant that would be a Foreign Lender if it were a Lender shall not be entitled to the benefits of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unless the Borrowers are notified of the participation sold to such Participant and such Participant agrees, for the benefit of the Borrowers,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as though it were a Lender.</w:t>
      </w:r>
    </w:p>
    <w:p>
      <w:pPr>
        <w:spacing w:after="0" w:line="181" w:lineRule="exact"/>
        <w:rPr>
          <w:sz w:val="20"/>
          <w:szCs w:val="20"/>
          <w:color w:val="auto"/>
        </w:rPr>
      </w:pPr>
    </w:p>
    <w:p>
      <w:pPr>
        <w:ind w:right="20" w:firstLine="656"/>
        <w:spacing w:after="0" w:line="279" w:lineRule="auto"/>
        <w:tabs>
          <w:tab w:leader="none" w:pos="1301"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Certain Pledges</w:t>
      </w:r>
      <w:r>
        <w:rPr>
          <w:rFonts w:ascii="Arial" w:cs="Arial" w:eastAsia="Arial" w:hAnsi="Arial"/>
          <w:sz w:val="17"/>
          <w:szCs w:val="17"/>
          <w:color w:val="auto"/>
        </w:rPr>
        <w:t xml:space="preserve">. Any Lender may at any time pledge or assign a security interest in all or any portion of its rights under this Agreement (including under its Revolving Note or Term Loan Note, if any) to secure obligations of such Lender, including any pledge or assignment to secure obligations to a Federal Reserve Bank or any central bank having jurisdiction over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71" w:lineRule="exact"/>
        <w:rPr>
          <w:rFonts w:ascii="Arial" w:cs="Arial" w:eastAsia="Arial" w:hAnsi="Arial"/>
          <w:sz w:val="17"/>
          <w:szCs w:val="17"/>
          <w:color w:val="auto"/>
        </w:rPr>
      </w:pPr>
    </w:p>
    <w:p>
      <w:pPr>
        <w:ind w:right="20" w:firstLine="656"/>
        <w:spacing w:after="0" w:line="285" w:lineRule="auto"/>
        <w:tabs>
          <w:tab w:leader="none" w:pos="1317"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Resignation as L/C-BA Issuer or Swing Line Lender after Assignment</w:t>
      </w:r>
      <w:r>
        <w:rPr>
          <w:rFonts w:ascii="Arial" w:cs="Arial" w:eastAsia="Arial" w:hAnsi="Arial"/>
          <w:sz w:val="16"/>
          <w:szCs w:val="16"/>
          <w:color w:val="auto"/>
        </w:rPr>
        <w:t xml:space="preserve">. Notwithstanding anything to the contrary contained herein, if at any time Bank of America assigns all of its Commitment and Loans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Bank of America may, (i) upon thirty (30) days’ notice to the Borrowing Agent and the Lenders, resign as L/C-BA Issuer and/or (ii) upon thirty (30) days’ notice to the Borrowing Agent, resign as Swing Line Lender. In the event of any such resignation as L/C-BA Issuer or Swing Line Lender, the Borrowing Agent shall be entitled to appoint from among the Lenders a successor L/C-BA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Borrowing Agent to appoint any such successor shall affect the resignation of Bank of America as L/C-BA Issuer or Swing Line Lender, as the case may be. If Bank of America resigns as L/C-BA Issuer, it shall retain all the rights, powers, privileges and duties of the L/C-BA Issuer hereunder with respect to all Letters of Credit or Bankers’ Acceptances issued by it and outstanding as of the effective date of its resignation as L/C-BA Issuer and all L/C-BA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2.03(d)</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L/C-BA Issuer and/or Swing Line Lender, (a) such successor shall succeed to and become vested with all of the rights, powers, privileges and duties of the retiring L/C-BA Issuer or Swing Line Lender, as the case may be, and (b) the successor L/C-BA Issuer shall issue letters of credit and bankers’ acceptances in substitution for the Letters of Credit and Bankers’ Acceptances issued by Bank of America, if any, outstanding at the time of such succession or make other arrangements satisfactory to Bank of America to effectively assume the obligations of Bank of America with respect to such Letters of Credit or Bankers’ Acceptances.</w:t>
      </w:r>
    </w:p>
    <w:p>
      <w:pPr>
        <w:spacing w:after="0" w:line="174"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10.07 Treatment of Certain Information; Confidentiality</w:t>
      </w:r>
      <w:r>
        <w:rPr>
          <w:rFonts w:ascii="Arial" w:cs="Arial" w:eastAsia="Arial" w:hAnsi="Arial"/>
          <w:sz w:val="18"/>
          <w:szCs w:val="18"/>
          <w:color w:val="auto"/>
        </w:rPr>
        <w:t>. Each of the Administrative Agent, the Lenders and the L/C-BA Issuer agrees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Arial" w:cs="Arial" w:eastAsia="Arial" w:hAnsi="Arial"/>
          <w:sz w:val="16"/>
          <w:szCs w:val="16"/>
          <w:u w:val="single" w:color="auto"/>
          <w:color w:val="auto"/>
        </w:rPr>
        <w:t>Section 2.14(c)</w:t>
      </w:r>
      <w:r>
        <w:rPr>
          <w:rFonts w:ascii="Arial" w:cs="Arial" w:eastAsia="Arial" w:hAnsi="Arial"/>
          <w:sz w:val="16"/>
          <w:szCs w:val="16"/>
          <w:color w:val="auto"/>
        </w:rPr>
        <w:t>, (ii) any actual or prospective counterparty (or its advisors) to any swap or derivative transaction relating to the Borrowers and their obligations or (iii) any third party vendor engaged by a Lender or an Affiliate of a Lender whose access to the Information is reasonably necessary for such vendor to perform the services or procedures for which such vendor has been engaged by such Lender or Affiliate, (g) with the consent of the Borrowing Agent or (h) to the extent such Information (x) becomes publicly available other than as a result of a breach of this Section or</w:t>
      </w:r>
    </w:p>
    <w:p>
      <w:pPr>
        <w:spacing w:after="0" w:line="7" w:lineRule="exact"/>
        <w:rPr>
          <w:sz w:val="20"/>
          <w:szCs w:val="20"/>
          <w:color w:val="auto"/>
        </w:rPr>
      </w:pPr>
    </w:p>
    <w:p>
      <w:pPr>
        <w:ind w:firstLine="8"/>
        <w:spacing w:after="0" w:line="252" w:lineRule="auto"/>
        <w:tabs>
          <w:tab w:leader="none" w:pos="25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becomes available to the Administrative Agent, any Lender, the L/C-BA Issuer or any of their respective Affiliates on a nonconfidential basis from a source other than the Borrowers. For purposes of this Section, “Information” means all information received from the Borrowers or any Restricted Subsidiary relating to the Borrowers or any Subsidiary or any of their respective businesses, other than any such information that is available to the Administrative Agent, any Lender or the L/C-BA Issuer on a nonconfidential basis prior to disclosure by the Borrowers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Borrowers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Each of the Administrative Agent, the Lenders and the L/C-BA Issuer acknowledges that (a) the Information may include material non-public information concerning the Borrowers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This Section </w:t>
      </w:r>
      <w:r>
        <w:rPr>
          <w:rFonts w:ascii="Arial" w:cs="Arial" w:eastAsia="Arial" w:hAnsi="Arial"/>
          <w:sz w:val="18"/>
          <w:szCs w:val="18"/>
          <w:u w:val="single" w:color="auto"/>
          <w:color w:val="auto"/>
        </w:rPr>
        <w:t>10.07</w:t>
      </w:r>
      <w:r>
        <w:rPr>
          <w:rFonts w:ascii="Arial" w:cs="Arial" w:eastAsia="Arial" w:hAnsi="Arial"/>
          <w:sz w:val="18"/>
          <w:szCs w:val="18"/>
          <w:color w:val="auto"/>
        </w:rPr>
        <w:t xml:space="preserve"> is not, and shall not be deemed to constitute, an express or implied agreement by the Administrative Agent or the Singapore Agent or any Singapore Term Loan Lender with any Loan Party for a higher degree of confidentiality than that prescribed in Section 47 of the Banking Act, Chapter 19 of Singapore and in the Third Schedule to the Banking Act, Chapter 19 of Singapore.</w:t>
      </w:r>
    </w:p>
    <w:p>
      <w:pPr>
        <w:spacing w:after="0" w:line="177"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10.08 Right of Setoff. </w:t>
      </w:r>
      <w:r>
        <w:rPr>
          <w:rFonts w:ascii="Arial" w:cs="Arial" w:eastAsia="Arial" w:hAnsi="Arial"/>
          <w:sz w:val="18"/>
          <w:szCs w:val="18"/>
          <w:color w:val="auto"/>
        </w:rPr>
        <w:t>Subject to the Intercreditor Agreement (if any), if an Event of Default shall have occurred and be continuing, each Lender,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L/C-BA Issuer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L/C-BA Issuer or any such Affiliate to or for the credit or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71" w:name="page72"/>
    <w:bookmarkEnd w:id="71"/>
    <w:p>
      <w:pPr>
        <w:ind w:right="40"/>
        <w:spacing w:after="0" w:line="269" w:lineRule="auto"/>
        <w:rPr>
          <w:sz w:val="20"/>
          <w:szCs w:val="20"/>
          <w:color w:val="auto"/>
        </w:rPr>
      </w:pPr>
      <w:r>
        <w:rPr>
          <w:rFonts w:ascii="Arial" w:cs="Arial" w:eastAsia="Arial" w:hAnsi="Arial"/>
          <w:sz w:val="17"/>
          <w:szCs w:val="17"/>
          <w:color w:val="auto"/>
        </w:rPr>
        <w:t xml:space="preserve">account of the Borrowers against any and all of the obligations of the Borrowers now or hereafter existing under this Agreement or any other Loan Document to such Lender or the L/C-BA Issuer, irrespective of whether or not such Lender or the L/C-BA Issuer shall have made any demand under this Agreement or any other Loan Document and although such obligations of the Borrowers may be contingent or unmatured or are owed to a branch or office of such Lender or the L/C-BA Issuer different from the branch or office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L/C-BA Issuer and their respective Affiliates under this Section are in addition to other rights and remedies (including other rights of setoff) that such Lender, the L/C-BA Issuer or their respective Affiliates may have. Each Lender and the L/C-BA Issuer agrees to notify the Borrowers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76"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b w:val="1"/>
          <w:bCs w:val="1"/>
          <w:color w:val="auto"/>
        </w:rPr>
        <w:t>10.09 Interest Rate Limitation</w:t>
      </w:r>
      <w:r>
        <w:rPr>
          <w:rFonts w:ascii="Arial" w:cs="Arial" w:eastAsia="Arial" w:hAnsi="Arial"/>
          <w:sz w:val="16"/>
          <w:szCs w:val="16"/>
          <w:color w:val="auto"/>
        </w:rPr>
        <w:t>. Notwithstanding anything to the contrary contained in any Loan Document, the interest paid or agreed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6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10.10 Counterparts; Integration; Effectiveness. </w:t>
      </w:r>
      <w:r>
        <w:rPr>
          <w:rFonts w:ascii="Arial" w:cs="Arial" w:eastAsia="Arial" w:hAnsi="Arial"/>
          <w:sz w:val="17"/>
          <w:szCs w:val="17"/>
          <w:color w:val="auto"/>
        </w:rPr>
        <w:t>This Agreement may be executed in counterparts (and by different parties hereto in different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b w:val="1"/>
          <w:bCs w:val="1"/>
          <w:color w:val="auto"/>
        </w:rPr>
        <w:t xml:space="preserve">10.11 Survival of Representations and Warranties. </w:t>
      </w:r>
      <w:r>
        <w:rPr>
          <w:rFonts w:ascii="Arial" w:cs="Arial" w:eastAsia="Arial" w:hAnsi="Arial"/>
          <w:sz w:val="17"/>
          <w:szCs w:val="17"/>
          <w:color w:val="auto"/>
        </w:rPr>
        <w:t>All representations and warranties made hereunder and in any other Loan Document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or Bankers’ Acceptance shall remain outstanding.</w:t>
      </w:r>
    </w:p>
    <w:p>
      <w:pPr>
        <w:spacing w:after="0" w:line="17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10.12 Severability</w:t>
      </w:r>
      <w:r>
        <w:rPr>
          <w:rFonts w:ascii="Arial" w:cs="Arial" w:eastAsia="Arial" w:hAnsi="Arial"/>
          <w:sz w:val="18"/>
          <w:szCs w:val="18"/>
          <w:color w:val="auto"/>
        </w:rPr>
        <w:t>. If any provision of this Agreement or the other Loan Documents is held to be illegal, invalid or unenforceable, (a)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L/C-BA Issuer or the Swing Line Lender, as applicable, then such provisions shall be deemed to be in effect only to the extent not so limited.</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10.13 Replacement of Lenders. </w:t>
      </w:r>
      <w:r>
        <w:rPr>
          <w:rFonts w:ascii="Arial" w:cs="Arial" w:eastAsia="Arial" w:hAnsi="Arial"/>
          <w:sz w:val="17"/>
          <w:szCs w:val="17"/>
          <w:color w:val="auto"/>
        </w:rPr>
        <w:t>If any Lender requests compensation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3.04</w:t>
      </w:r>
      <w:r>
        <w:rPr>
          <w:rFonts w:ascii="Arial" w:cs="Arial" w:eastAsia="Arial" w:hAnsi="Arial"/>
          <w:sz w:val="17"/>
          <w:szCs w:val="17"/>
          <w:color w:val="auto"/>
        </w:rPr>
        <w:t>, or if the Borrowers are required to pay any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to any Lender or any Governmental Authority for the account of any Lender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if any Lender is a Defaulting Lender, if any Lender is a Restricted Lender (as defined below) or if any other circumstance exists hereunder that gives the Borrowers the right to replace a Lender as a party hereto,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76" w:lineRule="exact"/>
        <w:rPr>
          <w:sz w:val="20"/>
          <w:szCs w:val="20"/>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the Borrowers shall have paid to the Administrative Agent the assignment fee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656"/>
        <w:spacing w:after="0" w:line="312" w:lineRule="auto"/>
        <w:tabs>
          <w:tab w:leader="none" w:pos="130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100% of the outstanding principal of its Loans and L/C-BA Advances,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from the assignee (to the extent of such outstanding principal and accrued interest and fees) or the Borrowers (in the case of all other amounts);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7" w:lineRule="auto"/>
        <w:tabs>
          <w:tab w:leader="none" w:pos="130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70" w:lineRule="exact"/>
        <w:rPr>
          <w:rFonts w:ascii="Arial" w:cs="Arial" w:eastAsia="Arial" w:hAnsi="Arial"/>
          <w:sz w:val="18"/>
          <w:szCs w:val="18"/>
          <w:color w:val="auto"/>
        </w:rPr>
      </w:pPr>
    </w:p>
    <w:p>
      <w:pPr>
        <w:ind w:right="320" w:firstLine="656"/>
        <w:spacing w:after="0" w:line="277" w:lineRule="auto"/>
        <w:tabs>
          <w:tab w:leader="none" w:pos="130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 the case of any such assignment by a Restricted Lender, the assignee must have approved in writing the substance of the amendment, waiver or consent which caused the assignor to be a Restricted Lender; and</w:t>
      </w:r>
    </w:p>
    <w:p>
      <w:pPr>
        <w:sectPr>
          <w:pgSz w:w="11900" w:h="16838" w:orient="portrait"/>
          <w:cols w:equalWidth="0" w:num="1">
            <w:col w:w="11400"/>
          </w:cols>
          <w:pgMar w:left="240" w:top="584" w:right="259" w:bottom="0" w:gutter="0" w:footer="0" w:header="0"/>
        </w:sectPr>
      </w:pPr>
    </w:p>
    <w:bookmarkStart w:id="72" w:name="page73"/>
    <w:bookmarkEnd w:id="72"/>
    <w:p>
      <w:pPr>
        <w:spacing w:after="0" w:line="95" w:lineRule="exact"/>
        <w:rPr>
          <w:sz w:val="20"/>
          <w:szCs w:val="20"/>
          <w:color w:val="auto"/>
        </w:rPr>
      </w:pPr>
    </w:p>
    <w:p>
      <w:pPr>
        <w:ind w:left="1320" w:hanging="664"/>
        <w:spacing w:after="0"/>
        <w:tabs>
          <w:tab w:leader="none" w:pos="13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For the purposes of this </w:t>
      </w:r>
      <w:r>
        <w:rPr>
          <w:rFonts w:ascii="Arial" w:cs="Arial" w:eastAsia="Arial" w:hAnsi="Arial"/>
          <w:sz w:val="18"/>
          <w:szCs w:val="18"/>
          <w:u w:val="single" w:color="auto"/>
          <w:color w:val="auto"/>
        </w:rPr>
        <w:t>Section 10.13</w:t>
      </w:r>
      <w:r>
        <w:rPr>
          <w:rFonts w:ascii="Arial" w:cs="Arial" w:eastAsia="Arial" w:hAnsi="Arial"/>
          <w:sz w:val="18"/>
          <w:szCs w:val="18"/>
          <w:color w:val="auto"/>
        </w:rPr>
        <w:t>, a “</w:t>
      </w:r>
      <w:r>
        <w:rPr>
          <w:rFonts w:ascii="Arial" w:cs="Arial" w:eastAsia="Arial" w:hAnsi="Arial"/>
          <w:sz w:val="18"/>
          <w:szCs w:val="18"/>
          <w:u w:val="single" w:color="auto"/>
          <w:color w:val="auto"/>
        </w:rPr>
        <w:t>Restricted Lender</w:t>
      </w:r>
      <w:r>
        <w:rPr>
          <w:rFonts w:ascii="Arial" w:cs="Arial" w:eastAsia="Arial" w:hAnsi="Arial"/>
          <w:sz w:val="18"/>
          <w:szCs w:val="18"/>
          <w:color w:val="auto"/>
        </w:rPr>
        <w:t xml:space="preserve">” means a Lender that fails to approve an amendment, waiver or consent requested by the Loan Parties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has received the written approval of not less than the Required Lenders but also requires the approval of such Lender.</w:t>
      </w:r>
    </w:p>
    <w:p>
      <w:pPr>
        <w:spacing w:after="0" w:line="177" w:lineRule="exact"/>
        <w:rPr>
          <w:sz w:val="20"/>
          <w:szCs w:val="20"/>
          <w:color w:val="auto"/>
        </w:rPr>
      </w:pPr>
    </w:p>
    <w:p>
      <w:pPr>
        <w:ind w:left="680"/>
        <w:spacing w:after="0"/>
        <w:tabs>
          <w:tab w:leader="none" w:pos="130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6"/>
          <w:szCs w:val="16"/>
          <w:b w:val="1"/>
          <w:bCs w:val="1"/>
          <w:color w:val="auto"/>
        </w:rPr>
        <w:t>Governing Law; Jurisdiction; Etc</w:t>
      </w:r>
      <w:r>
        <w:rPr>
          <w:rFonts w:ascii="Arial" w:cs="Arial" w:eastAsia="Arial" w:hAnsi="Arial"/>
          <w:sz w:val="16"/>
          <w:szCs w:val="16"/>
          <w:color w:val="auto"/>
        </w:rPr>
        <w:t>.</w:t>
      </w:r>
    </w:p>
    <w:p>
      <w:pPr>
        <w:spacing w:after="0" w:line="229" w:lineRule="exact"/>
        <w:rPr>
          <w:sz w:val="20"/>
          <w:szCs w:val="20"/>
          <w:color w:val="auto"/>
        </w:rPr>
      </w:pPr>
    </w:p>
    <w:p>
      <w:pPr>
        <w:ind w:right="180" w:firstLine="656"/>
        <w:spacing w:after="0" w:line="277" w:lineRule="auto"/>
        <w:tabs>
          <w:tab w:leader="none" w:pos="1294"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STATE OF NEW YORK.</w:t>
      </w:r>
    </w:p>
    <w:p>
      <w:pPr>
        <w:spacing w:after="0" w:line="170" w:lineRule="exact"/>
        <w:rPr>
          <w:rFonts w:ascii="Arial" w:cs="Arial" w:eastAsia="Arial" w:hAnsi="Arial"/>
          <w:sz w:val="18"/>
          <w:szCs w:val="18"/>
          <w:color w:val="auto"/>
        </w:rPr>
      </w:pPr>
    </w:p>
    <w:p>
      <w:pPr>
        <w:ind w:right="60" w:firstLine="656"/>
        <w:spacing w:after="0" w:line="268" w:lineRule="auto"/>
        <w:tabs>
          <w:tab w:leader="none" w:pos="1304" w:val="left"/>
        </w:tabs>
        <w:numPr>
          <w:ilvl w:val="0"/>
          <w:numId w:val="223"/>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L/C-BA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L/C-BA ISSUER MAY OTHERWISE HAVE TO BRING ANY ACTION OR PROCEEDING RELATING TO THIS AGREEMENT OR ANY OTHER LOAN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DOCUMENT AGAINST ANY BORROWER OR ANY OTHER LOAN PARTY OR ITS PROPERTIES IN THE COURTS OF ANY JURISDICTION.</w:t>
      </w:r>
    </w:p>
    <w:p>
      <w:pPr>
        <w:spacing w:after="0" w:line="237" w:lineRule="exact"/>
        <w:rPr>
          <w:sz w:val="20"/>
          <w:szCs w:val="20"/>
          <w:color w:val="auto"/>
        </w:rPr>
      </w:pPr>
    </w:p>
    <w:p>
      <w:pPr>
        <w:ind w:firstLine="656"/>
        <w:spacing w:after="0" w:line="255" w:lineRule="auto"/>
        <w:tabs>
          <w:tab w:leader="none" w:pos="1307"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3" w:lineRule="exact"/>
        <w:rPr>
          <w:rFonts w:ascii="Arial" w:cs="Arial" w:eastAsia="Arial" w:hAnsi="Arial"/>
          <w:sz w:val="18"/>
          <w:szCs w:val="18"/>
          <w:color w:val="auto"/>
        </w:rPr>
      </w:pPr>
    </w:p>
    <w:p>
      <w:pPr>
        <w:ind w:right="360" w:firstLine="656"/>
        <w:spacing w:after="0" w:line="264" w:lineRule="auto"/>
        <w:tabs>
          <w:tab w:leader="none" w:pos="1304"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1" w:lineRule="exact"/>
        <w:rPr>
          <w:rFonts w:ascii="Arial" w:cs="Arial" w:eastAsia="Arial" w:hAnsi="Arial"/>
          <w:sz w:val="18"/>
          <w:szCs w:val="18"/>
          <w:color w:val="auto"/>
        </w:rPr>
      </w:pPr>
    </w:p>
    <w:p>
      <w:pPr>
        <w:ind w:right="380" w:firstLine="656"/>
        <w:spacing w:after="0" w:line="269" w:lineRule="auto"/>
        <w:tabs>
          <w:tab w:leader="none" w:pos="1307" w:val="left"/>
        </w:tabs>
        <w:numPr>
          <w:ilvl w:val="1"/>
          <w:numId w:val="224"/>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rFonts w:ascii="Arial" w:cs="Arial" w:eastAsia="Arial" w:hAnsi="Arial"/>
          <w:sz w:val="17"/>
          <w:szCs w:val="17"/>
          <w:color w:val="auto"/>
        </w:rPr>
      </w:pPr>
    </w:p>
    <w:p>
      <w:pPr>
        <w:ind w:right="180" w:firstLine="8"/>
        <w:spacing w:after="0" w:line="273" w:lineRule="auto"/>
        <w:tabs>
          <w:tab w:leader="none" w:pos="29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3" w:lineRule="exact"/>
        <w:rPr>
          <w:sz w:val="20"/>
          <w:szCs w:val="20"/>
          <w:color w:val="auto"/>
        </w:rPr>
      </w:pPr>
    </w:p>
    <w:p>
      <w:pPr>
        <w:ind w:left="40" w:firstLine="648"/>
        <w:spacing w:after="0" w:line="272" w:lineRule="auto"/>
        <w:rPr>
          <w:sz w:val="20"/>
          <w:szCs w:val="20"/>
          <w:color w:val="auto"/>
        </w:rPr>
      </w:pPr>
      <w:r>
        <w:rPr>
          <w:rFonts w:ascii="Arial" w:cs="Arial" w:eastAsia="Arial" w:hAnsi="Arial"/>
          <w:sz w:val="17"/>
          <w:szCs w:val="17"/>
          <w:b w:val="1"/>
          <w:bCs w:val="1"/>
          <w:color w:val="auto"/>
        </w:rPr>
        <w:t xml:space="preserve">10.15 No Advisory or Fiduciary Responsibility. </w:t>
      </w:r>
      <w:r>
        <w:rPr>
          <w:rFonts w:ascii="Arial" w:cs="Arial" w:eastAsia="Arial" w:hAnsi="Arial"/>
          <w:sz w:val="17"/>
          <w:szCs w:val="17"/>
          <w:color w:val="auto"/>
        </w:rPr>
        <w:t>In connection with all aspects of each transaction contemplated hereby (including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amendment, waiver or other modification hereof or of any other Loan Document), each Borrower and each other Loan Party acknowledges and agrees, and acknowledges its Affiliates’ understanding, that: (i) (A) the arranging and other services regarding this Agreement provided by the Administrative Agent and the Lead Arrangers are arm’s-length commercial transactions between each Borrower, each of the Loan Parties, and their respective Affiliates, on the one hand, and the Administrative Agent each of the Lead Arrangers, on the other hand, (B) each of the Borrowers and the other Loan Parties has consulted its own legal, accounting, regulatory and tax advisors to the extent it has deemed appropriate, and (C) each of the Borrowers and each other Loan Party is capable of evaluating, and understands and accepts, the terms, risks and conditions of the transactions contemplated hereby and by the other Loan Documents; (ii) (A) each of the Administrative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Agent and each Joint Lead Arranger is and has been acting solely as a principal and, except as expressly agreed in writing by the relevant parties, has not been, is not, and will not be acting as an advisor, agent or fiduciary for any Borrower, any other Loan Party or any of their respective Affiliates, or any other Person and (B) neither the Administrative Agent nor any Joint Lead Arranger has any obligation to any Borrower, any other Loan Party or any of their respective Affiliates with respect to the transactions contemplated hereby except those obligations expressly set forth herein and in the other Loan Documents; and (iii) the Administrative Agent and the Joint Lead Arrangers and their respective Affiliates may be engaged in a broad range of transactions that involve interests that differ from those of the Borrowers, the other Loan Parties and their respective Affiliates, and neither the Administrative Agent nor any Joint Lead Arranger has any obligation to disclose any of such interests to any Borrower, any other Loan Party or any of their respective Affiliates. To the fullest extent permitted by law, each of the Borrowers and the other Loan Parties hereby waives and releases any claims that it may have against the</w:t>
      </w:r>
    </w:p>
    <w:p>
      <w:pPr>
        <w:sectPr>
          <w:pgSz w:w="11900" w:h="16933" w:orient="portrait"/>
          <w:cols w:equalWidth="0" w:num="1">
            <w:col w:w="11400"/>
          </w:cols>
          <w:pgMar w:left="240" w:top="125" w:right="259" w:bottom="0" w:gutter="0" w:footer="0" w:header="0"/>
        </w:sectPr>
      </w:pPr>
    </w:p>
    <w:bookmarkStart w:id="73" w:name="page74"/>
    <w:bookmarkEnd w:id="73"/>
    <w:p>
      <w:pPr>
        <w:ind w:right="160"/>
        <w:spacing w:after="0" w:line="277" w:lineRule="auto"/>
        <w:rPr>
          <w:sz w:val="20"/>
          <w:szCs w:val="20"/>
          <w:color w:val="auto"/>
        </w:rPr>
      </w:pPr>
      <w:r>
        <w:rPr>
          <w:rFonts w:ascii="Arial" w:cs="Arial" w:eastAsia="Arial" w:hAnsi="Arial"/>
          <w:sz w:val="18"/>
          <w:szCs w:val="18"/>
          <w:color w:val="auto"/>
        </w:rPr>
        <w:t>Administrative Agent and the Joint Lead Arrangers with respect to any breach or alleged breach of agency or fiduciary duty in connection with any aspect of any transaction contemplated hereby.</w:t>
      </w:r>
    </w:p>
    <w:p>
      <w:pPr>
        <w:spacing w:after="0" w:line="166" w:lineRule="exact"/>
        <w:rPr>
          <w:sz w:val="20"/>
          <w:szCs w:val="20"/>
          <w:color w:val="auto"/>
        </w:rPr>
      </w:pPr>
    </w:p>
    <w:p>
      <w:pPr>
        <w:ind w:left="40" w:right="180" w:firstLine="648"/>
        <w:spacing w:after="0" w:line="256" w:lineRule="auto"/>
        <w:rPr>
          <w:sz w:val="20"/>
          <w:szCs w:val="20"/>
          <w:color w:val="auto"/>
        </w:rPr>
      </w:pPr>
      <w:r>
        <w:rPr>
          <w:rFonts w:ascii="Arial" w:cs="Arial" w:eastAsia="Arial" w:hAnsi="Arial"/>
          <w:sz w:val="18"/>
          <w:szCs w:val="18"/>
          <w:b w:val="1"/>
          <w:bCs w:val="1"/>
          <w:color w:val="auto"/>
        </w:rPr>
        <w:t xml:space="preserve">10.16 Electronic Execution of Assignments and Certain Other Documents. </w:t>
      </w:r>
      <w:r>
        <w:rPr>
          <w:rFonts w:ascii="Arial" w:cs="Arial" w:eastAsia="Arial" w:hAnsi="Arial"/>
          <w:sz w:val="18"/>
          <w:szCs w:val="18"/>
          <w:color w:val="auto"/>
        </w:rPr>
        <w:t>The words “execution,” “signed,” “signature,” and words of like</w:t>
      </w:r>
      <w:r>
        <w:rPr>
          <w:rFonts w:ascii="Arial" w:cs="Arial" w:eastAsia="Arial" w:hAnsi="Arial"/>
          <w:sz w:val="18"/>
          <w:szCs w:val="18"/>
          <w:b w:val="1"/>
          <w:bCs w:val="1"/>
          <w:color w:val="auto"/>
        </w:rPr>
        <w:t xml:space="preserve"> </w:t>
      </w:r>
      <w:r>
        <w:rPr>
          <w:rFonts w:ascii="Arial" w:cs="Arial" w:eastAsia="Arial" w:hAnsi="Arial"/>
          <w:sz w:val="18"/>
          <w:szCs w:val="18"/>
          <w:color w:val="auto"/>
        </w:rPr>
        <w:t>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8" w:lineRule="exact"/>
        <w:rPr>
          <w:sz w:val="20"/>
          <w:szCs w:val="20"/>
          <w:color w:val="auto"/>
        </w:rPr>
      </w:pPr>
    </w:p>
    <w:p>
      <w:pPr>
        <w:ind w:left="40" w:right="40" w:firstLine="648"/>
        <w:spacing w:after="0" w:line="255" w:lineRule="auto"/>
        <w:rPr>
          <w:sz w:val="20"/>
          <w:szCs w:val="20"/>
          <w:color w:val="auto"/>
        </w:rPr>
      </w:pPr>
      <w:r>
        <w:rPr>
          <w:rFonts w:ascii="Arial" w:cs="Arial" w:eastAsia="Arial" w:hAnsi="Arial"/>
          <w:sz w:val="18"/>
          <w:szCs w:val="18"/>
          <w:b w:val="1"/>
          <w:bCs w:val="1"/>
          <w:color w:val="auto"/>
        </w:rPr>
        <w:t xml:space="preserve">10.17 USA PATRIOT Act. </w:t>
      </w:r>
      <w:r>
        <w:rPr>
          <w:rFonts w:ascii="Arial" w:cs="Arial" w:eastAsia="Arial" w:hAnsi="Arial"/>
          <w:sz w:val="18"/>
          <w:szCs w:val="18"/>
          <w:color w:val="auto"/>
        </w:rPr>
        <w:t>Each Lender that is subject to the Act (as hereinafter defined) and the Administrative Agent (for itself and not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any Lender) hereby notifies the Borrowers that pursuant to the requirements of the USA PATRIOT Act (Title III of Pub. L. 107-56 (signed into law October 26, 2001)) (the “Act”), it is required to obtain, verify and record information that identifies the Borrowers, which information includes the name and address of the Borrowers and other information that will allow such Lender or the Administrative Agent, as applicable, to identify the Borrowers in accordance with the Act. The Borrowers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 pages follow.]</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 WITNESS WHEREOF, </w:t>
      </w:r>
      <w:r>
        <w:rPr>
          <w:rFonts w:ascii="Arial" w:cs="Arial" w:eastAsia="Arial" w:hAnsi="Arial"/>
          <w:sz w:val="18"/>
          <w:szCs w:val="18"/>
          <w:color w:val="auto"/>
        </w:rPr>
        <w:t>the parties hereto have caused this Agreement to be duly executed as of the date first above written.</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WORLD FUEL SERVICES CORPORATION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Alexander Lake</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 Alexander Lake</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and Corporate Secretary</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WORLD FUEL SERVICES EUROPE, LTD.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J. White</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Christopher J. White</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WORLD FUEL SERVICES (SINGAPORE) PTE LTD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Francis Lee Boon Meng</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Francis Lee Boon Meng</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Angela Larkin</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Angela Larkin</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Assistant Vice President</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BANK OF AMERICA, N.A., SINGAPORE BRANCH</w:t>
      </w:r>
      <w:r>
        <w:rPr>
          <w:rFonts w:ascii="Arial" w:cs="Arial" w:eastAsia="Arial" w:hAnsi="Arial"/>
          <w:sz w:val="17"/>
          <w:szCs w:val="17"/>
          <w:color w:val="auto"/>
        </w:rPr>
        <w:t>, as Singapore Agent</w:t>
      </w:r>
    </w:p>
    <w:p>
      <w:pPr>
        <w:spacing w:after="0" w:line="200" w:lineRule="exact"/>
        <w:rPr>
          <w:sz w:val="20"/>
          <w:szCs w:val="20"/>
          <w:color w:val="auto"/>
        </w:rPr>
      </w:pPr>
    </w:p>
    <w:p>
      <w:pPr>
        <w:spacing w:after="0" w:line="25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Susana Yen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Susana Yen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SVP</w:t>
            </w:r>
          </w:p>
        </w:tc>
      </w:tr>
    </w:tbl>
    <w:p>
      <w:pPr>
        <w:sectPr>
          <w:pgSz w:w="11900" w:h="16838" w:orient="portrait"/>
          <w:cols w:equalWidth="0" w:num="1">
            <w:col w:w="11460"/>
          </w:cols>
          <w:pgMar w:left="240" w:top="125" w:right="199" w:bottom="0" w:gutter="0" w:footer="0" w:header="0"/>
        </w:sectPr>
      </w:pPr>
    </w:p>
    <w:bookmarkStart w:id="74" w:name="page75"/>
    <w:bookmarkEnd w:id="74"/>
    <w:p>
      <w:pPr>
        <w:ind w:left="5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t>LENDERS: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 Lender, L/C-BA Issuer and Swing Line</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Jamie Freeman</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Jamie Freeman</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BANK OF AMERICA, N.A., SINGAPORE BRANCH</w:t>
      </w:r>
      <w:r>
        <w:rPr>
          <w:rFonts w:ascii="Arial" w:cs="Arial" w:eastAsia="Arial" w:hAnsi="Arial"/>
          <w:sz w:val="17"/>
          <w:szCs w:val="17"/>
          <w:color w:val="auto"/>
        </w:rPr>
        <w:t>, as Singapore Term</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Loan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Choo Mui Leng</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Choo Mui Leng</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HSBC BANK USA, NATIONAL ASSOCIATION</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 and L/C-BA Issuer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Hart</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Peter Hart</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Roll</w:t>
            </w:r>
          </w:p>
        </w:tc>
        <w:tc>
          <w:tcPr>
            <w:tcW w:w="40" w:type="dxa"/>
            <w:vAlign w:val="bottom"/>
          </w:tcPr>
          <w:p>
            <w:pPr>
              <w:spacing w:after="0"/>
              <w:rPr>
                <w:sz w:val="20"/>
                <w:szCs w:val="20"/>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Gregory Roll</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348"/>
        </w:trPr>
        <w:tc>
          <w:tcPr>
            <w:tcW w:w="6460" w:type="dxa"/>
            <w:vAlign w:val="bottom"/>
            <w:tcBorders>
              <w:bottom w:val="single" w:sz="8" w:color="010101"/>
            </w:tcBorders>
          </w:tcPr>
          <w:p>
            <w:pPr>
              <w:spacing w:after="0"/>
              <w:rPr>
                <w:sz w:val="24"/>
                <w:szCs w:val="24"/>
                <w:color w:val="auto"/>
              </w:rPr>
            </w:pPr>
          </w:p>
        </w:tc>
        <w:tc>
          <w:tcPr>
            <w:tcW w:w="49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ROYAL BANK OF SCOTLAND PLC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 Peter Yetman</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 Peter Yetman</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ROYAL BANK OF SCOTLAND PLC,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SINGAPORE BRANCH</w:t>
      </w:r>
      <w:r>
        <w:rPr>
          <w:rFonts w:ascii="Arial" w:cs="Arial" w:eastAsia="Arial" w:hAnsi="Arial"/>
          <w:sz w:val="18"/>
          <w:szCs w:val="18"/>
          <w:color w:val="auto"/>
        </w:rPr>
        <w:t>, as a Singapore Term Loan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Li Wen</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Kim Li Wen</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TD BANK, N.A.</w:t>
      </w:r>
    </w:p>
    <w:p>
      <w:pPr>
        <w:sectPr>
          <w:pgSz w:w="11900" w:h="16838" w:orient="portrait"/>
          <w:cols w:equalWidth="0" w:num="1">
            <w:col w:w="11460"/>
          </w:cols>
          <w:pgMar w:left="240" w:top="1053" w:right="199" w:bottom="50" w:gutter="0" w:footer="0" w:header="0"/>
        </w:sectPr>
      </w:pPr>
    </w:p>
    <w:bookmarkStart w:id="75" w:name="page76"/>
    <w:bookmarkEnd w:id="75"/>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Perlman</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David Perlman</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CITIBANK, N.A.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Allen Blankenship</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William Allen Blankenship</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 and Vice President</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CITIBANK , N.A. SINGAPORE BRANCH</w:t>
      </w:r>
      <w:r>
        <w:rPr>
          <w:rFonts w:ascii="Arial" w:cs="Arial" w:eastAsia="Arial" w:hAnsi="Arial"/>
          <w:sz w:val="18"/>
          <w:szCs w:val="18"/>
          <w:color w:val="auto"/>
        </w:rPr>
        <w:t>, as a Singapore Term Loan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Allen Blankenship</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William Allen Blankenship</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Director and Vice President</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CREDIT SUISSE AG, CAYMAN ISLANDS BRANCH</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Mikhail Faybusovich</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Mikhail Faybusovich</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648"/>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Tyler R. Smith</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Tyler R. Smith</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Signatory</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BANK, N.A.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Horst</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John A. Horst</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Credit Executive</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PNC BANK, NATIONAL ASSOCIATION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Britton S. Core</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Britton S. Core</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SVP</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REGIONS BANK</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J. Bacchi</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Alfred J. Bacchi</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348"/>
        </w:trPr>
        <w:tc>
          <w:tcPr>
            <w:tcW w:w="64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2"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STANDARD CHARTERED BANK</w:t>
      </w:r>
    </w:p>
    <w:p>
      <w:pPr>
        <w:sectPr>
          <w:pgSz w:w="11900" w:h="16872" w:orient="portrait"/>
          <w:cols w:equalWidth="0" w:num="1">
            <w:col w:w="11460"/>
          </w:cols>
          <w:pgMar w:left="240" w:top="125" w:right="199"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P. Hughes</w:t>
            </w:r>
          </w:p>
        </w:tc>
        <w:tc>
          <w:tcPr>
            <w:tcW w:w="40" w:type="dxa"/>
            <w:vAlign w:val="bottom"/>
          </w:tcPr>
          <w:p>
            <w:pPr>
              <w:spacing w:after="0"/>
              <w:rPr>
                <w:sz w:val="20"/>
                <w:szCs w:val="20"/>
                <w:color w:val="auto"/>
              </w:rPr>
            </w:pPr>
          </w:p>
        </w:tc>
      </w:tr>
      <w:tr>
        <w:trPr>
          <w:trHeight w:val="411"/>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James P. Hughes A2386</w:t>
            </w:r>
          </w:p>
        </w:tc>
        <w:tc>
          <w:tcPr>
            <w:tcW w:w="40" w:type="dxa"/>
            <w:vAlign w:val="bottom"/>
          </w:tcPr>
          <w:p>
            <w:pPr>
              <w:spacing w:after="0"/>
              <w:rPr>
                <w:sz w:val="24"/>
                <w:szCs w:val="24"/>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0"/>
                <w:szCs w:val="20"/>
                <w:color w:val="auto"/>
              </w:rPr>
            </w:pP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b w:val="1"/>
                <w:bCs w:val="1"/>
                <w:color w:val="auto"/>
              </w:rPr>
              <w:t>STANDARD CHARTERED BANK</w:t>
            </w:r>
          </w:p>
        </w:tc>
        <w:tc>
          <w:tcPr>
            <w:tcW w:w="40" w:type="dxa"/>
            <w:vAlign w:val="bottom"/>
          </w:tcPr>
          <w:p>
            <w:pPr>
              <w:spacing w:after="0"/>
              <w:rPr>
                <w:sz w:val="24"/>
                <w:szCs w:val="24"/>
                <w:color w:val="auto"/>
              </w:rPr>
            </w:pPr>
          </w:p>
        </w:tc>
      </w:tr>
      <w:tr>
        <w:trPr>
          <w:trHeight w:val="648"/>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K. Reddington</w:t>
            </w:r>
          </w:p>
        </w:tc>
        <w:tc>
          <w:tcPr>
            <w:tcW w:w="40" w:type="dxa"/>
            <w:vAlign w:val="bottom"/>
          </w:tcPr>
          <w:p>
            <w:pPr>
              <w:spacing w:after="0"/>
              <w:rPr>
                <w:sz w:val="24"/>
                <w:szCs w:val="24"/>
                <w:color w:val="auto"/>
              </w:rPr>
            </w:pPr>
          </w:p>
        </w:tc>
      </w:tr>
      <w:tr>
        <w:trPr>
          <w:trHeight w:val="411"/>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Robert K. Reddington</w:t>
            </w:r>
          </w:p>
        </w:tc>
        <w:tc>
          <w:tcPr>
            <w:tcW w:w="40" w:type="dxa"/>
            <w:vAlign w:val="bottom"/>
          </w:tcPr>
          <w:p>
            <w:pPr>
              <w:spacing w:after="0"/>
              <w:rPr>
                <w:sz w:val="24"/>
                <w:szCs w:val="24"/>
                <w:color w:val="auto"/>
              </w:rPr>
            </w:pPr>
          </w:p>
        </w:tc>
      </w:tr>
      <w:tr>
        <w:trPr>
          <w:trHeight w:val="216"/>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Credit Documentation Manager</w:t>
            </w:r>
          </w:p>
        </w:tc>
        <w:tc>
          <w:tcPr>
            <w:tcW w:w="40" w:type="dxa"/>
            <w:vAlign w:val="bottom"/>
          </w:tcPr>
          <w:p>
            <w:pPr>
              <w:spacing w:after="0"/>
              <w:rPr>
                <w:sz w:val="18"/>
                <w:szCs w:val="18"/>
                <w:color w:val="auto"/>
              </w:rPr>
            </w:pPr>
          </w:p>
        </w:tc>
      </w:tr>
      <w:tr>
        <w:trPr>
          <w:trHeight w:val="230"/>
        </w:trPr>
        <w:tc>
          <w:tcPr>
            <w:tcW w:w="65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Credit Documentation Unit, WB Legal-Americas</w:t>
            </w:r>
          </w:p>
        </w:tc>
        <w:tc>
          <w:tcPr>
            <w:tcW w:w="40" w:type="dxa"/>
            <w:vAlign w:val="bottom"/>
          </w:tcPr>
          <w:p>
            <w:pPr>
              <w:spacing w:after="0"/>
              <w:rPr>
                <w:sz w:val="20"/>
                <w:szCs w:val="20"/>
                <w:color w:val="auto"/>
              </w:rPr>
            </w:pPr>
          </w:p>
        </w:tc>
      </w:tr>
      <w:tr>
        <w:trPr>
          <w:trHeight w:val="348"/>
        </w:trPr>
        <w:tc>
          <w:tcPr>
            <w:tcW w:w="654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BANKUNITED N.A.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J. Klenk</w:t>
            </w:r>
          </w:p>
        </w:tc>
        <w:tc>
          <w:tcPr>
            <w:tcW w:w="40" w:type="dxa"/>
            <w:vAlign w:val="bottom"/>
          </w:tcPr>
          <w:p>
            <w:pPr>
              <w:spacing w:after="0"/>
              <w:rPr>
                <w:sz w:val="20"/>
                <w:szCs w:val="20"/>
                <w:color w:val="auto"/>
              </w:rPr>
            </w:pPr>
          </w:p>
        </w:tc>
      </w:tr>
      <w:tr>
        <w:trPr>
          <w:trHeight w:val="411"/>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Charles J. Klenk</w:t>
            </w:r>
          </w:p>
        </w:tc>
        <w:tc>
          <w:tcPr>
            <w:tcW w:w="40" w:type="dxa"/>
            <w:vAlign w:val="bottom"/>
          </w:tcPr>
          <w:p>
            <w:pPr>
              <w:spacing w:after="0"/>
              <w:rPr>
                <w:sz w:val="24"/>
                <w:szCs w:val="24"/>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348"/>
        </w:trPr>
        <w:tc>
          <w:tcPr>
            <w:tcW w:w="654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BANK OF TOKYO-MITSUBISHI UFJ, LTD.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Oram</w:t>
            </w:r>
          </w:p>
        </w:tc>
        <w:tc>
          <w:tcPr>
            <w:tcW w:w="40" w:type="dxa"/>
            <w:vAlign w:val="bottom"/>
          </w:tcPr>
          <w:p>
            <w:pPr>
              <w:spacing w:after="0"/>
              <w:rPr>
                <w:sz w:val="20"/>
                <w:szCs w:val="20"/>
                <w:color w:val="auto"/>
              </w:rPr>
            </w:pPr>
          </w:p>
        </w:tc>
      </w:tr>
      <w:tr>
        <w:trPr>
          <w:trHeight w:val="411"/>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Andrew Oram</w:t>
            </w:r>
          </w:p>
        </w:tc>
        <w:tc>
          <w:tcPr>
            <w:tcW w:w="40" w:type="dxa"/>
            <w:vAlign w:val="bottom"/>
          </w:tcPr>
          <w:p>
            <w:pPr>
              <w:spacing w:after="0"/>
              <w:rPr>
                <w:sz w:val="24"/>
                <w:szCs w:val="24"/>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20"/>
                <w:szCs w:val="20"/>
                <w:color w:val="auto"/>
              </w:rPr>
            </w:pPr>
          </w:p>
        </w:tc>
      </w:tr>
      <w:tr>
        <w:trPr>
          <w:trHeight w:val="348"/>
        </w:trPr>
        <w:tc>
          <w:tcPr>
            <w:tcW w:w="654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BRANCH BANKING AND TRUST COMPANY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Jones</w:t>
            </w:r>
          </w:p>
        </w:tc>
        <w:tc>
          <w:tcPr>
            <w:tcW w:w="40" w:type="dxa"/>
            <w:vAlign w:val="bottom"/>
          </w:tcPr>
          <w:p>
            <w:pPr>
              <w:spacing w:after="0"/>
              <w:rPr>
                <w:sz w:val="20"/>
                <w:szCs w:val="20"/>
                <w:color w:val="auto"/>
              </w:rPr>
            </w:pPr>
          </w:p>
        </w:tc>
      </w:tr>
      <w:tr>
        <w:trPr>
          <w:trHeight w:val="411"/>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Brian R. Jones</w:t>
            </w:r>
          </w:p>
        </w:tc>
        <w:tc>
          <w:tcPr>
            <w:tcW w:w="40" w:type="dxa"/>
            <w:vAlign w:val="bottom"/>
          </w:tcPr>
          <w:p>
            <w:pPr>
              <w:spacing w:after="0"/>
              <w:rPr>
                <w:sz w:val="24"/>
                <w:szCs w:val="24"/>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348"/>
        </w:trPr>
        <w:tc>
          <w:tcPr>
            <w:tcW w:w="654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COMERICA BANK</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R. Finney, Jr.</w:t>
            </w:r>
          </w:p>
        </w:tc>
        <w:tc>
          <w:tcPr>
            <w:tcW w:w="40" w:type="dxa"/>
            <w:vAlign w:val="bottom"/>
          </w:tcPr>
          <w:p>
            <w:pPr>
              <w:spacing w:after="0"/>
              <w:rPr>
                <w:sz w:val="20"/>
                <w:szCs w:val="20"/>
                <w:color w:val="auto"/>
              </w:rPr>
            </w:pPr>
          </w:p>
        </w:tc>
      </w:tr>
      <w:tr>
        <w:trPr>
          <w:trHeight w:val="411"/>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Gerald R. Finney, Jr.</w:t>
            </w:r>
          </w:p>
        </w:tc>
        <w:tc>
          <w:tcPr>
            <w:tcW w:w="40" w:type="dxa"/>
            <w:vAlign w:val="bottom"/>
          </w:tcPr>
          <w:p>
            <w:pPr>
              <w:spacing w:after="0"/>
              <w:rPr>
                <w:sz w:val="24"/>
                <w:szCs w:val="24"/>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348"/>
        </w:trPr>
        <w:tc>
          <w:tcPr>
            <w:tcW w:w="654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SUMITOMO MITSUI BANKING CORPORATION</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Kee</w:t>
            </w:r>
          </w:p>
        </w:tc>
        <w:tc>
          <w:tcPr>
            <w:tcW w:w="40" w:type="dxa"/>
            <w:vAlign w:val="bottom"/>
          </w:tcPr>
          <w:p>
            <w:pPr>
              <w:spacing w:after="0"/>
              <w:rPr>
                <w:sz w:val="20"/>
                <w:szCs w:val="20"/>
                <w:color w:val="auto"/>
              </w:rPr>
            </w:pPr>
          </w:p>
        </w:tc>
      </w:tr>
      <w:tr>
        <w:trPr>
          <w:trHeight w:val="411"/>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David W. Kee</w:t>
            </w:r>
          </w:p>
        </w:tc>
        <w:tc>
          <w:tcPr>
            <w:tcW w:w="40" w:type="dxa"/>
            <w:vAlign w:val="bottom"/>
          </w:tcPr>
          <w:p>
            <w:pPr>
              <w:spacing w:after="0"/>
              <w:rPr>
                <w:sz w:val="24"/>
                <w:szCs w:val="24"/>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Managing Director</w:t>
            </w:r>
          </w:p>
        </w:tc>
        <w:tc>
          <w:tcPr>
            <w:tcW w:w="40" w:type="dxa"/>
            <w:vAlign w:val="bottom"/>
          </w:tcPr>
          <w:p>
            <w:pPr>
              <w:spacing w:after="0"/>
              <w:rPr>
                <w:sz w:val="20"/>
                <w:szCs w:val="20"/>
                <w:color w:val="auto"/>
              </w:rPr>
            </w:pPr>
          </w:p>
        </w:tc>
      </w:tr>
      <w:tr>
        <w:trPr>
          <w:trHeight w:val="348"/>
        </w:trPr>
        <w:tc>
          <w:tcPr>
            <w:tcW w:w="654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208" w:gutter="0" w:footer="0" w:header="0"/>
        </w:sectPr>
      </w:pPr>
    </w:p>
    <w:bookmarkStart w:id="77" w:name="page78"/>
    <w:bookmarkEnd w:id="77"/>
    <w:p>
      <w:pPr>
        <w:ind w:left="5720"/>
        <w:spacing w:after="0"/>
        <w:rPr>
          <w:sz w:val="20"/>
          <w:szCs w:val="20"/>
          <w:color w:val="auto"/>
        </w:rPr>
      </w:pPr>
      <w:r>
        <w:rPr>
          <w:rFonts w:ascii="Arial" w:cs="Arial" w:eastAsia="Arial" w:hAnsi="Arial"/>
          <w:sz w:val="18"/>
          <w:szCs w:val="18"/>
          <w:b w:val="1"/>
          <w:bCs w:val="1"/>
          <w:color w:val="auto"/>
        </w:rPr>
        <w:t>BARCLAYS BANK PLC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Paras Patel</w:t>
            </w:r>
          </w:p>
        </w:tc>
        <w:tc>
          <w:tcPr>
            <w:tcW w:w="40" w:type="dxa"/>
            <w:vAlign w:val="bottom"/>
          </w:tcPr>
          <w:p>
            <w:pPr>
              <w:spacing w:after="0"/>
              <w:rPr>
                <w:sz w:val="20"/>
                <w:szCs w:val="20"/>
                <w:color w:val="auto"/>
              </w:rPr>
            </w:pPr>
          </w:p>
        </w:tc>
      </w:tr>
      <w:tr>
        <w:trPr>
          <w:trHeight w:val="411"/>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Paras Patel</w:t>
            </w:r>
          </w:p>
        </w:tc>
        <w:tc>
          <w:tcPr>
            <w:tcW w:w="40" w:type="dxa"/>
            <w:vAlign w:val="bottom"/>
          </w:tcPr>
          <w:p>
            <w:pPr>
              <w:spacing w:after="0"/>
              <w:rPr>
                <w:sz w:val="24"/>
                <w:szCs w:val="24"/>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Authorised Signatory</w:t>
            </w:r>
          </w:p>
        </w:tc>
        <w:tc>
          <w:tcPr>
            <w:tcW w:w="40" w:type="dxa"/>
            <w:vAlign w:val="bottom"/>
          </w:tcPr>
          <w:p>
            <w:pPr>
              <w:spacing w:after="0"/>
              <w:rPr>
                <w:sz w:val="20"/>
                <w:szCs w:val="20"/>
                <w:color w:val="auto"/>
              </w:rPr>
            </w:pPr>
          </w:p>
        </w:tc>
      </w:tr>
      <w:tr>
        <w:trPr>
          <w:trHeight w:val="348"/>
        </w:trPr>
        <w:tc>
          <w:tcPr>
            <w:tcW w:w="654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CITY NATIONAL BANK OF FLORIDA</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Costa</w:t>
      </w:r>
    </w:p>
    <w:p>
      <w:pPr>
        <w:spacing w:after="0" w:line="23"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ISRAEL DISCOUNT BANK OF NEW YORK</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W. White</w:t>
            </w:r>
          </w:p>
        </w:tc>
        <w:tc>
          <w:tcPr>
            <w:tcW w:w="40" w:type="dxa"/>
            <w:vAlign w:val="bottom"/>
          </w:tcPr>
          <w:p>
            <w:pPr>
              <w:spacing w:after="0"/>
              <w:rPr>
                <w:sz w:val="20"/>
                <w:szCs w:val="20"/>
                <w:color w:val="auto"/>
              </w:rPr>
            </w:pPr>
          </w:p>
        </w:tc>
      </w:tr>
      <w:tr>
        <w:trPr>
          <w:trHeight w:val="411"/>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John W. White</w:t>
            </w:r>
          </w:p>
        </w:tc>
        <w:tc>
          <w:tcPr>
            <w:tcW w:w="40" w:type="dxa"/>
            <w:vAlign w:val="bottom"/>
          </w:tcPr>
          <w:p>
            <w:pPr>
              <w:spacing w:after="0"/>
              <w:rPr>
                <w:sz w:val="24"/>
                <w:szCs w:val="24"/>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Senior Vice President</w:t>
            </w:r>
          </w:p>
        </w:tc>
        <w:tc>
          <w:tcPr>
            <w:tcW w:w="40" w:type="dxa"/>
            <w:vAlign w:val="bottom"/>
          </w:tcPr>
          <w:p>
            <w:pPr>
              <w:spacing w:after="0"/>
              <w:rPr>
                <w:sz w:val="20"/>
                <w:szCs w:val="20"/>
                <w:color w:val="auto"/>
              </w:rPr>
            </w:pPr>
          </w:p>
        </w:tc>
      </w:tr>
      <w:tr>
        <w:trPr>
          <w:trHeight w:val="432"/>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 Trzcinski</w:t>
            </w:r>
          </w:p>
        </w:tc>
        <w:tc>
          <w:tcPr>
            <w:tcW w:w="40" w:type="dxa"/>
            <w:vAlign w:val="bottom"/>
          </w:tcPr>
          <w:p>
            <w:pPr>
              <w:spacing w:after="0"/>
              <w:rPr>
                <w:sz w:val="24"/>
                <w:szCs w:val="24"/>
                <w:color w:val="auto"/>
              </w:rPr>
            </w:pPr>
          </w:p>
        </w:tc>
      </w:tr>
      <w:tr>
        <w:trPr>
          <w:trHeight w:val="411"/>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Rod Trzcinski</w:t>
            </w:r>
          </w:p>
        </w:tc>
        <w:tc>
          <w:tcPr>
            <w:tcW w:w="40" w:type="dxa"/>
            <w:vAlign w:val="bottom"/>
          </w:tcPr>
          <w:p>
            <w:pPr>
              <w:spacing w:after="0"/>
              <w:rPr>
                <w:sz w:val="24"/>
                <w:szCs w:val="24"/>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348"/>
        </w:trPr>
        <w:tc>
          <w:tcPr>
            <w:tcW w:w="654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HONGKONG &amp; SHANGHAI BANKING CORPORATION LIMITED,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SINGAPORE, </w:t>
      </w:r>
      <w:r>
        <w:rPr>
          <w:rFonts w:ascii="Arial" w:cs="Arial" w:eastAsia="Arial" w:hAnsi="Arial"/>
          <w:sz w:val="18"/>
          <w:szCs w:val="18"/>
          <w:color w:val="auto"/>
        </w:rPr>
        <w:t>as a Singapore Term Loan Lender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Kelvin Tan Swee Beng</w:t>
            </w:r>
          </w:p>
        </w:tc>
        <w:tc>
          <w:tcPr>
            <w:tcW w:w="40" w:type="dxa"/>
            <w:vAlign w:val="bottom"/>
          </w:tcPr>
          <w:p>
            <w:pPr>
              <w:spacing w:after="0"/>
              <w:rPr>
                <w:sz w:val="20"/>
                <w:szCs w:val="20"/>
                <w:color w:val="auto"/>
              </w:rPr>
            </w:pPr>
          </w:p>
        </w:tc>
      </w:tr>
      <w:tr>
        <w:trPr>
          <w:trHeight w:val="411"/>
        </w:trPr>
        <w:tc>
          <w:tcPr>
            <w:tcW w:w="6540" w:type="dxa"/>
            <w:vAlign w:val="bottom"/>
          </w:tcPr>
          <w:p>
            <w:pPr>
              <w:ind w:left="5720"/>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Kelvin Tan Swee Beng</w:t>
            </w:r>
          </w:p>
        </w:tc>
        <w:tc>
          <w:tcPr>
            <w:tcW w:w="40" w:type="dxa"/>
            <w:vAlign w:val="bottom"/>
          </w:tcPr>
          <w:p>
            <w:pPr>
              <w:spacing w:after="0"/>
              <w:rPr>
                <w:sz w:val="24"/>
                <w:szCs w:val="24"/>
                <w:color w:val="auto"/>
              </w:rPr>
            </w:pPr>
          </w:p>
        </w:tc>
      </w:t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Managing Director and Head of Commercial Banking</w:t>
            </w:r>
          </w:p>
        </w:tc>
        <w:tc>
          <w:tcPr>
            <w:tcW w:w="40" w:type="dxa"/>
            <w:vAlign w:val="bottom"/>
          </w:tcPr>
          <w:p>
            <w:pPr>
              <w:spacing w:after="0"/>
              <w:rPr>
                <w:sz w:val="20"/>
                <w:szCs w:val="20"/>
                <w:color w:val="auto"/>
              </w:rPr>
            </w:pPr>
          </w:p>
        </w:tc>
      </w:tr>
      <w:tr>
        <w:trPr>
          <w:trHeight w:val="348"/>
        </w:trPr>
        <w:tc>
          <w:tcPr>
            <w:tcW w:w="654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95475" cy="892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95475" cy="8921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8500"/>
        <w:spacing w:after="0"/>
        <w:rPr>
          <w:sz w:val="20"/>
          <w:szCs w:val="20"/>
          <w:color w:val="auto"/>
        </w:rPr>
      </w:pPr>
      <w:r>
        <w:rPr>
          <w:rFonts w:ascii="Arial" w:cs="Arial" w:eastAsia="Arial" w:hAnsi="Arial"/>
          <w:sz w:val="18"/>
          <w:szCs w:val="18"/>
          <w:u w:val="single" w:color="auto"/>
          <w:color w:val="auto"/>
        </w:rPr>
        <w:t>Contact:</w:t>
      </w:r>
    </w:p>
    <w:p>
      <w:pPr>
        <w:spacing w:after="0" w:line="23"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Ira M. Birns</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Executive Vice President &amp;</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(305) 428-8000</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Amends Credit Facility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Increases Total Revolving Credit Facility To $1.1 Billion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Extends Maturity To October 2018 —</w:t>
      </w:r>
    </w:p>
    <w:p>
      <w:pPr>
        <w:spacing w:after="0" w:line="2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MIAMI,—October 10, 2013— World Fuel Services Corporation (NYSE: INT), a leading global fuel logistics company, principally engaged in the marketing, sale and distribution of aviation, marine and land fuel products and related services, announced today that it has successfully expanded its existing revolving credit facility. The amended facility increases the maximum availability under the facility from $800 million to $1.1 billion and extends the facility maturity date by more than two years to October 2018. The facility contains an accordion feature whereby it can be expanded to $1.25 billion under certain conditions. The Company also extended the maturity of its existing $243 million term loan to October 2018.</w:t>
      </w:r>
    </w:p>
    <w:p>
      <w:pPr>
        <w:spacing w:after="0" w:line="1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Borrowings under the credit facility and the term loan will continue to bear interest at a tiered structure based on certain financial covenants, which is at a current rate of LIBOR plus 2.0% per annum. The amended revolving credit facility may be used for borrowings for working capital needs and general corporate purposes as well as the issuance of standby and documentary letters of credit.</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very pleased to complete the amendment to our credit facility, which was significantly oversubscribed. The amended facility, which includes more favorable terms, will further enhance our capital structure and liquidity profile, providing even greater flexibility to execute on our strategic growth initiatives,” said Ira M. Birns, executive vice president and chief financial officer of World Fuel Services Corporation.</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appreciative of the continued support demonstrated by our existing global bank group as well as several new lenders. The success of this transaction reflects our banks’ continued confidence in our dynamic business model,” said Adrienne B. Urban, vice president and treasurer of World Fuel Services Corporation.</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Bank of America Merrill Lynch, Wells Fargo Securities, LLC and HSBC Bank USA, National Association served as joint lead arrangers in connection with the transaction. RBS Citizens, N.A., TD Bank, N.A. and Citibank, N.A. served 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Relating to Forward-Looking Statements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This release includes forward-looking statements within the meaning of the Private Securities Litigation Reform Act of 1995, including statements regarding our expectations about our capital structure and liquidity profile and our ability to execute on strategic growth initiatives. These forward-looking statements are qualified in their entirety by cautionary statements and risk factor disclosures contained in the company’s Securities and Exchange Commission (“SEC”) filings, including the company’s Annual Report on Form 10-K filed with the SEC on February 21, 2013.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World Fuel Services Corporation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Headquartered in Miami, Florida, World Fuel Services is a leading global fuel logistics company, principally engaged in the marketing, sale and distribution of aviation, marine and land fuel products and related services on a worldwide basis. World Fuel Services sells fuel and delivers services to its clients at more than 8,000 locations in more than 200 countries and territories worldwide.</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www.wfscorp.com.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E6D486"/>
    <w:multiLevelType w:val="hybridMultilevel"/>
    <w:lvl w:ilvl="0">
      <w:lvlJc w:val="left"/>
      <w:lvlText w:val="o"/>
      <w:numFmt w:val="bullet"/>
      <w:start w:val="1"/>
    </w:lvl>
  </w:abstractNum>
  <w:abstractNum w:abstractNumId="1">
    <w:nsid w:val="5C10FE21"/>
    <w:multiLevelType w:val="hybridMultilevel"/>
    <w:lvl w:ilvl="0">
      <w:lvlJc w:val="left"/>
      <w:lvlText w:val="·"/>
      <w:numFmt w:val="bullet"/>
      <w:start w:val="1"/>
    </w:lvl>
  </w:abstractNum>
  <w:abstractNum w:abstractNumId="2">
    <w:nsid w:val="E7FFA2B"/>
    <w:multiLevelType w:val="hybridMultilevel"/>
    <w:lvl w:ilvl="0">
      <w:lvlJc w:val="left"/>
      <w:lvlText w:val="·"/>
      <w:numFmt w:val="bullet"/>
      <w:start w:val="1"/>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1)"/>
      <w:numFmt w:val="lowerLetter"/>
      <w:start w:val="4"/>
    </w:lvl>
  </w:abstractNum>
  <w:abstractNum w:abstractNumId="5">
    <w:nsid w:val="78DF6A55"/>
    <w:multiLevelType w:val="hybridMultilevel"/>
    <w:lvl w:ilvl="0">
      <w:lvlJc w:val="left"/>
      <w:lvlText w:val="B"/>
      <w:numFmt w:val="bullet"/>
      <w:start w:val="1"/>
    </w:lvl>
  </w:abstractNum>
  <w:abstractNum w:abstractNumId="6">
    <w:nsid w:val="39B7AAA2"/>
    <w:multiLevelType w:val="hybridMultilevel"/>
    <w:lvl w:ilvl="0">
      <w:lvlJc w:val="left"/>
      <w:lvlText w:val="C"/>
      <w:numFmt w:val="bullet"/>
      <w:start w:val="1"/>
    </w:lvl>
  </w:abstractNum>
  <w:abstractNum w:abstractNumId="7">
    <w:nsid w:val="2B0D8DBE"/>
    <w:multiLevelType w:val="hybridMultilevel"/>
    <w:lvl w:ilvl="0">
      <w:lvlJc w:val="left"/>
      <w:lvlText w:val="E"/>
      <w:numFmt w:val="bullet"/>
      <w:start w:val="1"/>
    </w:lvl>
  </w:abstractNum>
  <w:abstractNum w:abstractNumId="8">
    <w:nsid w:val="6C80EC70"/>
    <w:multiLevelType w:val="hybridMultilevel"/>
    <w:lvl w:ilvl="0">
      <w:lvlJc w:val="left"/>
      <w:lvlText w:val="F"/>
      <w:numFmt w:val="bullet"/>
      <w:start w:val="1"/>
    </w:lvl>
  </w:abstractNum>
  <w:abstractNum w:abstractNumId="9">
    <w:nsid w:val="379E21B5"/>
    <w:multiLevelType w:val="hybridMultilevel"/>
    <w:lvl w:ilvl="0">
      <w:lvlJc w:val="left"/>
      <w:lvlText w:val="G"/>
      <w:numFmt w:val="bullet"/>
      <w:start w:val="1"/>
    </w:lvl>
  </w:abstractNum>
  <w:abstractNum w:abstractNumId="10">
    <w:nsid w:val="69E373"/>
    <w:multiLevelType w:val="hybridMultilevel"/>
    <w:lvl w:ilvl="0">
      <w:lvlJc w:val="left"/>
      <w:lvlText w:val="I"/>
      <w:numFmt w:val="bullet"/>
      <w:start w:val="1"/>
    </w:lvl>
  </w:abstractNum>
  <w:abstractNum w:abstractNumId="11">
    <w:nsid w:val="2C27173B"/>
    <w:multiLevelType w:val="hybridMultilevel"/>
    <w:lvl w:ilvl="0">
      <w:lvlJc w:val="left"/>
      <w:lvlText w:val="J"/>
      <w:numFmt w:val="bullet"/>
      <w:start w:val="1"/>
    </w:lvl>
  </w:abstractNum>
  <w:abstractNum w:abstractNumId="12">
    <w:nsid w:val="4C9B0904"/>
    <w:multiLevelType w:val="hybridMultilevel"/>
    <w:lvl w:ilvl="0">
      <w:lvlJc w:val="left"/>
      <w:lvlText w:val="%1."/>
      <w:numFmt w:val="upperLetter"/>
      <w:start w:val="1"/>
    </w:lvl>
  </w:abstractNum>
  <w:abstractNum w:abstractNumId="13">
    <w:nsid w:val="6AA7B75C"/>
    <w:multiLevelType w:val="hybridMultilevel"/>
    <w:lvl w:ilvl="0">
      <w:lvlJc w:val="left"/>
      <w:lvlText w:val="%1."/>
      <w:numFmt w:val="upperLetter"/>
      <w:start w:val="3"/>
    </w:lvl>
  </w:abstractNum>
  <w:abstractNum w:abstractNumId="14">
    <w:nsid w:val="1DF029D3"/>
    <w:multiLevelType w:val="hybridMultilevel"/>
    <w:lvl w:ilvl="0">
      <w:lvlJc w:val="left"/>
      <w:lvlText w:val="(%1)"/>
      <w:numFmt w:val="lowerLetter"/>
      <w:start w:val="1"/>
    </w:lvl>
  </w:abstractNum>
  <w:abstractNum w:abstractNumId="15">
    <w:nsid w:val="5675FF36"/>
    <w:multiLevelType w:val="hybridMultilevel"/>
    <w:lvl w:ilvl="0">
      <w:lvlJc w:val="left"/>
      <w:lvlText w:val="(%1)"/>
      <w:numFmt w:val="lowerLetter"/>
      <w:start w:val="2"/>
    </w:lvl>
  </w:abstractNum>
  <w:abstractNum w:abstractNumId="16">
    <w:nsid w:val="3DD15094"/>
    <w:multiLevelType w:val="hybridMultilevel"/>
    <w:lvl w:ilvl="0">
      <w:lvlJc w:val="left"/>
      <w:lvlText w:val="(%1)"/>
      <w:numFmt w:val="lowerLetter"/>
      <w:start w:val="1"/>
    </w:lvl>
  </w:abstractNum>
  <w:abstractNum w:abstractNumId="17">
    <w:nsid w:val="3DB012B3"/>
    <w:multiLevelType w:val="hybridMultilevel"/>
    <w:lvl w:ilvl="0">
      <w:lvlJc w:val="left"/>
      <w:lvlText w:val="(%1)"/>
      <w:numFmt w:val="lowerLetter"/>
      <w:start w:val="2"/>
    </w:lvl>
  </w:abstractNum>
  <w:abstractNum w:abstractNumId="18">
    <w:nsid w:val="2708C9AF"/>
    <w:multiLevelType w:val="hybridMultilevel"/>
    <w:lvl w:ilvl="0">
      <w:lvlJc w:val="left"/>
      <w:lvlText w:val="(%1)"/>
      <w:numFmt w:val="lowerRoman"/>
      <w:start w:val="3"/>
    </w:lvl>
  </w:abstractNum>
  <w:abstractNum w:abstractNumId="19">
    <w:nsid w:val="5B25ACE2"/>
    <w:multiLevelType w:val="hybridMultilevel"/>
    <w:lvl w:ilvl="0">
      <w:lvlJc w:val="left"/>
      <w:lvlText w:val="(%1)"/>
      <w:numFmt w:val="lowerRoman"/>
      <w:start w:val="2"/>
    </w:lvl>
  </w:abstractNum>
  <w:abstractNum w:abstractNumId="20">
    <w:nsid w:val="175DFCF0"/>
    <w:multiLevelType w:val="hybridMultilevel"/>
    <w:lvl w:ilvl="0">
      <w:lvlJc w:val="left"/>
      <w:lvlText w:val="(%1)"/>
      <w:numFmt w:val="lowerLetter"/>
      <w:start w:val="2"/>
    </w:lvl>
  </w:abstractNum>
  <w:abstractNum w:abstractNumId="21">
    <w:nsid w:val="4F97E3E4"/>
    <w:multiLevelType w:val="hybridMultilevel"/>
    <w:lvl w:ilvl="0">
      <w:lvlJc w:val="left"/>
      <w:lvlText w:val="(%1)"/>
      <w:numFmt w:val="lowerRoman"/>
      <w:start w:val="2"/>
    </w:lvl>
  </w:abstractNum>
  <w:abstractNum w:abstractNumId="22">
    <w:nsid w:val="53B0A9E"/>
    <w:multiLevelType w:val="hybridMultilevel"/>
    <w:lvl w:ilvl="0">
      <w:lvlJc w:val="left"/>
      <w:lvlText w:val="(%1)"/>
      <w:numFmt w:val="lowerLetter"/>
      <w:start w:val="1"/>
    </w:lvl>
  </w:abstractNum>
  <w:abstractNum w:abstractNumId="23">
    <w:nsid w:val="34FD6B4F"/>
    <w:multiLevelType w:val="hybridMultilevel"/>
    <w:lvl w:ilvl="0">
      <w:lvlJc w:val="left"/>
      <w:lvlText w:val="(%1)"/>
      <w:numFmt w:val="lowerLetter"/>
      <w:start w:val="2"/>
    </w:lvl>
  </w:abstractNum>
  <w:abstractNum w:abstractNumId="24">
    <w:nsid w:val="5915FF32"/>
    <w:multiLevelType w:val="hybridMultilevel"/>
    <w:lvl w:ilvl="0">
      <w:lvlJc w:val="left"/>
      <w:lvlText w:val="(%1)"/>
      <w:numFmt w:val="lowerLetter"/>
      <w:start w:val="35"/>
    </w:lvl>
  </w:abstractNum>
  <w:abstractNum w:abstractNumId="25">
    <w:nsid w:val="56438D15"/>
    <w:multiLevelType w:val="hybridMultilevel"/>
    <w:lvl w:ilvl="0">
      <w:lvlJc w:val="left"/>
      <w:lvlText w:val="(%1)"/>
      <w:numFmt w:val="lowerLetter"/>
      <w:start w:val="1"/>
    </w:lvl>
  </w:abstractNum>
  <w:abstractNum w:abstractNumId="26">
    <w:nsid w:val="519E3149"/>
    <w:multiLevelType w:val="hybridMultilevel"/>
    <w:lvl w:ilvl="0">
      <w:lvlJc w:val="left"/>
      <w:lvlText w:val="(%1)"/>
      <w:numFmt w:val="lowerRoman"/>
      <w:start w:val="1"/>
    </w:lvl>
  </w:abstractNum>
  <w:abstractNum w:abstractNumId="27">
    <w:nsid w:val="2C6E4AFD"/>
    <w:multiLevelType w:val="hybridMultilevel"/>
    <w:lvl w:ilvl="0">
      <w:lvlJc w:val="left"/>
      <w:lvlText w:val="(%1)"/>
      <w:numFmt w:val="lowerLetter"/>
      <w:start w:val="2"/>
    </w:lvl>
  </w:abstractNum>
  <w:abstractNum w:abstractNumId="28">
    <w:nsid w:val="17A1B582"/>
    <w:multiLevelType w:val="hybridMultilevel"/>
    <w:lvl w:ilvl="0">
      <w:lvlJc w:val="left"/>
      <w:lvlText w:val="(%1)"/>
      <w:numFmt w:val="lowerLetter"/>
      <w:start w:val="8"/>
    </w:lvl>
  </w:abstractNum>
  <w:abstractNum w:abstractNumId="29">
    <w:nsid w:val="4DF72E4E"/>
    <w:multiLevelType w:val="hybridMultilevel"/>
    <w:lvl w:ilvl="0">
      <w:lvlJc w:val="left"/>
      <w:lvlText w:val="(%1)"/>
      <w:numFmt w:val="lowerLetter"/>
      <w:start w:val="2"/>
    </w:lvl>
  </w:abstractNum>
  <w:abstractNum w:abstractNumId="30">
    <w:nsid w:val="5046B5A9"/>
    <w:multiLevelType w:val="hybridMultilevel"/>
    <w:lvl w:ilvl="0">
      <w:lvlJc w:val="left"/>
      <w:lvlText w:val="(%1)"/>
      <w:numFmt w:val="lowerLetter"/>
      <w:start w:val="1"/>
    </w:lvl>
  </w:abstractNum>
  <w:abstractNum w:abstractNumId="31">
    <w:nsid w:val="5D888A08"/>
    <w:multiLevelType w:val="hybridMultilevel"/>
    <w:lvl w:ilvl="0">
      <w:lvlJc w:val="left"/>
      <w:lvlText w:val="(%1)"/>
      <w:numFmt w:val="lowerLetter"/>
      <w:start w:val="1"/>
    </w:lvl>
  </w:abstractNum>
  <w:abstractNum w:abstractNumId="32">
    <w:nsid w:val="2A082C70"/>
    <w:multiLevelType w:val="hybridMultilevel"/>
    <w:lvl w:ilvl="0">
      <w:lvlJc w:val="left"/>
      <w:lvlText w:val="(%1)"/>
      <w:numFmt w:val="lowerLetter"/>
      <w:start w:val="1"/>
    </w:lvl>
    <w:lvl w:ilvl="1">
      <w:lvlJc w:val="left"/>
      <w:lvlText w:val="(%2)"/>
      <w:numFmt w:val="lowerLetter"/>
      <w:start w:val="35"/>
    </w:lvl>
  </w:abstractNum>
  <w:abstractNum w:abstractNumId="33">
    <w:nsid w:val="5EC6AFD4"/>
    <w:multiLevelType w:val="hybridMultilevel"/>
    <w:lvl w:ilvl="0">
      <w:lvlJc w:val="left"/>
      <w:lvlText w:val="(%1)"/>
      <w:numFmt w:val="lowerLetter"/>
      <w:start w:val="1"/>
    </w:lvl>
  </w:abstractNum>
  <w:abstractNum w:abstractNumId="34">
    <w:nsid w:val="19E21BB2"/>
    <w:multiLevelType w:val="hybridMultilevel"/>
    <w:lvl w:ilvl="0">
      <w:lvlJc w:val="left"/>
      <w:lvlText w:val="(%1)"/>
      <w:numFmt w:val="lowerLetter"/>
      <w:start w:val="2"/>
    </w:lvl>
  </w:abstractNum>
  <w:abstractNum w:abstractNumId="35">
    <w:nsid w:val="75E0858A"/>
    <w:multiLevelType w:val="hybridMultilevel"/>
    <w:lvl w:ilvl="0">
      <w:lvlJc w:val="left"/>
      <w:lvlText w:val="(%1)"/>
      <w:numFmt w:val="lowerLetter"/>
      <w:start w:val="1"/>
    </w:lvl>
    <w:lvl w:ilvl="1">
      <w:lvlJc w:val="left"/>
      <w:lvlText w:val="(%2)"/>
      <w:numFmt w:val="lowerLetter"/>
      <w:start w:val="9"/>
    </w:lvl>
  </w:abstractNum>
  <w:abstractNum w:abstractNumId="36">
    <w:nsid w:val="57A61A29"/>
    <w:multiLevelType w:val="hybridMultilevel"/>
    <w:lvl w:ilvl="0">
      <w:lvlJc w:val="left"/>
      <w:lvlText w:val="(%1)"/>
      <w:numFmt w:val="lowerRoman"/>
      <w:start w:val="2"/>
    </w:lvl>
    <w:lvl w:ilvl="1">
      <w:lvlJc w:val="left"/>
      <w:lvlText w:val="(%2)"/>
      <w:numFmt w:val="upperLetter"/>
      <w:start w:val="1"/>
    </w:lvl>
  </w:abstractNum>
  <w:abstractNum w:abstractNumId="37">
    <w:nsid w:val="5399C65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upperLetter"/>
      <w:start w:val="4"/>
    </w:lvl>
  </w:abstractNum>
  <w:abstractNum w:abstractNumId="38">
    <w:nsid w:val="20EE134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lvl w:ilvl="3">
      <w:lvlJc w:val="left"/>
      <w:lvlText w:val="%4"/>
      <w:numFmt w:val="upperLetter"/>
      <w:start w:val="1"/>
    </w:lvl>
  </w:abstractNum>
  <w:abstractNum w:abstractNumId="39">
    <w:nsid w:val="4427069A"/>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6"/>
    </w:lvl>
    <w:lvl w:ilvl="3">
      <w:lvlJc w:val="left"/>
      <w:lvlText w:val="%4"/>
      <w:numFmt w:val="upperLetter"/>
      <w:start w:val="1"/>
    </w:lvl>
  </w:abstractNum>
  <w:abstractNum w:abstractNumId="40">
    <w:nsid w:val="B37E80A"/>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lvl w:ilvl="3">
      <w:lvlJc w:val="left"/>
      <w:lvlText w:val="%4"/>
      <w:numFmt w:val="upperLetter"/>
      <w:start w:val="1"/>
    </w:lvl>
  </w:abstractNum>
  <w:abstractNum w:abstractNumId="41">
    <w:nsid w:val="2157F6BC"/>
    <w:multiLevelType w:val="hybridMultilevel"/>
    <w:lvl w:ilvl="0">
      <w:lvlJc w:val="left"/>
      <w:lvlText w:val="(%1)"/>
      <w:numFmt w:val="lowerRoman"/>
      <w:start w:val="2"/>
    </w:lvl>
  </w:abstractNum>
  <w:abstractNum w:abstractNumId="42">
    <w:nsid w:val="704E1DD5"/>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4"/>
    </w:lvl>
  </w:abstractNum>
  <w:abstractNum w:abstractNumId="43">
    <w:nsid w:val="57D2F10E"/>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44">
    <w:nsid w:val="BFFAE1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5">
    <w:nsid w:val="E3E47A8"/>
    <w:multiLevelType w:val="hybridMultilevel"/>
    <w:lvl w:ilvl="0">
      <w:lvlJc w:val="left"/>
      <w:lvlText w:val="%1"/>
      <w:numFmt w:val="lowerLetter"/>
      <w:start w:val="1"/>
    </w:lvl>
    <w:lvl w:ilvl="1">
      <w:lvlJc w:val="left"/>
      <w:lvlText w:val="(%2)"/>
      <w:numFmt w:val="lowerLetter"/>
      <w:start w:val="61"/>
    </w:lvl>
    <w:lvl w:ilvl="2">
      <w:lvlJc w:val="left"/>
      <w:lvlText w:val="%3"/>
      <w:numFmt w:val="lowerRoman"/>
      <w:start w:val="1"/>
    </w:lvl>
  </w:abstractNum>
  <w:abstractNum w:abstractNumId="46">
    <w:nsid w:val="2E48F044"/>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47">
    <w:nsid w:val="49D0FEAC"/>
    <w:multiLevelType w:val="hybridMultilevel"/>
    <w:lvl w:ilvl="0">
      <w:lvlJc w:val="left"/>
      <w:lvlText w:val="(%1)"/>
      <w:numFmt w:val="lowerRoman"/>
      <w:start w:val="2"/>
    </w:lvl>
  </w:abstractNum>
  <w:abstractNum w:abstractNumId="48">
    <w:nsid w:val="4BEE5A5B"/>
    <w:multiLevelType w:val="hybridMultilevel"/>
    <w:lvl w:ilvl="0">
      <w:lvlJc w:val="left"/>
      <w:lvlText w:val="(%1)"/>
      <w:numFmt w:val="lowerRoman"/>
      <w:start w:val="3"/>
    </w:lvl>
  </w:abstractNum>
  <w:abstractNum w:abstractNumId="49">
    <w:nsid w:val="5551B9F3"/>
    <w:multiLevelType w:val="hybridMultilevel"/>
    <w:lvl w:ilvl="0">
      <w:lvlJc w:val="left"/>
      <w:lvlText w:val="%1"/>
      <w:numFmt w:val="lowerLetter"/>
      <w:start w:val="1"/>
    </w:lvl>
    <w:lvl w:ilvl="1">
      <w:lvlJc w:val="left"/>
      <w:lvlText w:val="(%2)"/>
      <w:numFmt w:val="lowerRoman"/>
      <w:start w:val="6"/>
    </w:lvl>
  </w:abstractNum>
  <w:abstractNum w:abstractNumId="50">
    <w:nsid w:val="24F6AB8E"/>
    <w:multiLevelType w:val="hybridMultilevel"/>
    <w:lvl w:ilvl="0">
      <w:lvlJc w:val="left"/>
      <w:lvlText w:val="(%1)"/>
      <w:numFmt w:val="lowerLetter"/>
      <w:start w:val="5"/>
    </w:lvl>
    <w:lvl w:ilvl="1">
      <w:lvlJc w:val="left"/>
      <w:lvlText w:val="(%2)"/>
      <w:numFmt w:val="lowerRoman"/>
      <w:start w:val="1"/>
    </w:lvl>
  </w:abstractNum>
  <w:abstractNum w:abstractNumId="51">
    <w:nsid w:val="634C574C"/>
    <w:multiLevelType w:val="hybridMultilevel"/>
    <w:lvl w:ilvl="0">
      <w:lvlJc w:val="left"/>
      <w:lvlText w:val="(%1)"/>
      <w:numFmt w:val="lowerLetter"/>
      <w:start w:val="6"/>
    </w:lvl>
    <w:lvl w:ilvl="1">
      <w:lvlJc w:val="left"/>
      <w:lvlText w:val="(%2)"/>
      <w:numFmt w:val="lowerRoman"/>
      <w:start w:val="1"/>
    </w:lvl>
  </w:abstractNum>
  <w:abstractNum w:abstractNumId="52">
    <w:nsid w:val="24E99DD7"/>
    <w:multiLevelType w:val="hybridMultilevel"/>
    <w:lvl w:ilvl="0">
      <w:lvlJc w:val="left"/>
      <w:lvlText w:val="(%1)"/>
      <w:numFmt w:val="lowerRoman"/>
      <w:start w:val="3"/>
    </w:lvl>
  </w:abstractNum>
  <w:abstractNum w:abstractNumId="53">
    <w:nsid w:val="2A31B62D"/>
    <w:multiLevelType w:val="hybridMultilevel"/>
    <w:lvl w:ilvl="0">
      <w:lvlJc w:val="left"/>
      <w:lvlText w:val="(%1)"/>
      <w:numFmt w:val="lowerRoman"/>
      <w:start w:val="8"/>
    </w:lvl>
  </w:abstractNum>
  <w:abstractNum w:abstractNumId="54">
    <w:nsid w:val="1849C29B"/>
    <w:multiLevelType w:val="hybridMultilevel"/>
    <w:lvl w:ilvl="0">
      <w:lvlJc w:val="left"/>
      <w:lvlText w:val="(%1)"/>
      <w:numFmt w:val="lowerLetter"/>
      <w:start w:val="7"/>
    </w:lvl>
  </w:abstractNum>
  <w:abstractNum w:abstractNumId="55">
    <w:nsid w:val="7DFF9D09"/>
    <w:multiLevelType w:val="hybridMultilevel"/>
    <w:lvl w:ilvl="0">
      <w:lvlJc w:val="left"/>
      <w:lvlText w:val="%1"/>
      <w:numFmt w:val="lowerLetter"/>
      <w:start w:val="1"/>
    </w:lvl>
    <w:lvl w:ilvl="1">
      <w:lvlJc w:val="left"/>
      <w:lvlText w:val="(%2)"/>
      <w:numFmt w:val="lowerLetter"/>
      <w:start w:val="8"/>
    </w:lvl>
  </w:abstractNum>
  <w:abstractNum w:abstractNumId="56">
    <w:nsid w:val="754342"/>
    <w:multiLevelType w:val="hybridMultilevel"/>
    <w:lvl w:ilvl="0">
      <w:lvlJc w:val="left"/>
      <w:lvlText w:val="(%1)"/>
      <w:numFmt w:val="lowerLetter"/>
      <w:start w:val="35"/>
    </w:lvl>
    <w:lvl w:ilvl="1">
      <w:lvlJc w:val="left"/>
      <w:lvlText w:val="(%2)"/>
      <w:numFmt w:val="lowerLetter"/>
      <w:start w:val="9"/>
    </w:lvl>
  </w:abstractNum>
  <w:abstractNum w:abstractNumId="57">
    <w:nsid w:val="69E7F3E5"/>
    <w:multiLevelType w:val="hybridMultilevel"/>
    <w:lvl w:ilvl="0">
      <w:lvlJc w:val="left"/>
      <w:lvlText w:val="(%1)"/>
      <w:numFmt w:val="lowerLetter"/>
      <w:start w:val="10"/>
    </w:lvl>
  </w:abstractNum>
  <w:abstractNum w:abstractNumId="58">
    <w:nsid w:val="2A6DE806"/>
    <w:multiLevelType w:val="hybridMultilevel"/>
    <w:lvl w:ilvl="0">
      <w:lvlJc w:val="left"/>
      <w:lvlText w:val="(%1)"/>
      <w:numFmt w:val="lowerLetter"/>
      <w:start w:val="11"/>
    </w:lvl>
  </w:abstractNum>
  <w:abstractNum w:abstractNumId="59">
    <w:nsid w:val="1816F8C4"/>
    <w:multiLevelType w:val="hybridMultilevel"/>
    <w:lvl w:ilvl="0">
      <w:lvlJc w:val="left"/>
      <w:lvlText w:val="%1"/>
      <w:numFmt w:val="lowerLetter"/>
      <w:start w:val="1"/>
    </w:lvl>
    <w:lvl w:ilvl="1">
      <w:lvlJc w:val="left"/>
      <w:lvlText w:val="(%2)"/>
      <w:numFmt w:val="lowerLetter"/>
      <w:start w:val="1"/>
    </w:lvl>
  </w:abstractNum>
  <w:abstractNum w:abstractNumId="60">
    <w:nsid w:val="37DF2233"/>
    <w:multiLevelType w:val="hybridMultilevel"/>
    <w:lvl w:ilvl="0">
      <w:lvlJc w:val="left"/>
      <w:lvlText w:val="(%1)"/>
      <w:numFmt w:val="lowerLetter"/>
      <w:start w:val="35"/>
    </w:lvl>
    <w:lvl w:ilvl="1">
      <w:lvlJc w:val="left"/>
      <w:lvlText w:val="%2"/>
      <w:numFmt w:val="lowerLetter"/>
      <w:start w:val="1"/>
    </w:lvl>
  </w:abstractNum>
  <w:abstractNum w:abstractNumId="61">
    <w:nsid w:val="7AB49DAF"/>
    <w:multiLevelType w:val="hybridMultilevel"/>
    <w:lvl w:ilvl="0">
      <w:lvlJc w:val="left"/>
      <w:lvlText w:val="%1"/>
      <w:numFmt w:val="lowerLetter"/>
      <w:start w:val="1"/>
    </w:lvl>
    <w:lvl w:ilvl="1">
      <w:lvlJc w:val="left"/>
      <w:lvlText w:val="(%2)"/>
      <w:numFmt w:val="lowerLetter"/>
      <w:start w:val="2"/>
    </w:lvl>
  </w:abstractNum>
  <w:abstractNum w:abstractNumId="62">
    <w:nsid w:val="759F82CD"/>
    <w:multiLevelType w:val="hybridMultilevel"/>
    <w:lvl w:ilvl="0">
      <w:lvlJc w:val="left"/>
      <w:lvlText w:val="(%1)"/>
      <w:numFmt w:val="lowerLetter"/>
      <w:start w:val="35"/>
    </w:lvl>
    <w:lvl w:ilvl="1">
      <w:lvlJc w:val="left"/>
      <w:lvlText w:val="%2"/>
      <w:numFmt w:val="lowerLetter"/>
      <w:start w:val="1"/>
    </w:lvl>
  </w:abstractNum>
  <w:abstractNum w:abstractNumId="63">
    <w:nsid w:val="61E74EA3"/>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64">
    <w:nsid w:val="597B4D84"/>
    <w:multiLevelType w:val="hybridMultilevel"/>
    <w:lvl w:ilvl="0">
      <w:lvlJc w:val="left"/>
      <w:lvlText w:val="%1"/>
      <w:numFmt w:val="lowerLetter"/>
      <w:start w:val="1"/>
    </w:lvl>
    <w:lvl w:ilvl="1">
      <w:lvlJc w:val="left"/>
      <w:lvlText w:val="(%2)"/>
      <w:numFmt w:val="lowerRoman"/>
      <w:start w:val="4"/>
    </w:lvl>
  </w:abstractNum>
  <w:abstractNum w:abstractNumId="65">
    <w:nsid w:val="F819E7F"/>
    <w:multiLevelType w:val="hybridMultilevel"/>
    <w:lvl w:ilvl="0">
      <w:lvlJc w:val="left"/>
      <w:lvlText w:val="(%1)"/>
      <w:numFmt w:val="lowerLetter"/>
      <w:start w:val="4"/>
    </w:lvl>
    <w:lvl w:ilvl="1">
      <w:lvlJc w:val="left"/>
      <w:lvlText w:val="(%2)"/>
      <w:numFmt w:val="lowerRoman"/>
      <w:start w:val="1"/>
    </w:lvl>
  </w:abstractNum>
  <w:abstractNum w:abstractNumId="66">
    <w:nsid w:val="57C7D42D"/>
    <w:multiLevelType w:val="hybridMultilevel"/>
    <w:lvl w:ilvl="0">
      <w:lvlJc w:val="left"/>
      <w:lvlText w:val="%1"/>
      <w:numFmt w:val="lowerLetter"/>
      <w:start w:val="1"/>
    </w:lvl>
    <w:lvl w:ilvl="1">
      <w:lvlJc w:val="left"/>
      <w:lvlText w:val="(%2)"/>
      <w:numFmt w:val="lowerLetter"/>
      <w:start w:val="35"/>
    </w:lvl>
  </w:abstractNum>
  <w:abstractNum w:abstractNumId="67">
    <w:nsid w:val="312167AD"/>
    <w:multiLevelType w:val="hybridMultilevel"/>
    <w:lvl w:ilvl="0">
      <w:lvlJc w:val="left"/>
      <w:lvlText w:val="(%1)"/>
      <w:numFmt w:val="lowerLetter"/>
      <w:start w:val="5"/>
    </w:lvl>
    <w:lvl w:ilvl="1">
      <w:lvlJc w:val="left"/>
      <w:lvlText w:val="%2"/>
      <w:numFmt w:val="lowerLetter"/>
      <w:start w:val="1"/>
    </w:lvl>
  </w:abstractNum>
  <w:abstractNum w:abstractNumId="68">
    <w:nsid w:val="631B64D4"/>
    <w:multiLevelType w:val="hybridMultilevel"/>
    <w:lvl w:ilvl="0">
      <w:lvlJc w:val="left"/>
      <w:lvlText w:val="(%1)"/>
      <w:numFmt w:val="lowerLetter"/>
      <w:start w:val="6"/>
    </w:lvl>
  </w:abstractNum>
  <w:abstractNum w:abstractNumId="69">
    <w:nsid w:val="78B5E776"/>
    <w:multiLevelType w:val="hybridMultilevel"/>
    <w:lvl w:ilvl="0">
      <w:lvlJc w:val="left"/>
      <w:lvlText w:val="(%1)"/>
      <w:numFmt w:val="lowerLetter"/>
      <w:start w:val="1"/>
    </w:lvl>
  </w:abstractNum>
  <w:abstractNum w:abstractNumId="70">
    <w:nsid w:val="75486E47"/>
    <w:multiLevelType w:val="hybridMultilevel"/>
    <w:lvl w:ilvl="0">
      <w:lvlJc w:val="left"/>
      <w:lvlText w:val="(%1)"/>
      <w:numFmt w:val="lowerLetter"/>
      <w:start w:val="3"/>
    </w:lvl>
    <w:lvl w:ilvl="1">
      <w:lvlJc w:val="left"/>
      <w:lvlText w:val="(%2)"/>
      <w:numFmt w:val="lowerRoman"/>
      <w:start w:val="1"/>
    </w:lvl>
  </w:abstractNum>
  <w:abstractNum w:abstractNumId="71">
    <w:nsid w:val="6E534CDE"/>
    <w:multiLevelType w:val="hybridMultilevel"/>
    <w:lvl w:ilvl="0">
      <w:lvlJc w:val="left"/>
      <w:lvlText w:val="%1"/>
      <w:numFmt w:val="decimal"/>
      <w:start w:val="1"/>
    </w:lvl>
    <w:lvl w:ilvl="1">
      <w:lvlJc w:val="left"/>
      <w:lvlText w:val="(%2)"/>
      <w:numFmt w:val="lowerRoman"/>
      <w:start w:val="3"/>
    </w:lvl>
  </w:abstractNum>
  <w:abstractNum w:abstractNumId="72">
    <w:nsid w:val="1A0DDE32"/>
    <w:multiLevelType w:val="hybridMultilevel"/>
    <w:lvl w:ilvl="0">
      <w:lvlJc w:val="left"/>
      <w:lvlText w:val="(%1)"/>
      <w:numFmt w:val="decimal"/>
      <w:start w:val="3"/>
    </w:lvl>
    <w:lvl w:ilvl="1">
      <w:lvlJc w:val="left"/>
      <w:lvlText w:val="%2"/>
      <w:numFmt w:val="lowerRoman"/>
      <w:start w:val="1"/>
    </w:lvl>
  </w:abstractNum>
  <w:abstractNum w:abstractNumId="73">
    <w:nsid w:val="65968C1C"/>
    <w:multiLevelType w:val="hybridMultilevel"/>
    <w:lvl w:ilvl="0">
      <w:lvlJc w:val="left"/>
      <w:lvlText w:val="(%1)"/>
      <w:numFmt w:val="lowerRoman"/>
      <w:start w:val="4"/>
    </w:lvl>
  </w:abstractNum>
  <w:abstractNum w:abstractNumId="74">
    <w:nsid w:val="46263DEC"/>
    <w:multiLevelType w:val="hybridMultilevel"/>
    <w:lvl w:ilvl="0">
      <w:lvlJc w:val="left"/>
      <w:lvlText w:val="(%1)"/>
      <w:numFmt w:val="lowerLetter"/>
      <w:start w:val="5"/>
    </w:lvl>
  </w:abstractNum>
  <w:abstractNum w:abstractNumId="75">
    <w:nsid w:val="260D8C4A"/>
    <w:multiLevelType w:val="hybridMultilevel"/>
    <w:lvl w:ilvl="0">
      <w:lvlJc w:val="left"/>
      <w:lvlText w:val="(%1)"/>
      <w:numFmt w:val="lowerLetter"/>
      <w:start w:val="1"/>
    </w:lvl>
    <w:lvl w:ilvl="1">
      <w:lvlJc w:val="left"/>
      <w:lvlText w:val="(%2)"/>
      <w:numFmt w:val="lowerLetter"/>
      <w:start w:val="35"/>
    </w:lvl>
  </w:abstractNum>
  <w:abstractNum w:abstractNumId="76">
    <w:nsid w:val="73D4D3C4"/>
    <w:multiLevelType w:val="hybridMultilevel"/>
    <w:lvl w:ilvl="0">
      <w:lvlJc w:val="left"/>
      <w:lvlText w:val="(%1)"/>
      <w:numFmt w:val="lowerLetter"/>
      <w:start w:val="1"/>
    </w:lvl>
  </w:abstractNum>
  <w:abstractNum w:abstractNumId="77">
    <w:nsid w:val="746F2E30"/>
    <w:multiLevelType w:val="hybridMultilevel"/>
    <w:lvl w:ilvl="0">
      <w:lvlJc w:val="left"/>
      <w:lvlText w:val="(%1)"/>
      <w:numFmt w:val="lowerLetter"/>
      <w:start w:val="2"/>
    </w:lvl>
  </w:abstractNum>
  <w:abstractNum w:abstractNumId="78">
    <w:nsid w:val="6FDE8AF6"/>
    <w:multiLevelType w:val="hybridMultilevel"/>
    <w:lvl w:ilvl="0">
      <w:lvlJc w:val="left"/>
      <w:lvlText w:val="(%1)"/>
      <w:numFmt w:val="lowerLetter"/>
      <w:start w:val="3"/>
    </w:lvl>
  </w:abstractNum>
  <w:abstractNum w:abstractNumId="79">
    <w:nsid w:val="3FC32E20"/>
    <w:multiLevelType w:val="hybridMultilevel"/>
    <w:lvl w:ilvl="0">
      <w:lvlJc w:val="left"/>
      <w:lvlText w:val="(%1)"/>
      <w:numFmt w:val="lowerLetter"/>
      <w:start w:val="1"/>
    </w:lvl>
  </w:abstractNum>
  <w:abstractNum w:abstractNumId="80">
    <w:nsid w:val="49C0E823"/>
    <w:multiLevelType w:val="hybridMultilevel"/>
    <w:lvl w:ilvl="0">
      <w:lvlJc w:val="left"/>
      <w:lvlText w:val="(%1)"/>
      <w:numFmt w:val="lowerLetter"/>
      <w:start w:val="4"/>
    </w:lvl>
  </w:abstractNum>
  <w:abstractNum w:abstractNumId="81">
    <w:nsid w:val="14D53685"/>
    <w:multiLevelType w:val="hybridMultilevel"/>
    <w:lvl w:ilvl="0">
      <w:lvlJc w:val="left"/>
      <w:lvlText w:val="(%1)"/>
      <w:numFmt w:val="lowerLetter"/>
      <w:start w:val="1"/>
    </w:lvl>
  </w:abstractNum>
  <w:abstractNum w:abstractNumId="82">
    <w:nsid w:val="230F856C"/>
    <w:multiLevelType w:val="hybridMultilevel"/>
    <w:lvl w:ilvl="0">
      <w:lvlJc w:val="left"/>
      <w:lvlText w:val="(%1)"/>
      <w:numFmt w:val="lowerLetter"/>
      <w:start w:val="1"/>
    </w:lvl>
  </w:abstractNum>
  <w:abstractNum w:abstractNumId="83">
    <w:nsid w:val="6EAA85FB"/>
    <w:multiLevelType w:val="hybridMultilevel"/>
    <w:lvl w:ilvl="0">
      <w:lvlJc w:val="left"/>
      <w:lvlText w:val="(%1)"/>
      <w:numFmt w:val="lowerLetter"/>
      <w:start w:val="2"/>
    </w:lvl>
  </w:abstractNum>
  <w:abstractNum w:abstractNumId="84">
    <w:nsid w:val="3F06ECB2"/>
    <w:multiLevelType w:val="hybridMultilevel"/>
    <w:lvl w:ilvl="0">
      <w:lvlJc w:val="left"/>
      <w:lvlText w:val="(%1)"/>
      <w:numFmt w:val="lowerLetter"/>
      <w:start w:val="1"/>
    </w:lvl>
  </w:abstractNum>
  <w:abstractNum w:abstractNumId="85">
    <w:nsid w:val="3B594807"/>
    <w:multiLevelType w:val="hybridMultilevel"/>
    <w:lvl w:ilvl="0">
      <w:lvlJc w:val="left"/>
      <w:lvlText w:val="(%1)"/>
      <w:numFmt w:val="lowerLetter"/>
      <w:start w:val="1"/>
    </w:lvl>
  </w:abstractNum>
  <w:abstractNum w:abstractNumId="86">
    <w:nsid w:val="6CAA2304"/>
    <w:multiLevelType w:val="hybridMultilevel"/>
    <w:lvl w:ilvl="0">
      <w:lvlJc w:val="left"/>
      <w:lvlText w:val="(%1)"/>
      <w:numFmt w:val="lowerRoman"/>
      <w:start w:val="2"/>
    </w:lvl>
  </w:abstractNum>
  <w:abstractNum w:abstractNumId="87">
    <w:nsid w:val="3F7C2FF4"/>
    <w:multiLevelType w:val="hybridMultilevel"/>
    <w:lvl w:ilvl="0">
      <w:lvlJc w:val="left"/>
      <w:lvlText w:val="(%1)"/>
      <w:numFmt w:val="lowerLetter"/>
      <w:start w:val="3"/>
    </w:lvl>
  </w:abstractNum>
  <w:abstractNum w:abstractNumId="88">
    <w:nsid w:val="25413BEC"/>
    <w:multiLevelType w:val="hybridMultilevel"/>
    <w:lvl w:ilvl="0">
      <w:lvlJc w:val="left"/>
      <w:lvlText w:val="(%1)"/>
      <w:numFmt w:val="lowerLetter"/>
      <w:start w:val="5"/>
    </w:lvl>
  </w:abstractNum>
  <w:abstractNum w:abstractNumId="89">
    <w:nsid w:val="17180B0B"/>
    <w:multiLevelType w:val="hybridMultilevel"/>
    <w:lvl w:ilvl="0">
      <w:lvlJc w:val="left"/>
      <w:lvlText w:val="(%1)"/>
      <w:numFmt w:val="lowerRoman"/>
      <w:start w:val="1"/>
    </w:lvl>
  </w:abstractNum>
  <w:abstractNum w:abstractNumId="90">
    <w:nsid w:val="579328B9"/>
    <w:multiLevelType w:val="hybridMultilevel"/>
    <w:lvl w:ilvl="0">
      <w:lvlJc w:val="left"/>
      <w:lvlText w:val="(%1)"/>
      <w:numFmt w:val="lowerLetter"/>
      <w:start w:val="1"/>
    </w:lvl>
  </w:abstractNum>
  <w:abstractNum w:abstractNumId="91">
    <w:nsid w:val="5D205E20"/>
    <w:multiLevelType w:val="hybridMultilevel"/>
    <w:lvl w:ilvl="0">
      <w:lvlJc w:val="left"/>
      <w:lvlText w:val="%1"/>
      <w:numFmt w:val="lowerLetter"/>
      <w:start w:val="1"/>
    </w:lvl>
    <w:lvl w:ilvl="1">
      <w:lvlJc w:val="left"/>
      <w:lvlText w:val="(%2)"/>
      <w:numFmt w:val="lowerLetter"/>
      <w:start w:val="3"/>
    </w:lvl>
  </w:abstractNum>
  <w:abstractNum w:abstractNumId="92">
    <w:nsid w:val="11CCA8BA"/>
    <w:multiLevelType w:val="hybridMultilevel"/>
    <w:lvl w:ilvl="0">
      <w:lvlJc w:val="left"/>
      <w:lvlText w:val="(%1)"/>
      <w:numFmt w:val="lowerLetter"/>
      <w:start w:val="35"/>
    </w:lvl>
    <w:lvl w:ilvl="1">
      <w:lvlJc w:val="left"/>
      <w:lvlText w:val="%2"/>
      <w:numFmt w:val="lowerLetter"/>
      <w:start w:val="1"/>
    </w:lvl>
  </w:abstractNum>
  <w:abstractNum w:abstractNumId="93">
    <w:nsid w:val="4D32AB86"/>
    <w:multiLevelType w:val="hybridMultilevel"/>
    <w:lvl w:ilvl="0">
      <w:lvlJc w:val="left"/>
      <w:lvlText w:val="(%1)"/>
      <w:numFmt w:val="lowerLetter"/>
      <w:start w:val="6"/>
    </w:lvl>
  </w:abstractNum>
  <w:abstractNum w:abstractNumId="94">
    <w:nsid w:val="3F07ACC3"/>
    <w:multiLevelType w:val="hybridMultilevel"/>
    <w:lvl w:ilvl="0">
      <w:lvlJc w:val="left"/>
      <w:lvlText w:val="(%1)"/>
      <w:numFmt w:val="lowerLetter"/>
      <w:start w:val="1"/>
    </w:lvl>
  </w:abstractNum>
  <w:abstractNum w:abstractNumId="95">
    <w:nsid w:val="6B47F63E"/>
    <w:multiLevelType w:val="hybridMultilevel"/>
    <w:lvl w:ilvl="0">
      <w:lvlJc w:val="left"/>
      <w:lvlText w:val="(%1)"/>
      <w:numFmt w:val="lowerLetter"/>
      <w:start w:val="2"/>
    </w:lvl>
  </w:abstractNum>
  <w:abstractNum w:abstractNumId="96">
    <w:nsid w:val="5CB44A05"/>
    <w:multiLevelType w:val="hybridMultilevel"/>
    <w:lvl w:ilvl="0">
      <w:lvlJc w:val="left"/>
      <w:lvlText w:val="(%1)"/>
      <w:numFmt w:val="lowerLetter"/>
      <w:start w:val="4"/>
    </w:lvl>
  </w:abstractNum>
  <w:abstractNum w:abstractNumId="97">
    <w:nsid w:val="16CF80F1"/>
    <w:multiLevelType w:val="hybridMultilevel"/>
    <w:lvl w:ilvl="0">
      <w:lvlJc w:val="left"/>
      <w:lvlText w:val="(%1)"/>
      <w:numFmt w:val="lowerLetter"/>
      <w:start w:val="1"/>
    </w:lvl>
    <w:lvl w:ilvl="1">
      <w:lvlJc w:val="left"/>
      <w:lvlText w:val="(%2)"/>
      <w:numFmt w:val="lowerRoman"/>
      <w:start w:val="1"/>
    </w:lvl>
  </w:abstractNum>
  <w:abstractNum w:abstractNumId="98">
    <w:nsid w:val="1C695DEC"/>
    <w:multiLevelType w:val="hybridMultilevel"/>
    <w:lvl w:ilvl="0">
      <w:lvlJc w:val="left"/>
      <w:lvlText w:val="%1"/>
      <w:numFmt w:val="lowerLetter"/>
      <w:start w:val="1"/>
    </w:lvl>
    <w:lvl w:ilvl="1">
      <w:lvlJc w:val="left"/>
      <w:lvlText w:val="(%2)"/>
      <w:numFmt w:val="lowerRoman"/>
      <w:start w:val="3"/>
    </w:lvl>
  </w:abstractNum>
  <w:abstractNum w:abstractNumId="99">
    <w:nsid w:val="3FCFAED9"/>
    <w:multiLevelType w:val="hybridMultilevel"/>
    <w:lvl w:ilvl="0">
      <w:lvlJc w:val="left"/>
      <w:lvlText w:val="(%1)"/>
      <w:numFmt w:val="lowerLetter"/>
      <w:start w:val="2"/>
    </w:lvl>
    <w:lvl w:ilvl="1">
      <w:lvlJc w:val="left"/>
      <w:lvlText w:val="%2"/>
      <w:numFmt w:val="lowerRoman"/>
      <w:start w:val="1"/>
    </w:lvl>
  </w:abstractNum>
  <w:abstractNum w:abstractNumId="100">
    <w:nsid w:val="F856867"/>
    <w:multiLevelType w:val="hybridMultilevel"/>
    <w:lvl w:ilvl="0">
      <w:lvlJc w:val="left"/>
      <w:lvlText w:val="(%1)"/>
      <w:numFmt w:val="lowerLetter"/>
      <w:start w:val="1"/>
    </w:lvl>
  </w:abstractNum>
  <w:abstractNum w:abstractNumId="101">
    <w:nsid w:val="11B1CC33"/>
    <w:multiLevelType w:val="hybridMultilevel"/>
    <w:lvl w:ilvl="0">
      <w:lvlJc w:val="left"/>
      <w:lvlText w:val="(%1)"/>
      <w:numFmt w:val="lowerLetter"/>
      <w:start w:val="1"/>
    </w:lvl>
  </w:abstractNum>
  <w:abstractNum w:abstractNumId="102">
    <w:nsid w:val="2E22FBB7"/>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03">
    <w:nsid w:val="2993469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04">
    <w:nsid w:val="7748585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05">
    <w:nsid w:val="744939A3"/>
    <w:multiLevelType w:val="hybridMultilevel"/>
    <w:lvl w:ilvl="0">
      <w:lvlJc w:val="left"/>
      <w:lvlText w:val="(%1)"/>
      <w:numFmt w:val="upperLetter"/>
      <w:start w:val="2"/>
    </w:lvl>
    <w:lvl w:ilvl="1">
      <w:lvlJc w:val="left"/>
      <w:lvlText w:val="(%2)"/>
      <w:numFmt w:val="upperLetter"/>
      <w:start w:val="9"/>
    </w:lvl>
  </w:abstractNum>
  <w:abstractNum w:abstractNumId="106">
    <w:nsid w:val="4FA0D2E3"/>
    <w:multiLevelType w:val="hybridMultilevel"/>
    <w:lvl w:ilvl="0">
      <w:lvlJc w:val="left"/>
      <w:lvlText w:val="(%1)"/>
      <w:numFmt w:val="upperLetter"/>
      <w:start w:val="35"/>
    </w:lvl>
  </w:abstractNum>
  <w:abstractNum w:abstractNumId="107">
    <w:nsid w:val="6B1D2C14"/>
    <w:multiLevelType w:val="hybridMultilevel"/>
    <w:lvl w:ilvl="0">
      <w:lvlJc w:val="left"/>
      <w:lvlText w:val="(%1)"/>
      <w:numFmt w:val="upperLetter"/>
      <w:start w:val="61"/>
    </w:lvl>
  </w:abstractNum>
  <w:abstractNum w:abstractNumId="108">
    <w:nsid w:val="68B867D3"/>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22"/>
    </w:lvl>
  </w:abstractNum>
  <w:abstractNum w:abstractNumId="109">
    <w:nsid w:val="3F7F5DD9"/>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110">
    <w:nsid w:val="2AE05A34"/>
    <w:multiLevelType w:val="hybridMultilevel"/>
    <w:lvl w:ilvl="0">
      <w:lvlJc w:val="left"/>
      <w:lvlText w:val="%1"/>
      <w:numFmt w:val="lowerLetter"/>
      <w:start w:val="1"/>
    </w:lvl>
    <w:lvl w:ilvl="1">
      <w:lvlJc w:val="left"/>
      <w:lvlText w:val="(%2)"/>
      <w:numFmt w:val="lowerRoman"/>
      <w:start w:val="4"/>
    </w:lvl>
  </w:abstractNum>
  <w:abstractNum w:abstractNumId="111">
    <w:nsid w:val="32794FF7"/>
    <w:multiLevelType w:val="hybridMultilevel"/>
    <w:lvl w:ilvl="0">
      <w:lvlJc w:val="left"/>
      <w:lvlText w:val="(%1)"/>
      <w:numFmt w:val="lowerLetter"/>
      <w:start w:val="6"/>
    </w:lvl>
    <w:lvl w:ilvl="1">
      <w:lvlJc w:val="left"/>
      <w:lvlText w:val="%2"/>
      <w:numFmt w:val="lowerRoman"/>
      <w:start w:val="1"/>
    </w:lvl>
  </w:abstractNum>
  <w:abstractNum w:abstractNumId="112">
    <w:nsid w:val="5454945E"/>
    <w:multiLevelType w:val="hybridMultilevel"/>
    <w:lvl w:ilvl="0">
      <w:lvlJc w:val="left"/>
      <w:lvlText w:val="(%1)"/>
      <w:numFmt w:val="lowerLetter"/>
      <w:start w:val="1"/>
    </w:lvl>
  </w:abstractNum>
  <w:abstractNum w:abstractNumId="113">
    <w:nsid w:val="4DEFDFA0"/>
    <w:multiLevelType w:val="hybridMultilevel"/>
    <w:lvl w:ilvl="0">
      <w:lvlJc w:val="left"/>
      <w:lvlText w:val="(%1)"/>
      <w:numFmt w:val="lowerLetter"/>
      <w:start w:val="1"/>
    </w:lvl>
    <w:lvl w:ilvl="1">
      <w:lvlJc w:val="left"/>
      <w:lvlText w:val="(%2)"/>
      <w:numFmt w:val="lowerLetter"/>
      <w:start w:val="9"/>
    </w:lvl>
  </w:abstractNum>
  <w:abstractNum w:abstractNumId="114">
    <w:nsid w:val="2123D5F2"/>
    <w:multiLevelType w:val="hybridMultilevel"/>
    <w:lvl w:ilvl="0">
      <w:lvlJc w:val="left"/>
      <w:lvlText w:val="(%1)"/>
      <w:numFmt w:val="lowerRoman"/>
      <w:start w:val="2"/>
    </w:lvl>
  </w:abstractNum>
  <w:abstractNum w:abstractNumId="115">
    <w:nsid w:val="135B8110"/>
    <w:multiLevelType w:val="hybridMultilevel"/>
    <w:lvl w:ilvl="0">
      <w:lvlJc w:val="left"/>
      <w:lvlText w:val="(%1)"/>
      <w:numFmt w:val="lowerLetter"/>
      <w:start w:val="2"/>
    </w:lvl>
  </w:abstractNum>
  <w:abstractNum w:abstractNumId="116">
    <w:nsid w:val="94927A8"/>
    <w:multiLevelType w:val="hybridMultilevel"/>
    <w:lvl w:ilvl="0">
      <w:lvlJc w:val="left"/>
      <w:lvlText w:val="(%1)"/>
      <w:numFmt w:val="lowerLetter"/>
      <w:start w:val="4"/>
    </w:lvl>
  </w:abstractNum>
  <w:abstractNum w:abstractNumId="117">
    <w:nsid w:val="DCDF8F6"/>
    <w:multiLevelType w:val="hybridMultilevel"/>
    <w:lvl w:ilvl="0">
      <w:lvlJc w:val="left"/>
      <w:lvlText w:val="(%1)"/>
      <w:numFmt w:val="lowerLetter"/>
      <w:start w:val="5"/>
    </w:lvl>
  </w:abstractNum>
  <w:abstractNum w:abstractNumId="118">
    <w:nsid w:val="52D7B105"/>
    <w:multiLevelType w:val="hybridMultilevel"/>
    <w:lvl w:ilvl="0">
      <w:lvlJc w:val="left"/>
      <w:lvlText w:val="(%1)"/>
      <w:numFmt w:val="lowerLetter"/>
      <w:start w:val="1"/>
    </w:lvl>
  </w:abstractNum>
  <w:abstractNum w:abstractNumId="119">
    <w:nsid w:val="2E8A6394"/>
    <w:multiLevelType w:val="hybridMultilevel"/>
    <w:lvl w:ilvl="0">
      <w:lvlJc w:val="left"/>
      <w:lvlText w:val="(%1)"/>
      <w:numFmt w:val="lowerLetter"/>
      <w:start w:val="3"/>
    </w:lvl>
  </w:abstractNum>
  <w:abstractNum w:abstractNumId="120">
    <w:nsid w:val="24E60401"/>
    <w:multiLevelType w:val="hybridMultilevel"/>
    <w:lvl w:ilvl="0">
      <w:lvlJc w:val="left"/>
      <w:lvlText w:val="(%1)"/>
      <w:numFmt w:val="lowerLetter"/>
      <w:start w:val="1"/>
    </w:lvl>
  </w:abstractNum>
  <w:abstractNum w:abstractNumId="121">
    <w:nsid w:val="2A6AD9BE"/>
    <w:multiLevelType w:val="hybridMultilevel"/>
    <w:lvl w:ilvl="0">
      <w:lvlJc w:val="left"/>
      <w:lvlText w:val="(%1)"/>
      <w:numFmt w:val="lowerLetter"/>
      <w:start w:val="1"/>
    </w:lvl>
    <w:lvl w:ilvl="1">
      <w:lvlJc w:val="left"/>
      <w:lvlText w:val="(%2)"/>
      <w:numFmt w:val="lowerRoman"/>
      <w:start w:val="1"/>
    </w:lvl>
  </w:abstractNum>
  <w:abstractNum w:abstractNumId="122">
    <w:nsid w:val="BAAC1B4"/>
    <w:multiLevelType w:val="hybridMultilevel"/>
    <w:lvl w:ilvl="0">
      <w:lvlJc w:val="left"/>
      <w:lvlText w:val="(%1)"/>
      <w:numFmt w:val="lowerRoman"/>
      <w:start w:val="3"/>
    </w:lvl>
    <w:lvl w:ilvl="1">
      <w:lvlJc w:val="left"/>
      <w:lvlText w:val="(%2)"/>
      <w:numFmt w:val="upperLetter"/>
      <w:start w:val="1"/>
    </w:lvl>
  </w:abstractNum>
  <w:abstractNum w:abstractNumId="123">
    <w:nsid w:val="36B2ACBC"/>
    <w:multiLevelType w:val="hybridMultilevel"/>
    <w:lvl w:ilvl="0">
      <w:lvlJc w:val="left"/>
      <w:lvlText w:val="%1"/>
      <w:numFmt w:val="lowerLetter"/>
      <w:start w:val="1"/>
    </w:lvl>
    <w:lvl w:ilvl="1">
      <w:lvlJc w:val="left"/>
      <w:lvlText w:val="(%2)"/>
      <w:numFmt w:val="lowerRoman"/>
      <w:start w:val="6"/>
    </w:lvl>
  </w:abstractNum>
  <w:abstractNum w:abstractNumId="124">
    <w:nsid w:val="779D8544"/>
    <w:multiLevelType w:val="hybridMultilevel"/>
    <w:lvl w:ilvl="0">
      <w:lvlJc w:val="left"/>
      <w:lvlText w:val="(%1)"/>
      <w:numFmt w:val="lowerLetter"/>
      <w:start w:val="2"/>
    </w:lvl>
    <w:lvl w:ilvl="1">
      <w:lvlJc w:val="left"/>
      <w:lvlText w:val="(%2)"/>
      <w:numFmt w:val="lowerRoman"/>
      <w:start w:val="10"/>
    </w:lvl>
  </w:abstractNum>
  <w:abstractNum w:abstractNumId="125">
    <w:nsid w:val="4AB26E78"/>
    <w:multiLevelType w:val="hybridMultilevel"/>
    <w:lvl w:ilvl="0">
      <w:lvlJc w:val="left"/>
      <w:lvlText w:val="(%1)"/>
      <w:numFmt w:val="lowerLetter"/>
      <w:start w:val="2"/>
    </w:lvl>
  </w:abstractNum>
  <w:abstractNum w:abstractNumId="126">
    <w:nsid w:val="21FAA2FA"/>
    <w:multiLevelType w:val="hybridMultilevel"/>
    <w:lvl w:ilvl="0">
      <w:lvlJc w:val="left"/>
      <w:lvlText w:val="(%1)"/>
      <w:numFmt w:val="lowerLetter"/>
      <w:start w:val="1"/>
    </w:lvl>
  </w:abstractNum>
  <w:abstractNum w:abstractNumId="127">
    <w:nsid w:val="5451CF49"/>
    <w:multiLevelType w:val="hybridMultilevel"/>
    <w:lvl w:ilvl="0">
      <w:lvlJc w:val="left"/>
      <w:lvlText w:val="(%1)"/>
      <w:numFmt w:val="lowerRoman"/>
      <w:start w:val="1"/>
    </w:lvl>
  </w:abstractNum>
  <w:abstractNum w:abstractNumId="128">
    <w:nsid w:val="6181EF69"/>
    <w:multiLevelType w:val="hybridMultilevel"/>
    <w:lvl w:ilvl="0">
      <w:lvlJc w:val="left"/>
      <w:lvlText w:val="%1"/>
      <w:numFmt w:val="lowerRoman"/>
      <w:start w:val="1"/>
    </w:lvl>
    <w:lvl w:ilvl="1">
      <w:lvlJc w:val="left"/>
      <w:lvlText w:val="(%2)"/>
      <w:numFmt w:val="lowerLetter"/>
      <w:start w:val="1"/>
    </w:lvl>
  </w:abstractNum>
  <w:abstractNum w:abstractNumId="129">
    <w:nsid w:val="3E6400E6"/>
    <w:multiLevelType w:val="hybridMultilevel"/>
    <w:lvl w:ilvl="0">
      <w:lvlJc w:val="left"/>
      <w:lvlText w:val="(%1)"/>
      <w:numFmt w:val="lowerRoman"/>
      <w:start w:val="1"/>
    </w:lvl>
    <w:lvl w:ilvl="1">
      <w:lvlJc w:val="left"/>
      <w:lvlText w:val="(%2)"/>
      <w:numFmt w:val="lowerLetter"/>
      <w:start w:val="3"/>
    </w:lvl>
  </w:abstractNum>
  <w:abstractNum w:abstractNumId="130">
    <w:nsid w:val="14217E23"/>
    <w:multiLevelType w:val="hybridMultilevel"/>
    <w:lvl w:ilvl="0">
      <w:lvlJc w:val="left"/>
      <w:lvlText w:val="(%1)"/>
      <w:numFmt w:val="lowerLetter"/>
      <w:start w:val="4"/>
    </w:lvl>
  </w:abstractNum>
  <w:abstractNum w:abstractNumId="131">
    <w:nsid w:val="710757D0"/>
    <w:multiLevelType w:val="hybridMultilevel"/>
    <w:lvl w:ilvl="0">
      <w:lvlJc w:val="left"/>
      <w:lvlText w:val="(%1)"/>
      <w:numFmt w:val="lowerLetter"/>
      <w:start w:val="1"/>
    </w:lvl>
  </w:abstractNum>
  <w:abstractNum w:abstractNumId="132">
    <w:nsid w:val="5015CD1A"/>
    <w:multiLevelType w:val="hybridMultilevel"/>
    <w:lvl w:ilvl="0">
      <w:lvlJc w:val="left"/>
      <w:lvlText w:val="(%1)"/>
      <w:numFmt w:val="lowerLetter"/>
      <w:start w:val="1"/>
    </w:lvl>
  </w:abstractNum>
  <w:abstractNum w:abstractNumId="133">
    <w:nsid w:val="424479DA"/>
    <w:multiLevelType w:val="hybridMultilevel"/>
    <w:lvl w:ilvl="0">
      <w:lvlJc w:val="left"/>
      <w:lvlText w:val="(%1)"/>
      <w:numFmt w:val="lowerLetter"/>
      <w:start w:val="3"/>
    </w:lvl>
  </w:abstractNum>
  <w:abstractNum w:abstractNumId="134">
    <w:nsid w:val="1A9A9E69"/>
    <w:multiLevelType w:val="hybridMultilevel"/>
    <w:lvl w:ilvl="0">
      <w:lvlJc w:val="left"/>
      <w:lvlText w:val="(%1)"/>
      <w:numFmt w:val="lowerRoman"/>
      <w:start w:val="1"/>
    </w:lvl>
  </w:abstractNum>
  <w:abstractNum w:abstractNumId="135">
    <w:nsid w:val="475E256A"/>
    <w:multiLevelType w:val="hybridMultilevel"/>
    <w:lvl w:ilvl="0">
      <w:lvlJc w:val="left"/>
      <w:lvlText w:val="(%1)"/>
      <w:numFmt w:val="lowerLetter"/>
      <w:start w:val="1"/>
    </w:lvl>
  </w:abstractNum>
  <w:abstractNum w:abstractNumId="136">
    <w:nsid w:val="368DB37E"/>
    <w:multiLevelType w:val="hybridMultilevel"/>
    <w:lvl w:ilvl="0">
      <w:lvlJc w:val="left"/>
      <w:lvlText w:val="(%1)"/>
      <w:numFmt w:val="lowerLetter"/>
      <w:start w:val="1"/>
    </w:lvl>
  </w:abstractNum>
  <w:abstractNum w:abstractNumId="137">
    <w:nsid w:val="6A3B714C"/>
    <w:multiLevelType w:val="hybridMultilevel"/>
    <w:lvl w:ilvl="0">
      <w:lvlJc w:val="left"/>
      <w:lvlText w:val="(%1)"/>
      <w:numFmt w:val="lowerLetter"/>
      <w:start w:val="2"/>
    </w:lvl>
  </w:abstractNum>
  <w:abstractNum w:abstractNumId="138">
    <w:nsid w:val="327B517E"/>
    <w:multiLevelType w:val="hybridMultilevel"/>
    <w:lvl w:ilvl="0">
      <w:lvlJc w:val="left"/>
      <w:lvlText w:val="(%1)"/>
      <w:numFmt w:val="lowerLetter"/>
      <w:start w:val="1"/>
    </w:lvl>
  </w:abstractNum>
  <w:abstractNum w:abstractNumId="139">
    <w:nsid w:val="1F461B51"/>
    <w:multiLevelType w:val="hybridMultilevel"/>
    <w:lvl w:ilvl="0">
      <w:lvlJc w:val="left"/>
      <w:lvlText w:val="(%1)"/>
      <w:numFmt w:val="lowerLetter"/>
      <w:start w:val="2"/>
    </w:lvl>
  </w:abstractNum>
  <w:abstractNum w:abstractNumId="140">
    <w:nsid w:val="29BACF25"/>
    <w:multiLevelType w:val="hybridMultilevel"/>
    <w:lvl w:ilvl="0">
      <w:lvlJc w:val="left"/>
      <w:lvlText w:val="(%1)"/>
      <w:numFmt w:val="lowerLetter"/>
      <w:start w:val="5"/>
    </w:lvl>
  </w:abstractNum>
  <w:abstractNum w:abstractNumId="141">
    <w:nsid w:val="5D5BABB3"/>
    <w:multiLevelType w:val="hybridMultilevel"/>
    <w:lvl w:ilvl="0">
      <w:lvlJc w:val="left"/>
      <w:lvlText w:val="(%1)"/>
      <w:numFmt w:val="lowerLetter"/>
      <w:start w:val="1"/>
    </w:lvl>
  </w:abstractNum>
  <w:abstractNum w:abstractNumId="142">
    <w:nsid w:val="51BF6B48"/>
    <w:multiLevelType w:val="hybridMultilevel"/>
    <w:lvl w:ilvl="0">
      <w:lvlJc w:val="left"/>
      <w:lvlText w:val="(%1)"/>
      <w:numFmt w:val="lowerLetter"/>
      <w:start w:val="3"/>
    </w:lvl>
  </w:abstractNum>
  <w:abstractNum w:abstractNumId="143">
    <w:nsid w:val="7E0F6384"/>
    <w:multiLevelType w:val="hybridMultilevel"/>
    <w:lvl w:ilvl="0">
      <w:lvlJc w:val="left"/>
      <w:lvlText w:val="(%1)"/>
      <w:numFmt w:val="lowerLetter"/>
      <w:start w:val="1"/>
    </w:lvl>
  </w:abstractNum>
  <w:abstractNum w:abstractNumId="144">
    <w:nsid w:val="2B4B8B53"/>
    <w:multiLevelType w:val="hybridMultilevel"/>
    <w:lvl w:ilvl="0">
      <w:lvlJc w:val="left"/>
      <w:lvlText w:val="%1"/>
      <w:numFmt w:val="lowerLetter"/>
      <w:start w:val="1"/>
    </w:lvl>
    <w:lvl w:ilvl="1">
      <w:lvlJc w:val="left"/>
      <w:lvlText w:val="(%2)"/>
      <w:numFmt w:val="lowerLetter"/>
      <w:start w:val="1"/>
    </w:lvl>
  </w:abstractNum>
  <w:abstractNum w:abstractNumId="145">
    <w:nsid w:val="72E3413A"/>
    <w:multiLevelType w:val="hybridMultilevel"/>
    <w:lvl w:ilvl="0">
      <w:lvlJc w:val="left"/>
      <w:lvlText w:val="(%1)"/>
      <w:numFmt w:val="lowerLetter"/>
      <w:start w:val="1"/>
    </w:lvl>
    <w:lvl w:ilvl="1">
      <w:lvlJc w:val="left"/>
      <w:lvlText w:val="%2"/>
      <w:numFmt w:val="lowerLetter"/>
      <w:start w:val="1"/>
    </w:lvl>
  </w:abstractNum>
  <w:abstractNum w:abstractNumId="146">
    <w:nsid w:val="116AE494"/>
    <w:multiLevelType w:val="hybridMultilevel"/>
    <w:lvl w:ilvl="0">
      <w:lvlJc w:val="left"/>
      <w:lvlText w:val="%1"/>
      <w:numFmt w:val="lowerLetter"/>
      <w:start w:val="1"/>
    </w:lvl>
    <w:lvl w:ilvl="1">
      <w:lvlJc w:val="left"/>
      <w:lvlText w:val="(%2)"/>
      <w:numFmt w:val="lowerLetter"/>
      <w:start w:val="1"/>
    </w:lvl>
  </w:abstractNum>
  <w:abstractNum w:abstractNumId="147">
    <w:nsid w:val="3494B2FB"/>
    <w:multiLevelType w:val="hybridMultilevel"/>
    <w:lvl w:ilvl="0">
      <w:lvlJc w:val="left"/>
      <w:lvlText w:val="(%1)"/>
      <w:numFmt w:val="lowerLetter"/>
      <w:start w:val="2"/>
    </w:lvl>
    <w:lvl w:ilvl="1">
      <w:lvlJc w:val="left"/>
      <w:lvlText w:val="%2"/>
      <w:numFmt w:val="lowerLetter"/>
      <w:start w:val="1"/>
    </w:lvl>
  </w:abstractNum>
  <w:abstractNum w:abstractNumId="148">
    <w:nsid w:val="B13A31"/>
    <w:multiLevelType w:val="hybridMultilevel"/>
    <w:lvl w:ilvl="0">
      <w:lvlJc w:val="left"/>
      <w:lvlText w:val="(%1)"/>
      <w:numFmt w:val="lowerRoman"/>
      <w:start w:val="2"/>
    </w:lvl>
  </w:abstractNum>
  <w:abstractNum w:abstractNumId="149">
    <w:nsid w:val="64429599"/>
    <w:multiLevelType w:val="hybridMultilevel"/>
    <w:lvl w:ilvl="0">
      <w:lvlJc w:val="left"/>
      <w:lvlText w:val="(%1)"/>
      <w:numFmt w:val="lowerLetter"/>
      <w:start w:val="1"/>
    </w:lvl>
  </w:abstractNum>
  <w:abstractNum w:abstractNumId="150">
    <w:nsid w:val="631F1690"/>
    <w:multiLevelType w:val="hybridMultilevel"/>
    <w:lvl w:ilvl="0">
      <w:lvlJc w:val="left"/>
      <w:lvlText w:val="%1"/>
      <w:numFmt w:val="lowerLetter"/>
      <w:start w:val="1"/>
    </w:lvl>
    <w:lvl w:ilvl="1">
      <w:lvlJc w:val="left"/>
      <w:lvlText w:val="(%2)"/>
      <w:numFmt w:val="lowerLetter"/>
      <w:start w:val="3"/>
    </w:lvl>
  </w:abstractNum>
  <w:abstractNum w:abstractNumId="151">
    <w:nsid w:val="25973E32"/>
    <w:multiLevelType w:val="hybridMultilevel"/>
    <w:lvl w:ilvl="0">
      <w:lvlJc w:val="left"/>
      <w:lvlText w:val="(%1)"/>
      <w:numFmt w:val="lowerLetter"/>
      <w:start w:val="1"/>
    </w:lvl>
    <w:lvl w:ilvl="1">
      <w:lvlJc w:val="left"/>
      <w:lvlText w:val="%2"/>
      <w:numFmt w:val="lowerLetter"/>
      <w:start w:val="1"/>
    </w:lvl>
  </w:abstractNum>
  <w:abstractNum w:abstractNumId="152">
    <w:nsid w:val="EAD6F57"/>
    <w:multiLevelType w:val="hybridMultilevel"/>
    <w:lvl w:ilvl="0">
      <w:lvlJc w:val="left"/>
      <w:lvlText w:val="(%1)"/>
      <w:numFmt w:val="lowerRoman"/>
      <w:start w:val="2"/>
    </w:lvl>
  </w:abstractNum>
  <w:abstractNum w:abstractNumId="153">
    <w:nsid w:val="6EC9D844"/>
    <w:multiLevelType w:val="hybridMultilevel"/>
    <w:lvl w:ilvl="0">
      <w:lvlJc w:val="left"/>
      <w:lvlText w:val="(%1)"/>
      <w:numFmt w:val="lowerLetter"/>
      <w:start w:val="1"/>
    </w:lvl>
  </w:abstractNum>
  <w:abstractNum w:abstractNumId="154">
    <w:nsid w:val="5C49EAEE"/>
    <w:multiLevelType w:val="hybridMultilevel"/>
    <w:lvl w:ilvl="0">
      <w:lvlJc w:val="left"/>
      <w:lvlText w:val="(%1)"/>
      <w:numFmt w:val="lowerLetter"/>
      <w:start w:val="3"/>
    </w:lvl>
  </w:abstractNum>
  <w:abstractNum w:abstractNumId="155">
    <w:nsid w:val="64AF49B"/>
    <w:multiLevelType w:val="hybridMultilevel"/>
    <w:lvl w:ilvl="0">
      <w:lvlJc w:val="left"/>
      <w:lvlText w:val="(%1)"/>
      <w:numFmt w:val="lowerLetter"/>
      <w:start w:val="8"/>
    </w:lvl>
  </w:abstractNum>
  <w:abstractNum w:abstractNumId="156">
    <w:nsid w:val="397C46BC"/>
    <w:multiLevelType w:val="hybridMultilevel"/>
    <w:lvl w:ilvl="0">
      <w:lvlJc w:val="left"/>
      <w:lvlText w:val="%1"/>
      <w:numFmt w:val="lowerLetter"/>
      <w:start w:val="1"/>
    </w:lvl>
    <w:lvl w:ilvl="1">
      <w:lvlJc w:val="left"/>
      <w:lvlText w:val="(%2)"/>
      <w:numFmt w:val="lowerLetter"/>
      <w:start w:val="14"/>
    </w:lvl>
  </w:abstractNum>
  <w:abstractNum w:abstractNumId="157">
    <w:nsid w:val="7E448DE9"/>
    <w:multiLevelType w:val="hybridMultilevel"/>
    <w:lvl w:ilvl="0">
      <w:lvlJc w:val="left"/>
      <w:lvlText w:val="(%1)"/>
      <w:numFmt w:val="lowerLetter"/>
      <w:start w:val="35"/>
    </w:lvl>
    <w:lvl w:ilvl="1">
      <w:lvlJc w:val="left"/>
      <w:lvlText w:val="(%2)"/>
      <w:numFmt w:val="lowerLetter"/>
      <w:start w:val="15"/>
    </w:lvl>
  </w:abstractNum>
  <w:abstractNum w:abstractNumId="158">
    <w:nsid w:val="5A9CC3E5"/>
    <w:multiLevelType w:val="hybridMultilevel"/>
    <w:lvl w:ilvl="0">
      <w:lvlJc w:val="left"/>
      <w:lvlText w:val="(%1)"/>
      <w:numFmt w:val="lowerLetter"/>
      <w:start w:val="35"/>
    </w:lvl>
    <w:lvl w:ilvl="1">
      <w:lvlJc w:val="left"/>
      <w:lvlText w:val="(%2)"/>
      <w:numFmt w:val="lowerLetter"/>
      <w:start w:val="17"/>
    </w:lvl>
  </w:abstractNum>
  <w:abstractNum w:abstractNumId="159">
    <w:nsid w:val="1AFE3625"/>
    <w:multiLevelType w:val="hybridMultilevel"/>
    <w:lvl w:ilvl="0">
      <w:lvlJc w:val="left"/>
      <w:lvlText w:val="%1"/>
      <w:numFmt w:val="lowerLetter"/>
      <w:start w:val="1"/>
    </w:lvl>
    <w:lvl w:ilvl="1">
      <w:lvlJc w:val="left"/>
      <w:lvlText w:val="(%2)"/>
      <w:numFmt w:val="lowerLetter"/>
      <w:start w:val="1"/>
    </w:lvl>
  </w:abstractNum>
  <w:abstractNum w:abstractNumId="160">
    <w:nsid w:val="3CA88ECF"/>
    <w:multiLevelType w:val="hybridMultilevel"/>
    <w:lvl w:ilvl="0">
      <w:lvlJc w:val="left"/>
      <w:lvlText w:val="(%1)"/>
      <w:numFmt w:val="lowerLetter"/>
      <w:start w:val="35"/>
    </w:lvl>
    <w:lvl w:ilvl="1">
      <w:lvlJc w:val="left"/>
      <w:lvlText w:val="(%2)"/>
      <w:numFmt w:val="lowerLetter"/>
      <w:start w:val="3"/>
    </w:lvl>
  </w:abstractNum>
  <w:abstractNum w:abstractNumId="161">
    <w:nsid w:val="6EBE4208"/>
    <w:multiLevelType w:val="hybridMultilevel"/>
    <w:lvl w:ilvl="0">
      <w:lvlJc w:val="left"/>
      <w:lvlText w:val="(%1)"/>
      <w:numFmt w:val="lowerRoman"/>
      <w:start w:val="1"/>
    </w:lvl>
  </w:abstractNum>
  <w:abstractNum w:abstractNumId="162">
    <w:nsid w:val="C058DF5"/>
    <w:multiLevelType w:val="hybridMultilevel"/>
    <w:lvl w:ilvl="0">
      <w:lvlJc w:val="left"/>
      <w:lvlText w:val="%1"/>
      <w:numFmt w:val="lowerLetter"/>
      <w:start w:val="1"/>
    </w:lvl>
    <w:lvl w:ilvl="1">
      <w:lvlJc w:val="left"/>
      <w:lvlText w:val="(%2)"/>
      <w:numFmt w:val="lowerRoman"/>
      <w:start w:val="5"/>
    </w:lvl>
  </w:abstractNum>
  <w:abstractNum w:abstractNumId="163">
    <w:nsid w:val="CBE5BE9"/>
    <w:multiLevelType w:val="hybridMultilevel"/>
    <w:lvl w:ilvl="0">
      <w:lvlJc w:val="left"/>
      <w:lvlText w:val="(%1)"/>
      <w:numFmt w:val="lowerLetter"/>
      <w:start w:val="7"/>
    </w:lvl>
    <w:lvl w:ilvl="1">
      <w:lvlJc w:val="left"/>
      <w:lvlText w:val="%2"/>
      <w:numFmt w:val="lowerRoman"/>
      <w:start w:val="1"/>
    </w:lvl>
  </w:abstractNum>
  <w:abstractNum w:abstractNumId="164">
    <w:nsid w:val="3102BBE2"/>
    <w:multiLevelType w:val="hybridMultilevel"/>
    <w:lvl w:ilvl="0">
      <w:lvlJc w:val="left"/>
      <w:lvlText w:val="(%1)"/>
      <w:numFmt w:val="lowerLetter"/>
      <w:start w:val="10"/>
    </w:lvl>
  </w:abstractNum>
  <w:abstractNum w:abstractNumId="165">
    <w:nsid w:val="26A02C5E"/>
    <w:multiLevelType w:val="hybridMultilevel"/>
    <w:lvl w:ilvl="0">
      <w:lvlJc w:val="left"/>
      <w:lvlText w:val="%1"/>
      <w:numFmt w:val="lowerLetter"/>
      <w:start w:val="1"/>
    </w:lvl>
    <w:lvl w:ilvl="1">
      <w:lvlJc w:val="left"/>
      <w:lvlText w:val="(%2)"/>
      <w:numFmt w:val="lowerLetter"/>
      <w:start w:val="1"/>
    </w:lvl>
  </w:abstractNum>
  <w:abstractNum w:abstractNumId="166">
    <w:nsid w:val="541C8153"/>
    <w:multiLevelType w:val="hybridMultilevel"/>
    <w:lvl w:ilvl="0">
      <w:lvlJc w:val="left"/>
      <w:lvlText w:val="(%1)"/>
      <w:numFmt w:val="lowerLetter"/>
      <w:start w:val="35"/>
    </w:lvl>
    <w:lvl w:ilvl="1">
      <w:lvlJc w:val="left"/>
      <w:lvlText w:val="%2"/>
      <w:numFmt w:val="lowerLetter"/>
      <w:start w:val="1"/>
    </w:lvl>
  </w:abstractNum>
  <w:abstractNum w:abstractNumId="167">
    <w:nsid w:val="67906F60"/>
    <w:multiLevelType w:val="hybridMultilevel"/>
    <w:lvl w:ilvl="0">
      <w:lvlJc w:val="left"/>
      <w:lvlText w:val="(%1)"/>
      <w:numFmt w:val="lowerLetter"/>
      <w:start w:val="7"/>
    </w:lvl>
  </w:abstractNum>
  <w:abstractNum w:abstractNumId="168">
    <w:nsid w:val="10DB9DAA"/>
    <w:multiLevelType w:val="hybridMultilevel"/>
    <w:lvl w:ilvl="0">
      <w:lvlJc w:val="left"/>
      <w:lvlText w:val="%1"/>
      <w:numFmt w:val="lowerLetter"/>
      <w:start w:val="1"/>
    </w:lvl>
    <w:lvl w:ilvl="1">
      <w:lvlJc w:val="left"/>
      <w:lvlText w:val="(%2)"/>
      <w:numFmt w:val="lowerLetter"/>
      <w:start w:val="11"/>
    </w:lvl>
  </w:abstractNum>
  <w:abstractNum w:abstractNumId="169">
    <w:nsid w:val="697D2D2"/>
    <w:multiLevelType w:val="hybridMultilevel"/>
    <w:lvl w:ilvl="0">
      <w:lvlJc w:val="left"/>
      <w:lvlText w:val="(%1)"/>
      <w:numFmt w:val="lowerLetter"/>
      <w:start w:val="35"/>
    </w:lvl>
    <w:lvl w:ilvl="1">
      <w:lvlJc w:val="left"/>
      <w:lvlText w:val="%2"/>
      <w:numFmt w:val="lowerLetter"/>
      <w:start w:val="1"/>
    </w:lvl>
  </w:abstractNum>
  <w:abstractNum w:abstractNumId="170">
    <w:nsid w:val="6D68AB2"/>
    <w:multiLevelType w:val="hybridMultilevel"/>
    <w:lvl w:ilvl="0">
      <w:lvlJc w:val="left"/>
      <w:lvlText w:val="%1"/>
      <w:numFmt w:val="lowerLetter"/>
      <w:start w:val="1"/>
    </w:lvl>
    <w:lvl w:ilvl="1">
      <w:lvlJc w:val="left"/>
      <w:lvlText w:val="(%2)"/>
      <w:numFmt w:val="lowerLetter"/>
      <w:start w:val="1"/>
    </w:lvl>
  </w:abstractNum>
  <w:abstractNum w:abstractNumId="171">
    <w:nsid w:val="3A966CD0"/>
    <w:multiLevelType w:val="hybridMultilevel"/>
    <w:lvl w:ilvl="0">
      <w:lvlJc w:val="left"/>
      <w:lvlText w:val="(%1)"/>
      <w:numFmt w:val="lowerLetter"/>
      <w:start w:val="35"/>
    </w:lvl>
    <w:lvl w:ilvl="1">
      <w:lvlJc w:val="left"/>
      <w:lvlText w:val="%2"/>
      <w:numFmt w:val="lowerLetter"/>
      <w:start w:val="1"/>
    </w:lvl>
  </w:abstractNum>
  <w:abstractNum w:abstractNumId="172">
    <w:nsid w:val="63F37E85"/>
    <w:multiLevelType w:val="hybridMultilevel"/>
    <w:lvl w:ilvl="0">
      <w:lvlJc w:val="left"/>
      <w:lvlText w:val="(%1)"/>
      <w:numFmt w:val="lowerLetter"/>
      <w:start w:val="2"/>
    </w:lvl>
  </w:abstractNum>
  <w:abstractNum w:abstractNumId="173">
    <w:nsid w:val="5895F5FA"/>
    <w:multiLevelType w:val="hybridMultilevel"/>
    <w:lvl w:ilvl="0">
      <w:lvlJc w:val="left"/>
      <w:lvlText w:val="(%1)"/>
      <w:numFmt w:val="lowerLetter"/>
      <w:start w:val="1"/>
    </w:lvl>
  </w:abstractNum>
  <w:abstractNum w:abstractNumId="174">
    <w:nsid w:val="38A5D054"/>
    <w:multiLevelType w:val="hybridMultilevel"/>
    <w:lvl w:ilvl="0">
      <w:lvlJc w:val="left"/>
      <w:lvlText w:val="(%1)"/>
      <w:numFmt w:val="lowerLetter"/>
      <w:start w:val="1"/>
    </w:lvl>
  </w:abstractNum>
  <w:abstractNum w:abstractNumId="175">
    <w:nsid w:val="F3F09D8"/>
    <w:multiLevelType w:val="hybridMultilevel"/>
    <w:lvl w:ilvl="0">
      <w:lvlJc w:val="left"/>
      <w:lvlText w:val="(%1)"/>
      <w:numFmt w:val="lowerLetter"/>
      <w:start w:val="2"/>
    </w:lvl>
  </w:abstractNum>
  <w:abstractNum w:abstractNumId="176">
    <w:nsid w:val="4B793735"/>
    <w:multiLevelType w:val="hybridMultilevel"/>
    <w:lvl w:ilvl="0">
      <w:lvlJc w:val="left"/>
      <w:lvlText w:val="%1"/>
      <w:numFmt w:val="lowerLetter"/>
      <w:start w:val="1"/>
    </w:lvl>
    <w:lvl w:ilvl="1">
      <w:lvlJc w:val="left"/>
      <w:lvlText w:val="(%2)"/>
      <w:numFmt w:val="lowerLetter"/>
      <w:start w:val="4"/>
    </w:lvl>
  </w:abstractNum>
  <w:abstractNum w:abstractNumId="177">
    <w:nsid w:val="4A10B4E8"/>
    <w:multiLevelType w:val="hybridMultilevel"/>
    <w:lvl w:ilvl="0">
      <w:lvlJc w:val="left"/>
      <w:lvlText w:val="(%1)"/>
      <w:numFmt w:val="lowerLetter"/>
      <w:start w:val="61"/>
    </w:lvl>
    <w:lvl w:ilvl="1">
      <w:lvlJc w:val="left"/>
      <w:lvlText w:val="(%2)"/>
      <w:numFmt w:val="lowerLetter"/>
      <w:start w:val="5"/>
    </w:lvl>
  </w:abstractNum>
  <w:abstractNum w:abstractNumId="178">
    <w:nsid w:val="43D3BCD4"/>
    <w:multiLevelType w:val="hybridMultilevel"/>
    <w:lvl w:ilvl="0">
      <w:lvlJc w:val="left"/>
      <w:lvlText w:val="(%1)"/>
      <w:numFmt w:val="lowerLetter"/>
      <w:start w:val="1"/>
    </w:lvl>
  </w:abstractNum>
  <w:abstractNum w:abstractNumId="179">
    <w:nsid w:val="4C2A7166"/>
    <w:multiLevelType w:val="hybridMultilevel"/>
    <w:lvl w:ilvl="0">
      <w:lvlJc w:val="left"/>
      <w:lvlText w:val="(%1)"/>
      <w:numFmt w:val="lowerLetter"/>
      <w:start w:val="4"/>
    </w:lvl>
  </w:abstractNum>
  <w:abstractNum w:abstractNumId="180">
    <w:nsid w:val="2E534A82"/>
    <w:multiLevelType w:val="hybridMultilevel"/>
    <w:lvl w:ilvl="0">
      <w:lvlJc w:val="left"/>
      <w:lvlText w:val="(%1)"/>
      <w:numFmt w:val="lowerLetter"/>
      <w:start w:val="1"/>
    </w:lvl>
  </w:abstractNum>
  <w:abstractNum w:abstractNumId="181">
    <w:nsid w:val="26F2D364"/>
    <w:multiLevelType w:val="hybridMultilevel"/>
    <w:lvl w:ilvl="0">
      <w:lvlJc w:val="left"/>
      <w:lvlText w:val="(%1)"/>
      <w:numFmt w:val="lowerLetter"/>
      <w:start w:val="5"/>
    </w:lvl>
  </w:abstractNum>
  <w:abstractNum w:abstractNumId="182">
    <w:nsid w:val="71C1AF98"/>
    <w:multiLevelType w:val="hybridMultilevel"/>
    <w:lvl w:ilvl="0">
      <w:lvlJc w:val="left"/>
      <w:lvlText w:val="(%1)"/>
      <w:numFmt w:val="lowerLetter"/>
      <w:start w:val="7"/>
    </w:lvl>
  </w:abstractNum>
  <w:abstractNum w:abstractNumId="183">
    <w:nsid w:val="3D00B9D9"/>
    <w:multiLevelType w:val="hybridMultilevel"/>
    <w:lvl w:ilvl="0">
      <w:lvlJc w:val="left"/>
      <w:lvlText w:val="(%1)"/>
      <w:numFmt w:val="lowerLetter"/>
      <w:start w:val="8"/>
    </w:lvl>
  </w:abstractNum>
  <w:abstractNum w:abstractNumId="184">
    <w:nsid w:val="15BCABA8"/>
    <w:multiLevelType w:val="hybridMultilevel"/>
    <w:lvl w:ilvl="0">
      <w:lvlJc w:val="left"/>
      <w:lvlText w:val="(%1)"/>
      <w:numFmt w:val="lowerLetter"/>
      <w:start w:val="13"/>
    </w:lvl>
  </w:abstractNum>
  <w:abstractNum w:abstractNumId="185">
    <w:nsid w:val="4E0B9A87"/>
    <w:multiLevelType w:val="hybridMultilevel"/>
    <w:lvl w:ilvl="0">
      <w:lvlJc w:val="left"/>
      <w:lvlText w:val="(%1)"/>
      <w:numFmt w:val="lowerLetter"/>
      <w:start w:val="1"/>
    </w:lvl>
  </w:abstractNum>
  <w:abstractNum w:abstractNumId="186">
    <w:nsid w:val="434BAE75"/>
    <w:multiLevelType w:val="hybridMultilevel"/>
    <w:lvl w:ilvl="0">
      <w:lvlJc w:val="left"/>
      <w:lvlText w:val="(%1)"/>
      <w:numFmt w:val="lowerLetter"/>
      <w:start w:val="1"/>
    </w:lvl>
  </w:abstractNum>
  <w:abstractNum w:abstractNumId="187">
    <w:nsid w:val="4F38F265"/>
    <w:multiLevelType w:val="hybridMultilevel"/>
    <w:lvl w:ilvl="0">
      <w:lvlJc w:val="left"/>
      <w:lvlText w:val="(%1)"/>
      <w:numFmt w:val="lowerLetter"/>
      <w:start w:val="4"/>
    </w:lvl>
  </w:abstractNum>
  <w:abstractNum w:abstractNumId="188">
    <w:nsid w:val="4C502870"/>
    <w:multiLevelType w:val="hybridMultilevel"/>
    <w:lvl w:ilvl="0">
      <w:lvlJc w:val="left"/>
      <w:lvlText w:val="(%1)"/>
      <w:numFmt w:val="lowerLetter"/>
      <w:start w:val="1"/>
    </w:lvl>
  </w:abstractNum>
  <w:abstractNum w:abstractNumId="189">
    <w:nsid w:val="1DE8725A"/>
    <w:multiLevelType w:val="hybridMultilevel"/>
    <w:lvl w:ilvl="0">
      <w:lvlJc w:val="left"/>
      <w:lvlText w:val="(%1)"/>
      <w:numFmt w:val="lowerLetter"/>
      <w:start w:val="5"/>
    </w:lvl>
  </w:abstractNum>
  <w:abstractNum w:abstractNumId="190">
    <w:nsid w:val="6A37288A"/>
    <w:multiLevelType w:val="hybridMultilevel"/>
    <w:lvl w:ilvl="0">
      <w:lvlJc w:val="left"/>
      <w:lvlText w:val="(%1)"/>
      <w:numFmt w:val="lowerLetter"/>
      <w:start w:val="2"/>
    </w:lvl>
  </w:abstractNum>
  <w:abstractNum w:abstractNumId="191">
    <w:nsid w:val="8F8B73F"/>
    <w:multiLevelType w:val="hybridMultilevel"/>
    <w:lvl w:ilvl="0">
      <w:lvlJc w:val="left"/>
      <w:lvlText w:val="(%1)"/>
      <w:numFmt w:val="lowerLetter"/>
      <w:start w:val="1"/>
    </w:lvl>
  </w:abstractNum>
  <w:abstractNum w:abstractNumId="192">
    <w:nsid w:val="CA6B462"/>
    <w:multiLevelType w:val="hybridMultilevel"/>
    <w:lvl w:ilvl="0">
      <w:lvlJc w:val="left"/>
      <w:lvlText w:val="(%1)"/>
      <w:numFmt w:val="lowerLetter"/>
      <w:start w:val="1"/>
    </w:lvl>
  </w:abstractNum>
  <w:abstractNum w:abstractNumId="193">
    <w:nsid w:val="763CB680"/>
    <w:multiLevelType w:val="hybridMultilevel"/>
    <w:lvl w:ilvl="0">
      <w:lvlJc w:val="left"/>
      <w:lvlText w:val="(%1)"/>
      <w:numFmt w:val="lowerLetter"/>
      <w:start w:val="3"/>
    </w:lvl>
  </w:abstractNum>
  <w:abstractNum w:abstractNumId="194">
    <w:nsid w:val="15B71329"/>
    <w:multiLevelType w:val="hybridMultilevel"/>
    <w:lvl w:ilvl="0">
      <w:lvlJc w:val="left"/>
      <w:lvlText w:val="(%1)"/>
      <w:numFmt w:val="lowerLetter"/>
      <w:start w:val="1"/>
    </w:lvl>
  </w:abstractNum>
  <w:abstractNum w:abstractNumId="195">
    <w:nsid w:val="3DA97044"/>
    <w:multiLevelType w:val="hybridMultilevel"/>
    <w:lvl w:ilvl="0">
      <w:lvlJc w:val="left"/>
      <w:lvlText w:val="(%1)"/>
      <w:numFmt w:val="lowerLetter"/>
      <w:start w:val="7"/>
    </w:lvl>
  </w:abstractNum>
  <w:abstractNum w:abstractNumId="196">
    <w:nsid w:val="1CDCE2DE"/>
    <w:multiLevelType w:val="hybridMultilevel"/>
    <w:lvl w:ilvl="0">
      <w:lvlJc w:val="left"/>
      <w:lvlText w:val="(%1)"/>
      <w:numFmt w:val="lowerRoman"/>
      <w:start w:val="2"/>
    </w:lvl>
  </w:abstractNum>
  <w:abstractNum w:abstractNumId="197">
    <w:nsid w:val="69D3947C"/>
    <w:multiLevelType w:val="hybridMultilevel"/>
    <w:lvl w:ilvl="0">
      <w:lvlJc w:val="left"/>
      <w:lvlText w:val="(%1)"/>
      <w:numFmt w:val="lowerLetter"/>
      <w:start w:val="1"/>
    </w:lvl>
    <w:lvl w:ilvl="1">
      <w:lvlJc w:val="left"/>
      <w:lvlText w:val="(%2)"/>
      <w:numFmt w:val="lowerRoman"/>
      <w:start w:val="1"/>
    </w:lvl>
  </w:abstractNum>
  <w:abstractNum w:abstractNumId="198">
    <w:nsid w:val="2539DFA5"/>
    <w:multiLevelType w:val="hybridMultilevel"/>
    <w:lvl w:ilvl="0">
      <w:lvlJc w:val="left"/>
      <w:lvlText w:val="(%1)"/>
      <w:numFmt w:val="lowerLetter"/>
      <w:start w:val="2"/>
    </w:lvl>
  </w:abstractNum>
  <w:abstractNum w:abstractNumId="199">
    <w:nsid w:val="2DB88089"/>
    <w:multiLevelType w:val="hybridMultilevel"/>
    <w:lvl w:ilvl="0">
      <w:lvlJc w:val="left"/>
      <w:lvlText w:val="(%1)"/>
      <w:numFmt w:val="lowerLetter"/>
      <w:start w:val="3"/>
    </w:lvl>
  </w:abstractNum>
  <w:abstractNum w:abstractNumId="200">
    <w:nsid w:val="706B674E"/>
    <w:multiLevelType w:val="hybridMultilevel"/>
    <w:lvl w:ilvl="0">
      <w:lvlJc w:val="left"/>
      <w:lvlText w:val="(%1)"/>
      <w:numFmt w:val="lowerLetter"/>
      <w:start w:val="4"/>
    </w:lvl>
  </w:abstractNum>
  <w:abstractNum w:abstractNumId="201">
    <w:nsid w:val="2C106A57"/>
    <w:multiLevelType w:val="hybridMultilevel"/>
    <w:lvl w:ilvl="0">
      <w:lvlJc w:val="left"/>
      <w:lvlText w:val="(%1)"/>
      <w:numFmt w:val="lowerLetter"/>
      <w:start w:val="6"/>
    </w:lvl>
  </w:abstractNum>
  <w:abstractNum w:abstractNumId="202">
    <w:nsid w:val="684EED59"/>
    <w:multiLevelType w:val="hybridMultilevel"/>
    <w:lvl w:ilvl="0">
      <w:lvlJc w:val="left"/>
      <w:lvlText w:val="(%1)"/>
      <w:numFmt w:val="lowerLetter"/>
      <w:start w:val="1"/>
    </w:lvl>
  </w:abstractNum>
  <w:abstractNum w:abstractNumId="203">
    <w:nsid w:val="545EE5D3"/>
    <w:multiLevelType w:val="hybridMultilevel"/>
    <w:lvl w:ilvl="0">
      <w:lvlJc w:val="left"/>
      <w:lvlText w:val="(%1)"/>
      <w:numFmt w:val="lowerLetter"/>
      <w:start w:val="2"/>
    </w:lvl>
  </w:abstractNum>
  <w:abstractNum w:abstractNumId="204">
    <w:nsid w:val="4A66051"/>
    <w:multiLevelType w:val="hybridMultilevel"/>
    <w:lvl w:ilvl="0">
      <w:lvlJc w:val="left"/>
      <w:lvlText w:val="(%1)"/>
      <w:numFmt w:val="lowerLetter"/>
      <w:start w:val="61"/>
    </w:lvl>
    <w:lvl w:ilvl="1">
      <w:lvlJc w:val="left"/>
      <w:lvlText w:val="(%2)"/>
      <w:numFmt w:val="lowerLetter"/>
      <w:start w:val="3"/>
    </w:lvl>
  </w:abstractNum>
  <w:abstractNum w:abstractNumId="205">
    <w:nsid w:val="20F4BDAD"/>
    <w:multiLevelType w:val="hybridMultilevel"/>
    <w:lvl w:ilvl="0">
      <w:lvlJc w:val="left"/>
      <w:lvlText w:val="(%1)"/>
      <w:numFmt w:val="lowerLetter"/>
      <w:start w:val="1"/>
    </w:lvl>
    <w:lvl w:ilvl="1">
      <w:lvlJc w:val="left"/>
      <w:lvlText w:val="(%2)"/>
      <w:numFmt w:val="lowerLetter"/>
      <w:start w:val="4"/>
    </w:lvl>
  </w:abstractNum>
  <w:abstractNum w:abstractNumId="206">
    <w:nsid w:val="639DEFAC"/>
    <w:multiLevelType w:val="hybridMultilevel"/>
    <w:lvl w:ilvl="0">
      <w:lvlJc w:val="left"/>
      <w:lvlText w:val="(%1)"/>
      <w:numFmt w:val="lowerLetter"/>
      <w:start w:val="5"/>
    </w:lvl>
  </w:abstractNum>
  <w:abstractNum w:abstractNumId="207">
    <w:nsid w:val="501F9786"/>
    <w:multiLevelType w:val="hybridMultilevel"/>
    <w:lvl w:ilvl="0">
      <w:lvlJc w:val="left"/>
      <w:lvlText w:val="(%1)"/>
      <w:numFmt w:val="lowerLetter"/>
      <w:start w:val="2"/>
    </w:lvl>
  </w:abstractNum>
  <w:abstractNum w:abstractNumId="208">
    <w:nsid w:val="6B057295"/>
    <w:multiLevelType w:val="hybridMultilevel"/>
    <w:lvl w:ilvl="0">
      <w:lvlJc w:val="left"/>
      <w:lvlText w:val="(%1)"/>
      <w:numFmt w:val="lowerLetter"/>
      <w:start w:val="1"/>
    </w:lvl>
  </w:abstractNum>
  <w:abstractNum w:abstractNumId="209">
    <w:nsid w:val="2771AC80"/>
    <w:multiLevelType w:val="hybridMultilevel"/>
    <w:lvl w:ilvl="0">
      <w:lvlJc w:val="left"/>
      <w:lvlText w:val="(%1)"/>
      <w:numFmt w:val="lowerLetter"/>
      <w:start w:val="2"/>
    </w:lvl>
  </w:abstractNum>
  <w:abstractNum w:abstractNumId="210">
    <w:nsid w:val="1C4A08E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211">
    <w:nsid w:val="1958BD17"/>
    <w:multiLevelType w:val="hybridMultilevel"/>
    <w:lvl w:ilvl="0">
      <w:lvlJc w:val="left"/>
      <w:lvlText w:val="(%1)"/>
      <w:numFmt w:val="upperLetter"/>
      <w:start w:val="1"/>
    </w:lvl>
    <w:lvl w:ilvl="1">
      <w:lvlJc w:val="left"/>
      <w:lvlText w:val="(%2)"/>
      <w:numFmt w:val="decimal"/>
    </w:lvl>
    <w:lvl w:ilvl="2">
      <w:lvlJc w:val="left"/>
      <w:lvlText w:val="(%3)"/>
      <w:numFmt w:val="lowerRoman"/>
      <w:start w:val="3"/>
    </w:lvl>
    <w:lvl w:ilvl="3">
      <w:lvlJc w:val="left"/>
      <w:lvlText w:val="(%4)"/>
      <w:numFmt w:val="upperLetter"/>
      <w:start w:val="1"/>
    </w:lvl>
  </w:abstractNum>
  <w:abstractNum w:abstractNumId="212">
    <w:nsid w:val="4E647FE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213">
    <w:nsid w:val="E0BB885"/>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3"/>
    </w:lvl>
  </w:abstractNum>
  <w:abstractNum w:abstractNumId="214">
    <w:nsid w:val="565976F1"/>
    <w:multiLevelType w:val="hybridMultilevel"/>
    <w:lvl w:ilvl="0">
      <w:lvlJc w:val="left"/>
      <w:lvlText w:val="(%1)"/>
      <w:numFmt w:val="lowerRoman"/>
      <w:start w:val="6"/>
    </w:lvl>
  </w:abstractNum>
  <w:abstractNum w:abstractNumId="215">
    <w:nsid w:val="64212B8C"/>
    <w:multiLevelType w:val="hybridMultilevel"/>
    <w:lvl w:ilvl="0">
      <w:lvlJc w:val="left"/>
      <w:lvlText w:val="(%1)"/>
      <w:numFmt w:val="lowerLetter"/>
      <w:start w:val="3"/>
    </w:lvl>
  </w:abstractNum>
  <w:abstractNum w:abstractNumId="216">
    <w:nsid w:val="5C17530C"/>
    <w:multiLevelType w:val="hybridMultilevel"/>
    <w:lvl w:ilvl="0">
      <w:lvlJc w:val="left"/>
      <w:lvlText w:val="(%1)"/>
      <w:numFmt w:val="lowerLetter"/>
      <w:start w:val="5"/>
    </w:lvl>
  </w:abstractNum>
  <w:abstractNum w:abstractNumId="217">
    <w:nsid w:val="19A52566"/>
    <w:multiLevelType w:val="hybridMultilevel"/>
    <w:lvl w:ilvl="0">
      <w:lvlJc w:val="left"/>
      <w:lvlText w:val="(%1)"/>
      <w:numFmt w:val="lowerLetter"/>
      <w:start w:val="6"/>
    </w:lvl>
  </w:abstractNum>
  <w:abstractNum w:abstractNumId="218">
    <w:nsid w:val="335A1DF1"/>
    <w:multiLevelType w:val="hybridMultilevel"/>
    <w:lvl w:ilvl="0">
      <w:lvlJc w:val="left"/>
      <w:lvlText w:val="(%1)"/>
      <w:numFmt w:val="lowerLetter"/>
      <w:start w:val="25"/>
    </w:lvl>
  </w:abstractNum>
  <w:abstractNum w:abstractNumId="219">
    <w:nsid w:val="28677B7C"/>
    <w:multiLevelType w:val="hybridMultilevel"/>
    <w:lvl w:ilvl="0">
      <w:lvlJc w:val="left"/>
      <w:lvlText w:val="(%1)"/>
      <w:numFmt w:val="lowerLetter"/>
      <w:start w:val="1"/>
    </w:lvl>
  </w:abstractNum>
  <w:abstractNum w:abstractNumId="220">
    <w:nsid w:val="378D97C0"/>
    <w:multiLevelType w:val="hybridMultilevel"/>
    <w:lvl w:ilvl="0">
      <w:lvlJc w:val="left"/>
      <w:lvlText w:val="(%1)"/>
      <w:numFmt w:val="lowerLetter"/>
      <w:start w:val="3"/>
    </w:lvl>
  </w:abstractNum>
  <w:abstractNum w:abstractNumId="221">
    <w:nsid w:val="1D91467C"/>
    <w:multiLevelType w:val="hybridMultilevel"/>
    <w:lvl w:ilvl="0">
      <w:lvlJc w:val="left"/>
      <w:lvlText w:val="(%1)"/>
      <w:numFmt w:val="lowerLetter"/>
      <w:start w:val="5"/>
    </w:lvl>
  </w:abstractNum>
  <w:abstractNum w:abstractNumId="222">
    <w:nsid w:val="316032BB"/>
    <w:multiLevelType w:val="hybridMultilevel"/>
    <w:lvl w:ilvl="0">
      <w:lvlJc w:val="left"/>
      <w:lvlText w:val="(%1)"/>
      <w:numFmt w:val="lowerLetter"/>
      <w:start w:val="1"/>
    </w:lvl>
  </w:abstractNum>
  <w:abstractNum w:abstractNumId="223">
    <w:nsid w:val="44344C22"/>
    <w:multiLevelType w:val="hybridMultilevel"/>
    <w:lvl w:ilvl="0">
      <w:lvlJc w:val="left"/>
      <w:lvlText w:val="%1"/>
      <w:numFmt w:val="upperLetter"/>
      <w:start w:val="1"/>
    </w:lvl>
    <w:lvl w:ilvl="1">
      <w:lvlJc w:val="left"/>
      <w:lvlText w:val="(%2)"/>
      <w:numFmt w:val="lowerLetter"/>
      <w:start w:val="3"/>
    </w:lvl>
  </w:abstractNum>
  <w:abstractNum w:abstractNumId="224">
    <w:nsid w:val="13CDFCFC"/>
    <w:multiLevelType w:val="hybridMultilevel"/>
    <w:lvl w:ilvl="0">
      <w:lvlJc w:val="left"/>
      <w:lvlText w:val="(%1)"/>
      <w:numFmt w:val="upp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2019-12-05T22:23:59Z</dcterms:created>
  <dcterms:modified xsi:type="dcterms:W3CDTF">2019-12-05T22:23:59Z</dcterms:modified>
</cp:coreProperties>
</file>