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4100" w:right="1900" w:hanging="4004"/>
        <w:spacing w:after="0" w:line="477" w:lineRule="auto"/>
        <w:tabs>
          <w:tab w:leader="none" w:pos="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2019</w:t>
      </w:r>
    </w:p>
    <w:p>
      <w:pPr>
        <w:spacing w:after="0" w:line="1" w:lineRule="exact"/>
        <w:rPr>
          <w:sz w:val="24"/>
          <w:szCs w:val="24"/>
          <w:color w:val="auto"/>
        </w:rPr>
      </w:pPr>
    </w:p>
    <w:p>
      <w:pPr>
        <w:ind w:left="5880"/>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3080" w:right="1880" w:hanging="3045"/>
        <w:spacing w:after="0" w:line="454" w:lineRule="auto"/>
        <w:tabs>
          <w:tab w:leader="none" w:pos="3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___________</w:t>
      </w:r>
    </w:p>
    <w:p>
      <w:pPr>
        <w:ind w:left="4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ectPr>
          <w:pgSz w:w="11900" w:h="16838" w:orient="portrait"/>
          <w:cols w:equalWidth="0" w:num="1">
            <w:col w:w="11420"/>
          </w:cols>
          <w:pgMar w:left="240" w:top="220" w:right="239" w:bottom="1440" w:gutter="0" w:footer="0" w:header="0"/>
        </w:sectPr>
      </w:pPr>
    </w:p>
    <w:p>
      <w:pPr>
        <w:spacing w:after="0" w:line="398" w:lineRule="exact"/>
        <w:rPr>
          <w:sz w:val="24"/>
          <w:szCs w:val="24"/>
          <w:color w:val="auto"/>
        </w:rPr>
      </w:pPr>
    </w:p>
    <w:p>
      <w:pPr>
        <w:jc w:val="center"/>
        <w:ind w:left="1040"/>
        <w:spacing w:after="0"/>
        <w:rPr>
          <w:sz w:val="20"/>
          <w:szCs w:val="20"/>
          <w:color w:val="auto"/>
        </w:rPr>
      </w:pPr>
      <w:r>
        <w:rPr>
          <w:rFonts w:ascii="Arial" w:cs="Arial" w:eastAsia="Arial" w:hAnsi="Arial"/>
          <w:sz w:val="18"/>
          <w:szCs w:val="18"/>
          <w:b w:val="1"/>
          <w:bCs w:val="1"/>
          <w:color w:val="auto"/>
        </w:rPr>
        <w:t>Florida</w:t>
      </w:r>
    </w:p>
    <w:p>
      <w:pPr>
        <w:spacing w:after="0" w:line="67" w:lineRule="exact"/>
        <w:rPr>
          <w:sz w:val="24"/>
          <w:szCs w:val="24"/>
          <w:color w:val="auto"/>
        </w:rPr>
      </w:pPr>
    </w:p>
    <w:p>
      <w:pPr>
        <w:jc w:val="both"/>
        <w:ind w:left="1140" w:right="100" w:firstLine="38"/>
        <w:spacing w:after="0" w:line="342"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left="1040"/>
        <w:spacing w:after="0"/>
        <w:rPr>
          <w:sz w:val="20"/>
          <w:szCs w:val="20"/>
          <w:color w:val="auto"/>
        </w:rPr>
      </w:pPr>
      <w:r>
        <w:rPr>
          <w:rFonts w:ascii="Arial" w:cs="Arial" w:eastAsia="Arial" w:hAnsi="Arial"/>
          <w:sz w:val="18"/>
          <w:szCs w:val="18"/>
          <w:color w:val="auto"/>
        </w:rPr>
        <w:t>Title of each class</w:t>
      </w:r>
    </w:p>
    <w:p>
      <w:pPr>
        <w:spacing w:after="0" w:line="171" w:lineRule="exact"/>
        <w:rPr>
          <w:sz w:val="24"/>
          <w:szCs w:val="24"/>
          <w:color w:val="auto"/>
        </w:rPr>
      </w:pPr>
    </w:p>
    <w:p>
      <w:pPr>
        <w:jc w:val="center"/>
        <w:ind w:left="1040"/>
        <w:spacing w:after="0"/>
        <w:rPr>
          <w:sz w:val="20"/>
          <w:szCs w:val="20"/>
          <w:color w:val="auto"/>
        </w:rPr>
      </w:pPr>
      <w:r>
        <w:rPr>
          <w:rFonts w:ascii="Arial" w:cs="Arial" w:eastAsia="Arial" w:hAnsi="Arial"/>
          <w:sz w:val="16"/>
          <w:szCs w:val="16"/>
          <w:color w:val="auto"/>
        </w:rPr>
        <w:t>Common Stock , $0.01 par value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220"/>
        <w:spacing w:after="0"/>
        <w:rPr>
          <w:sz w:val="20"/>
          <w:szCs w:val="20"/>
          <w:color w:val="auto"/>
        </w:rPr>
      </w:pPr>
      <w:r>
        <w:rPr>
          <w:rFonts w:ascii="Arial" w:cs="Arial" w:eastAsia="Arial" w:hAnsi="Arial"/>
          <w:sz w:val="17"/>
          <w:szCs w:val="17"/>
          <w:color w:val="auto"/>
        </w:rPr>
        <w:t>(Exact name of registrant as specified in its charter)</w:t>
      </w:r>
    </w:p>
    <w:p>
      <w:pPr>
        <w:spacing w:after="0" w:line="16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9800 N.W. 41st Street, Miami, Florida 33178</w:t>
      </w:r>
    </w:p>
    <w:p>
      <w:pPr>
        <w:spacing w:after="0" w:line="175" w:lineRule="exact"/>
        <w:rPr>
          <w:sz w:val="24"/>
          <w:szCs w:val="24"/>
          <w:color w:val="auto"/>
        </w:rPr>
      </w:pPr>
    </w:p>
    <w:p>
      <w:pPr>
        <w:ind w:left="160"/>
        <w:spacing w:after="0"/>
        <w:rPr>
          <w:sz w:val="20"/>
          <w:szCs w:val="20"/>
          <w:color w:val="auto"/>
        </w:rPr>
      </w:pPr>
      <w:r>
        <w:rPr>
          <w:rFonts w:ascii="Arial" w:cs="Arial" w:eastAsia="Arial" w:hAnsi="Arial"/>
          <w:sz w:val="17"/>
          <w:szCs w:val="17"/>
          <w:color w:val="auto"/>
        </w:rPr>
        <w:t>(Address of Principal Executive Offices) (Zip Code)</w:t>
      </w:r>
    </w:p>
    <w:p>
      <w:pPr>
        <w:spacing w:after="0" w:line="183" w:lineRule="exact"/>
        <w:rPr>
          <w:sz w:val="24"/>
          <w:szCs w:val="24"/>
          <w:color w:val="auto"/>
        </w:rPr>
      </w:pPr>
    </w:p>
    <w:p>
      <w:pPr>
        <w:ind w:left="160"/>
        <w:spacing w:after="0"/>
        <w:rPr>
          <w:sz w:val="20"/>
          <w:szCs w:val="20"/>
          <w:color w:val="auto"/>
        </w:rPr>
      </w:pPr>
      <w:r>
        <w:rPr>
          <w:rFonts w:ascii="Arial" w:cs="Arial" w:eastAsia="Arial" w:hAnsi="Arial"/>
          <w:sz w:val="17"/>
          <w:szCs w:val="17"/>
          <w:color w:val="auto"/>
        </w:rPr>
        <w:t>Registrant’s telephone number, including area code:</w:t>
      </w:r>
    </w:p>
    <w:p>
      <w:pPr>
        <w:spacing w:after="0" w:line="71" w:lineRule="exact"/>
        <w:rPr>
          <w:sz w:val="24"/>
          <w:szCs w:val="24"/>
          <w:color w:val="auto"/>
        </w:rPr>
      </w:pPr>
    </w:p>
    <w:p>
      <w:pPr>
        <w:ind w:left="1800" w:hanging="272"/>
        <w:spacing w:after="0"/>
        <w:tabs>
          <w:tab w:leader="none" w:pos="1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305 ) 428-8000</w:t>
      </w:r>
    </w:p>
    <w:p>
      <w:pPr>
        <w:spacing w:after="0" w:line="6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Trading Symbol (s)</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INT</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59-2459427</w:t>
      </w:r>
    </w:p>
    <w:p>
      <w:pPr>
        <w:spacing w:after="0" w:line="67" w:lineRule="exact"/>
        <w:rPr>
          <w:sz w:val="24"/>
          <w:szCs w:val="24"/>
          <w:color w:val="auto"/>
        </w:rPr>
      </w:pPr>
    </w:p>
    <w:p>
      <w:pPr>
        <w:ind w:left="6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ind w:left="56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Name of each exchange on which</w:t>
      </w:r>
    </w:p>
    <w:p>
      <w:pPr>
        <w:spacing w:after="0" w:line="46"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registered</w:t>
      </w:r>
    </w:p>
    <w:p>
      <w:pPr>
        <w:spacing w:after="0" w:line="4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3420" w:space="220"/>
            <w:col w:w="4120" w:space="180"/>
            <w:col w:w="3480"/>
          </w:cols>
          <w:pgMar w:left="240" w:top="220" w:right="239" w:bottom="144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right="80" w:firstLine="243"/>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registrant had a total of 65,381,871 shares of common stock, par value $0.01 per share, issued and outstanding as of July 18,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2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r>
      <w:tr>
        <w:trPr>
          <w:trHeight w:val="554"/>
        </w:trPr>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58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0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2019 and December 31, 2018</w:t>
              </w:r>
            </w:hyperlink>
          </w:p>
        </w:tc>
        <w:tc>
          <w:tcPr>
            <w:tcW w:w="3940" w:type="dxa"/>
            <w:vAlign w:val="bottom"/>
            <w:gridSpan w:val="5"/>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for the Three and Six Months ended June 30, 2019 and 2018</w:t>
              </w:r>
            </w:hyperlink>
          </w:p>
        </w:tc>
        <w:tc>
          <w:tcPr>
            <w:tcW w:w="200" w:type="dxa"/>
            <w:vAlign w:val="bottom"/>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9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Shareholders’ Equity for the Three and Six Months ended June 30, 2019 and 2018</w:t>
              </w:r>
            </w:hyperlink>
          </w:p>
        </w:tc>
        <w:tc>
          <w:tcPr>
            <w:tcW w:w="1280" w:type="dxa"/>
            <w:vAlign w:val="bottom"/>
            <w:gridSpan w:val="2"/>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Six Months ended June 30, 2019 and 2018</w:t>
              </w:r>
            </w:hyperlink>
          </w:p>
        </w:tc>
        <w:tc>
          <w:tcPr>
            <w:tcW w:w="4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the Consolidated Financial Statements</w:t>
              </w:r>
            </w:hyperlink>
          </w:p>
        </w:tc>
        <w:tc>
          <w:tcPr>
            <w:tcW w:w="3080" w:type="dxa"/>
            <w:vAlign w:val="bottom"/>
            <w:tcBorders>
              <w:top w:val="single" w:sz="8" w:color="0000EE"/>
            </w:tcBorders>
            <w:gridSpan w:val="5"/>
          </w:tcPr>
          <w:p>
            <w:pPr>
              <w:spacing w:after="0"/>
              <w:rPr>
                <w:sz w:val="21"/>
                <w:szCs w:val="21"/>
                <w:color w:val="auto"/>
              </w:rPr>
            </w:pPr>
          </w:p>
        </w:tc>
        <w:tc>
          <w:tcPr>
            <w:tcW w:w="2740" w:type="dxa"/>
            <w:vAlign w:val="bottom"/>
            <w:gridSpan w:val="3"/>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40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780" w:type="dxa"/>
            <w:vAlign w:val="bottom"/>
            <w:gridSpan w:val="4"/>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400" w:type="dxa"/>
            <w:vAlign w:val="bottom"/>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7460" w:type="dxa"/>
            <w:vAlign w:val="bottom"/>
            <w:gridSpan w:val="10"/>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884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900" w:type="dxa"/>
            <w:vAlign w:val="bottom"/>
            <w:gridSpan w:val="11"/>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4880" w:type="dxa"/>
            <w:vAlign w:val="bottom"/>
            <w:gridSpan w:val="7"/>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924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40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520"/>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bl>
    <w:p>
      <w:pPr>
        <w:sectPr>
          <w:pgSz w:w="11900" w:h="16838" w:orient="portrait"/>
          <w:cols w:equalWidth="0" w:num="1">
            <w:col w:w="11400"/>
          </w:cols>
          <w:pgMar w:left="240" w:top="36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0"/>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91"/>
              </w:rPr>
              <w:t>World Fuel Services Corporation</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87"/>
              </w:rPr>
              <w:t>Consolidated Balance Sheets</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1"/>
              </w:rPr>
              <w:t>(Unaudited - In millions, except per share data)</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8"/>
              </w:rPr>
              <w:t>2,747.9</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2,739.6</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555.8</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523.1</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70.6</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65.7</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Other current assets</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288.9</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279.5</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3,925.0</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3,974.8</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359.3</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350.3</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852.7</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616.4</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499.0</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5,751.2</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5,676.9</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Current maturities of long-term debt and finance leases</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16.8</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41.1</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2,441.4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2,399.6</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137.8</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118.2</w:t>
            </w:r>
          </w:p>
        </w:tc>
      </w:tr>
      <w:tr>
        <w:trPr>
          <w:trHeight w:val="270"/>
        </w:trPr>
        <w:tc>
          <w:tcPr>
            <w:tcW w:w="76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377.0</w:t>
            </w:r>
          </w:p>
        </w:tc>
      </w:tr>
      <w:tr>
        <w:trPr>
          <w:trHeight w:val="264"/>
        </w:trPr>
        <w:tc>
          <w:tcPr>
            <w:tcW w:w="7660" w:type="dxa"/>
            <w:vAlign w:val="bottom"/>
            <w:gridSpan w:val="3"/>
          </w:tcPr>
          <w:p>
            <w:pPr>
              <w:ind w:left="280"/>
              <w:spacing w:after="0"/>
              <w:rPr>
                <w:sz w:val="20"/>
                <w:szCs w:val="20"/>
                <w:color w:val="auto"/>
              </w:rPr>
            </w:pPr>
            <w:r>
              <w:rPr>
                <w:rFonts w:ascii="Arial" w:cs="Arial" w:eastAsia="Arial" w:hAnsi="Arial"/>
                <w:sz w:val="14"/>
                <w:szCs w:val="14"/>
                <w:color w:val="auto"/>
              </w:rPr>
              <w:t>Total current liabilities</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8"/>
              </w:rPr>
              <w:t>2,902.3</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2,935.9</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666.5</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659.9</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202.7</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194.6</w:t>
            </w:r>
          </w:p>
        </w:tc>
      </w:tr>
      <w:tr>
        <w:trPr>
          <w:trHeight w:val="270"/>
        </w:trPr>
        <w:tc>
          <w:tcPr>
            <w:tcW w:w="76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2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54.9</w:t>
            </w:r>
          </w:p>
        </w:tc>
      </w:tr>
      <w:tr>
        <w:trPr>
          <w:trHeight w:val="30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3,935.6</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3,845.3</w:t>
            </w:r>
          </w:p>
        </w:tc>
      </w:tr>
      <w:tr>
        <w:trPr>
          <w:trHeight w:val="25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World Fuel shareholders' equity:</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9"/>
              </w:rPr>
              <w:t>Common stock, $0.01 par value; 100.0 shares authorized, 65.2 and 67.0 issued and outstanding as of June 30, 2019 and</w:t>
            </w: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4"/>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December 31, 2018, respectively</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Capital in excess of par value</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280.7</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340.4</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1,669.7</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1,606.1</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(151.6)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World Fuel shareholders' equity</w:t>
            </w:r>
          </w:p>
        </w:tc>
        <w:tc>
          <w:tcPr>
            <w:tcW w:w="1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1,799.4</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1,815.4</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1,815.6</w:t>
            </w:r>
          </w:p>
        </w:tc>
        <w:tc>
          <w:tcPr>
            <w:tcW w:w="5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1,831.6</w:t>
            </w:r>
          </w:p>
        </w:tc>
      </w:tr>
      <w:tr>
        <w:trPr>
          <w:trHeight w:val="26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 and equity</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5,751.2</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5,676.9</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900" w:type="dxa"/>
            <w:vAlign w:val="bottom"/>
            <w:gridSpan w:val="3"/>
          </w:tcPr>
          <w:p>
            <w:pPr>
              <w:jc w:val="right"/>
              <w:ind w:right="74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9,459.4</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10,150.8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18,138.2</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19,332.2</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9,190.8</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9,904.7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17,618.5</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18,842.6</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268.6</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519.7</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489.6</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113.9</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224.0</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224.1</w:t>
            </w: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79.5</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150.1</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147.2</w:t>
            </w:r>
          </w:p>
        </w:tc>
      </w:tr>
      <w:tr>
        <w:trPr>
          <w:trHeight w:val="264"/>
        </w:trPr>
        <w:tc>
          <w:tcPr>
            <w:tcW w:w="47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193.4</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374.1</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371.3</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75.2</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118.3</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3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(39.6)</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5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5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64"/>
        </w:trPr>
        <w:tc>
          <w:tcPr>
            <w:tcW w:w="4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57.6</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109.0</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80.2</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34.0</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74.9</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37.0</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74.2</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0.56</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0.89</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66.7</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66.9</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0.55</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0.88</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67.0</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67.2</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67.9</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37.6</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74.9</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60.5</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3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16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Cash flow hedges, net of income tax benefit of $1.1 and net of income tax</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49"/>
        </w:trPr>
        <w:tc>
          <w:tcPr>
            <w:tcW w:w="4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 of $3.1 for the three months ended June 30, 2019 and 2018</w:t>
            </w: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9"/>
        </w:trPr>
        <w:tc>
          <w:tcPr>
            <w:tcW w:w="4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respectively and net of income tax benefit of $5.2 and $1.1 for the six</w:t>
            </w: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88"/>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months ended June 30, 2019 and 2018, respectively</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5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5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54.3</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28.7</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1440" w:type="dxa"/>
            <w:vAlign w:val="bottom"/>
            <w:gridSpan w:val="3"/>
            <w:vMerge w:val="restart"/>
          </w:tcPr>
          <w:p>
            <w:pPr>
              <w:jc w:val="right"/>
              <w:ind w:right="209"/>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10"/>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3"/>
                <w:szCs w:val="13"/>
                <w:color w:val="auto"/>
              </w:rPr>
            </w:pPr>
          </w:p>
        </w:tc>
        <w:tc>
          <w:tcPr>
            <w:tcW w:w="920" w:type="dxa"/>
            <w:vAlign w:val="bottom"/>
          </w:tcPr>
          <w:p>
            <w:pPr>
              <w:jc w:val="center"/>
              <w:ind w:right="90"/>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260" w:type="dxa"/>
            <w:vAlign w:val="bottom"/>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10"/>
              <w:spacing w:after="0" w:line="140" w:lineRule="exact"/>
              <w:rPr>
                <w:sz w:val="20"/>
                <w:szCs w:val="20"/>
                <w:color w:val="auto"/>
              </w:rPr>
            </w:pPr>
            <w:r>
              <w:rPr>
                <w:rFonts w:ascii="Arial" w:cs="Arial" w:eastAsia="Arial" w:hAnsi="Arial"/>
                <w:sz w:val="13"/>
                <w:szCs w:val="13"/>
                <w:b w:val="1"/>
                <w:bCs w:val="1"/>
                <w:color w:val="auto"/>
                <w:w w:val="88"/>
              </w:rPr>
              <w:t>Capital in</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0"/>
              <w:spacing w:after="0" w:line="140"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920" w:type="dxa"/>
            <w:vAlign w:val="bottom"/>
          </w:tcPr>
          <w:p>
            <w:pPr>
              <w:jc w:val="center"/>
              <w:ind w:right="90"/>
              <w:spacing w:after="0" w:line="140" w:lineRule="exact"/>
              <w:rPr>
                <w:sz w:val="20"/>
                <w:szCs w:val="20"/>
                <w:color w:val="auto"/>
              </w:rPr>
            </w:pPr>
            <w:r>
              <w:rPr>
                <w:rFonts w:ascii="Arial" w:cs="Arial" w:eastAsia="Arial" w:hAnsi="Arial"/>
                <w:sz w:val="13"/>
                <w:szCs w:val="13"/>
                <w:b w:val="1"/>
                <w:bCs w:val="1"/>
                <w:color w:val="auto"/>
                <w:w w:val="89"/>
              </w:rPr>
              <w:t>World Fuel</w:t>
            </w:r>
          </w:p>
        </w:tc>
        <w:tc>
          <w:tcPr>
            <w:tcW w:w="200" w:type="dxa"/>
            <w:vAlign w:val="bottom"/>
          </w:tcPr>
          <w:p>
            <w:pPr>
              <w:spacing w:after="0"/>
              <w:rPr>
                <w:sz w:val="12"/>
                <w:szCs w:val="12"/>
                <w:color w:val="auto"/>
              </w:rPr>
            </w:pPr>
          </w:p>
        </w:tc>
        <w:tc>
          <w:tcPr>
            <w:tcW w:w="1040" w:type="dxa"/>
            <w:vAlign w:val="bottom"/>
          </w:tcPr>
          <w:p>
            <w:pPr>
              <w:jc w:val="center"/>
              <w:ind w:right="90"/>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center"/>
              <w:ind w:right="110"/>
              <w:spacing w:after="0" w:line="110" w:lineRule="exact"/>
              <w:rPr>
                <w:sz w:val="20"/>
                <w:szCs w:val="20"/>
                <w:color w:val="auto"/>
              </w:rPr>
            </w:pPr>
            <w:r>
              <w:rPr>
                <w:rFonts w:ascii="Arial" w:cs="Arial" w:eastAsia="Arial" w:hAnsi="Arial"/>
                <w:sz w:val="12"/>
                <w:szCs w:val="12"/>
                <w:b w:val="1"/>
                <w:bCs w:val="1"/>
                <w:color w:val="auto"/>
                <w:w w:val="85"/>
              </w:rPr>
              <w:t>Excess of</w:t>
            </w:r>
          </w:p>
        </w:tc>
        <w:tc>
          <w:tcPr>
            <w:tcW w:w="200" w:type="dxa"/>
            <w:vAlign w:val="bottom"/>
          </w:tcPr>
          <w:p>
            <w:pPr>
              <w:spacing w:after="0"/>
              <w:rPr>
                <w:sz w:val="9"/>
                <w:szCs w:val="9"/>
                <w:color w:val="auto"/>
              </w:rPr>
            </w:pPr>
          </w:p>
        </w:tc>
        <w:tc>
          <w:tcPr>
            <w:tcW w:w="700" w:type="dxa"/>
            <w:vAlign w:val="bottom"/>
          </w:tcPr>
          <w:p>
            <w:pPr>
              <w:jc w:val="right"/>
              <w:ind w:right="129"/>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13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00" w:type="dxa"/>
            <w:vAlign w:val="bottom"/>
          </w:tcPr>
          <w:p>
            <w:pPr>
              <w:spacing w:after="0"/>
              <w:rPr>
                <w:sz w:val="9"/>
                <w:szCs w:val="9"/>
                <w:color w:val="auto"/>
              </w:rPr>
            </w:pPr>
          </w:p>
        </w:tc>
        <w:tc>
          <w:tcPr>
            <w:tcW w:w="920" w:type="dxa"/>
            <w:vAlign w:val="bottom"/>
          </w:tcPr>
          <w:p>
            <w:pPr>
              <w:jc w:val="center"/>
              <w:ind w:right="70"/>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200" w:type="dxa"/>
            <w:vAlign w:val="bottom"/>
          </w:tcPr>
          <w:p>
            <w:pPr>
              <w:spacing w:after="0"/>
              <w:rPr>
                <w:sz w:val="9"/>
                <w:szCs w:val="9"/>
                <w:color w:val="auto"/>
              </w:rPr>
            </w:pPr>
          </w:p>
        </w:tc>
        <w:tc>
          <w:tcPr>
            <w:tcW w:w="1040" w:type="dxa"/>
            <w:vAlign w:val="bottom"/>
          </w:tcPr>
          <w:p>
            <w:pPr>
              <w:jc w:val="center"/>
              <w:ind w:right="110"/>
              <w:spacing w:after="0" w:line="110" w:lineRule="exact"/>
              <w:rPr>
                <w:sz w:val="20"/>
                <w:szCs w:val="20"/>
                <w:color w:val="auto"/>
              </w:rPr>
            </w:pPr>
            <w:r>
              <w:rPr>
                <w:rFonts w:ascii="Arial" w:cs="Arial" w:eastAsia="Arial" w:hAnsi="Arial"/>
                <w:sz w:val="12"/>
                <w:szCs w:val="12"/>
                <w:b w:val="1"/>
                <w:bCs w:val="1"/>
                <w:color w:val="auto"/>
                <w:w w:val="96"/>
              </w:rPr>
              <w:t>Interest</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5"/>
              </w:rPr>
              <w:t>Amount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7"/>
              </w:rPr>
              <w:t>Par Value</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Balance as of December 31, 2018</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1,606.1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(131.7)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1,815.4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1,831.6</w:t>
            </w:r>
          </w:p>
        </w:tc>
        <w:tc>
          <w:tcPr>
            <w:tcW w:w="0" w:type="dxa"/>
            <w:vAlign w:val="bottom"/>
          </w:tcPr>
          <w:p>
            <w:pPr>
              <w:spacing w:after="0"/>
              <w:rPr>
                <w:sz w:val="1"/>
                <w:szCs w:val="1"/>
                <w:color w:val="auto"/>
              </w:rPr>
            </w:pPr>
          </w:p>
        </w:tc>
      </w:tr>
      <w:tr>
        <w:trPr>
          <w:trHeight w:val="264"/>
        </w:trPr>
        <w:tc>
          <w:tcPr>
            <w:tcW w:w="326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37.2</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37.2</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3260" w:type="dxa"/>
            <w:vAlign w:val="bottom"/>
          </w:tcPr>
          <w:p>
            <w:pPr>
              <w:ind w:left="3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Issuance (cancellation) of common stock related</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60" w:type="dxa"/>
            <w:vAlign w:val="bottom"/>
          </w:tcPr>
          <w:p>
            <w:pPr>
              <w:ind w:left="340"/>
              <w:spacing w:after="0" w:line="157" w:lineRule="exact"/>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ind w:left="3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tcPr>
          <w:p>
            <w:pPr>
              <w:ind w:left="340"/>
              <w:spacing w:after="0"/>
              <w:rPr>
                <w:sz w:val="20"/>
                <w:szCs w:val="20"/>
                <w:color w:val="auto"/>
              </w:rPr>
            </w:pPr>
            <w:r>
              <w:rPr>
                <w:rFonts w:ascii="Arial" w:cs="Arial" w:eastAsia="Arial" w:hAnsi="Arial"/>
                <w:sz w:val="14"/>
                <w:szCs w:val="14"/>
                <w:color w:val="auto"/>
              </w:rPr>
              <w:t>taxes related to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3260" w:type="dxa"/>
            <w:vAlign w:val="bottom"/>
          </w:tcPr>
          <w:p>
            <w:pPr>
              <w:ind w:left="340"/>
              <w:spacing w:after="0"/>
              <w:rPr>
                <w:sz w:val="20"/>
                <w:szCs w:val="20"/>
                <w:color w:val="auto"/>
              </w:rPr>
            </w:pPr>
            <w:r>
              <w:rPr>
                <w:rFonts w:ascii="Arial" w:cs="Arial" w:eastAsia="Arial" w:hAnsi="Arial"/>
                <w:sz w:val="14"/>
                <w:szCs w:val="14"/>
                <w:color w:val="auto"/>
              </w:rPr>
              <w:t>Other</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Balance as of March 31, 2019</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343.0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1,639.3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(142.7)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1,840.3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1,855.8</w:t>
            </w:r>
          </w:p>
        </w:tc>
        <w:tc>
          <w:tcPr>
            <w:tcW w:w="0" w:type="dxa"/>
            <w:vAlign w:val="bottom"/>
          </w:tcPr>
          <w:p>
            <w:pPr>
              <w:spacing w:after="0"/>
              <w:rPr>
                <w:sz w:val="1"/>
                <w:szCs w:val="1"/>
                <w:color w:val="auto"/>
              </w:rPr>
            </w:pPr>
          </w:p>
        </w:tc>
      </w:tr>
      <w:tr>
        <w:trPr>
          <w:trHeight w:val="264"/>
        </w:trPr>
        <w:tc>
          <w:tcPr>
            <w:tcW w:w="326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37.0</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37.0</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64"/>
        </w:trPr>
        <w:tc>
          <w:tcPr>
            <w:tcW w:w="3260" w:type="dxa"/>
            <w:vAlign w:val="bottom"/>
          </w:tcPr>
          <w:p>
            <w:pPr>
              <w:ind w:left="3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Issuance (cancellation) of common stock related</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7"/>
        </w:trPr>
        <w:tc>
          <w:tcPr>
            <w:tcW w:w="3260" w:type="dxa"/>
            <w:vAlign w:val="bottom"/>
          </w:tcPr>
          <w:p>
            <w:pPr>
              <w:ind w:left="340"/>
              <w:spacing w:after="0" w:line="157" w:lineRule="exact"/>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ind w:left="3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tcPr>
          <w:p>
            <w:pPr>
              <w:ind w:left="340"/>
              <w:spacing w:after="0"/>
              <w:rPr>
                <w:sz w:val="20"/>
                <w:szCs w:val="20"/>
                <w:color w:val="auto"/>
              </w:rPr>
            </w:pPr>
            <w:r>
              <w:rPr>
                <w:rFonts w:ascii="Arial" w:cs="Arial" w:eastAsia="Arial" w:hAnsi="Arial"/>
                <w:sz w:val="14"/>
                <w:szCs w:val="14"/>
                <w:color w:val="auto"/>
              </w:rPr>
              <w:t>taxes related to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(65.4)</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(65.4)</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Balance as of June 30, 2019</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280.7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1,669.7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1,799.4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1,815.6</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52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10"/>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3"/>
                <w:szCs w:val="13"/>
                <w:color w:val="auto"/>
              </w:rPr>
            </w:pPr>
          </w:p>
        </w:tc>
        <w:tc>
          <w:tcPr>
            <w:tcW w:w="920" w:type="dxa"/>
            <w:vAlign w:val="bottom"/>
          </w:tcPr>
          <w:p>
            <w:pPr>
              <w:jc w:val="center"/>
              <w:ind w:right="90"/>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0"/>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0"/>
              <w:spacing w:after="0" w:line="140"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920" w:type="dxa"/>
            <w:vAlign w:val="bottom"/>
          </w:tcPr>
          <w:p>
            <w:pPr>
              <w:jc w:val="center"/>
              <w:ind w:right="90"/>
              <w:spacing w:after="0" w:line="140" w:lineRule="exact"/>
              <w:rPr>
                <w:sz w:val="20"/>
                <w:szCs w:val="20"/>
                <w:color w:val="auto"/>
              </w:rPr>
            </w:pPr>
            <w:r>
              <w:rPr>
                <w:rFonts w:ascii="Arial" w:cs="Arial" w:eastAsia="Arial" w:hAnsi="Arial"/>
                <w:sz w:val="13"/>
                <w:szCs w:val="13"/>
                <w:b w:val="1"/>
                <w:bCs w:val="1"/>
                <w:color w:val="auto"/>
                <w:w w:val="89"/>
              </w:rPr>
              <w:t>World Fuel</w:t>
            </w:r>
          </w:p>
        </w:tc>
        <w:tc>
          <w:tcPr>
            <w:tcW w:w="200" w:type="dxa"/>
            <w:vAlign w:val="bottom"/>
          </w:tcPr>
          <w:p>
            <w:pPr>
              <w:spacing w:after="0"/>
              <w:rPr>
                <w:sz w:val="12"/>
                <w:szCs w:val="12"/>
                <w:color w:val="auto"/>
              </w:rPr>
            </w:pPr>
          </w:p>
        </w:tc>
        <w:tc>
          <w:tcPr>
            <w:tcW w:w="1040" w:type="dxa"/>
            <w:vAlign w:val="bottom"/>
          </w:tcPr>
          <w:p>
            <w:pPr>
              <w:jc w:val="center"/>
              <w:ind w:right="90"/>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0"/>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720" w:type="dxa"/>
            <w:vAlign w:val="bottom"/>
          </w:tcPr>
          <w:p>
            <w:pPr>
              <w:jc w:val="right"/>
              <w:ind w:right="129"/>
              <w:spacing w:after="0" w:line="110" w:lineRule="exact"/>
              <w:rPr>
                <w:sz w:val="20"/>
                <w:szCs w:val="20"/>
                <w:color w:val="auto"/>
              </w:rPr>
            </w:pPr>
            <w:r>
              <w:rPr>
                <w:rFonts w:ascii="Arial" w:cs="Arial" w:eastAsia="Arial" w:hAnsi="Arial"/>
                <w:sz w:val="12"/>
                <w:szCs w:val="12"/>
                <w:b w:val="1"/>
                <w:bCs w:val="1"/>
                <w:color w:val="auto"/>
                <w:w w:val="98"/>
              </w:rPr>
              <w:t>Retained</w:t>
            </w:r>
          </w:p>
        </w:tc>
        <w:tc>
          <w:tcPr>
            <w:tcW w:w="220" w:type="dxa"/>
            <w:vAlign w:val="bottom"/>
          </w:tcPr>
          <w:p>
            <w:pPr>
              <w:spacing w:after="0"/>
              <w:rPr>
                <w:sz w:val="9"/>
                <w:szCs w:val="9"/>
                <w:color w:val="auto"/>
              </w:rPr>
            </w:pPr>
          </w:p>
        </w:tc>
        <w:tc>
          <w:tcPr>
            <w:tcW w:w="1120" w:type="dxa"/>
            <w:vAlign w:val="bottom"/>
          </w:tcPr>
          <w:p>
            <w:pPr>
              <w:jc w:val="center"/>
              <w:ind w:right="13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00" w:type="dxa"/>
            <w:vAlign w:val="bottom"/>
          </w:tcPr>
          <w:p>
            <w:pPr>
              <w:spacing w:after="0"/>
              <w:rPr>
                <w:sz w:val="9"/>
                <w:szCs w:val="9"/>
                <w:color w:val="auto"/>
              </w:rPr>
            </w:pPr>
          </w:p>
        </w:tc>
        <w:tc>
          <w:tcPr>
            <w:tcW w:w="920" w:type="dxa"/>
            <w:vAlign w:val="bottom"/>
          </w:tcPr>
          <w:p>
            <w:pPr>
              <w:jc w:val="center"/>
              <w:ind w:right="70"/>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200" w:type="dxa"/>
            <w:vAlign w:val="bottom"/>
          </w:tcPr>
          <w:p>
            <w:pPr>
              <w:spacing w:after="0"/>
              <w:rPr>
                <w:sz w:val="9"/>
                <w:szCs w:val="9"/>
                <w:color w:val="auto"/>
              </w:rPr>
            </w:pPr>
          </w:p>
        </w:tc>
        <w:tc>
          <w:tcPr>
            <w:tcW w:w="1040" w:type="dxa"/>
            <w:vAlign w:val="bottom"/>
          </w:tcPr>
          <w:p>
            <w:pPr>
              <w:jc w:val="center"/>
              <w:ind w:right="110"/>
              <w:spacing w:after="0" w:line="110" w:lineRule="exact"/>
              <w:rPr>
                <w:sz w:val="20"/>
                <w:szCs w:val="20"/>
                <w:color w:val="auto"/>
              </w:rPr>
            </w:pPr>
            <w:r>
              <w:rPr>
                <w:rFonts w:ascii="Arial" w:cs="Arial" w:eastAsia="Arial" w:hAnsi="Arial"/>
                <w:sz w:val="12"/>
                <w:szCs w:val="12"/>
                <w:b w:val="1"/>
                <w:bCs w:val="1"/>
                <w:color w:val="auto"/>
                <w:w w:val="96"/>
              </w:rPr>
              <w:t>Interest</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December 31, 2017</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1,492.8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1,721.9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1,738.0</w:t>
            </w:r>
          </w:p>
        </w:tc>
        <w:tc>
          <w:tcPr>
            <w:tcW w:w="0" w:type="dxa"/>
            <w:vAlign w:val="bottom"/>
          </w:tcPr>
          <w:p>
            <w:pPr>
              <w:spacing w:after="0"/>
              <w:rPr>
                <w:sz w:val="1"/>
                <w:szCs w:val="1"/>
                <w:color w:val="auto"/>
              </w:rPr>
            </w:pPr>
          </w:p>
        </w:tc>
      </w:tr>
      <w:tr>
        <w:trPr>
          <w:trHeight w:val="264"/>
        </w:trPr>
        <w:tc>
          <w:tcPr>
            <w:tcW w:w="310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3100" w:type="dxa"/>
            <w:vAlign w:val="bottom"/>
          </w:tcPr>
          <w:p>
            <w:pPr>
              <w:ind w:left="300"/>
              <w:spacing w:after="0"/>
              <w:rPr>
                <w:sz w:val="20"/>
                <w:szCs w:val="20"/>
                <w:color w:val="auto"/>
              </w:rPr>
            </w:pPr>
            <w:r>
              <w:rPr>
                <w:rFonts w:ascii="Arial" w:cs="Arial" w:eastAsia="Arial" w:hAnsi="Arial"/>
                <w:sz w:val="14"/>
                <w:szCs w:val="14"/>
                <w:color w:val="auto"/>
                <w:w w:val="98"/>
              </w:rPr>
              <w:t>Amortization of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3100" w:type="dxa"/>
            <w:vAlign w:val="bottom"/>
          </w:tcPr>
          <w:p>
            <w:pPr>
              <w:ind w:left="300"/>
              <w:spacing w:after="0" w:line="157" w:lineRule="exact"/>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300"/>
              <w:spacing w:after="0" w:line="149" w:lineRule="exact"/>
              <w:rPr>
                <w:sz w:val="20"/>
                <w:szCs w:val="20"/>
                <w:color w:val="auto"/>
              </w:rPr>
            </w:pPr>
            <w:r>
              <w:rPr>
                <w:rFonts w:ascii="Arial" w:cs="Arial" w:eastAsia="Arial" w:hAnsi="Arial"/>
                <w:sz w:val="14"/>
                <w:szCs w:val="14"/>
                <w:color w:val="auto"/>
                <w:w w:val="99"/>
              </w:rPr>
              <w:t>employees to satisfy the required withholding</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comprehensive income</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7"/>
        </w:trPr>
        <w:tc>
          <w:tcPr>
            <w:tcW w:w="3100" w:type="dxa"/>
            <w:vAlign w:val="bottom"/>
          </w:tcPr>
          <w:p>
            <w:pPr>
              <w:ind w:left="300"/>
              <w:spacing w:after="0" w:line="157" w:lineRule="exact"/>
              <w:rPr>
                <w:sz w:val="20"/>
                <w:szCs w:val="20"/>
                <w:color w:val="auto"/>
              </w:rPr>
            </w:pPr>
            <w:r>
              <w:rPr>
                <w:rFonts w:ascii="Arial" w:cs="Arial" w:eastAsia="Arial" w:hAnsi="Arial"/>
                <w:sz w:val="14"/>
                <w:szCs w:val="14"/>
                <w:color w:val="auto"/>
                <w:w w:val="96"/>
              </w:rPr>
              <w:t>Reclassification of certain tax effects from U.S.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300"/>
              <w:spacing w:after="0"/>
              <w:rPr>
                <w:sz w:val="20"/>
                <w:szCs w:val="20"/>
                <w:color w:val="auto"/>
              </w:rPr>
            </w:pPr>
            <w:r>
              <w:rPr>
                <w:rFonts w:ascii="Arial" w:cs="Arial" w:eastAsia="Arial" w:hAnsi="Arial"/>
                <w:sz w:val="14"/>
                <w:szCs w:val="14"/>
                <w:color w:val="auto"/>
              </w:rPr>
              <w:t>Tax Reform</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March 31, 2018</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358.6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1,521.6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1,755.1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1,771.0</w:t>
            </w:r>
          </w:p>
        </w:tc>
        <w:tc>
          <w:tcPr>
            <w:tcW w:w="0" w:type="dxa"/>
            <w:vAlign w:val="bottom"/>
          </w:tcPr>
          <w:p>
            <w:pPr>
              <w:spacing w:after="0"/>
              <w:rPr>
                <w:sz w:val="1"/>
                <w:szCs w:val="1"/>
                <w:color w:val="auto"/>
              </w:rPr>
            </w:pPr>
          </w:p>
        </w:tc>
      </w:tr>
      <w:tr>
        <w:trPr>
          <w:trHeight w:val="264"/>
        </w:trPr>
        <w:tc>
          <w:tcPr>
            <w:tcW w:w="310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28.7</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28.7</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3100" w:type="dxa"/>
            <w:vAlign w:val="bottom"/>
          </w:tcPr>
          <w:p>
            <w:pPr>
              <w:ind w:left="300"/>
              <w:spacing w:after="0"/>
              <w:rPr>
                <w:sz w:val="20"/>
                <w:szCs w:val="20"/>
                <w:color w:val="auto"/>
              </w:rPr>
            </w:pPr>
            <w:r>
              <w:rPr>
                <w:rFonts w:ascii="Arial" w:cs="Arial" w:eastAsia="Arial" w:hAnsi="Arial"/>
                <w:sz w:val="14"/>
                <w:szCs w:val="14"/>
                <w:color w:val="auto"/>
                <w:w w:val="98"/>
              </w:rPr>
              <w:t>Amortization of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3100" w:type="dxa"/>
            <w:vAlign w:val="bottom"/>
          </w:tcPr>
          <w:p>
            <w:pPr>
              <w:ind w:left="300"/>
              <w:spacing w:after="0" w:line="157" w:lineRule="exact"/>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300"/>
              <w:spacing w:after="0" w:line="149" w:lineRule="exact"/>
              <w:rPr>
                <w:sz w:val="20"/>
                <w:szCs w:val="20"/>
                <w:color w:val="auto"/>
              </w:rPr>
            </w:pPr>
            <w:r>
              <w:rPr>
                <w:rFonts w:ascii="Arial" w:cs="Arial" w:eastAsia="Arial" w:hAnsi="Arial"/>
                <w:sz w:val="14"/>
                <w:szCs w:val="14"/>
                <w:color w:val="auto"/>
                <w:w w:val="99"/>
              </w:rPr>
              <w:t>employees to satisfy the required withholding</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Other comprehensive income</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(20.6)</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(20.6)</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Balance as of June 30, 2018</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359.3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1,546.3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1,760.0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1,775.3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2019 , the Company's Board of Directors declared quarterly cash dividends of $0.06 and $0.10 per common share, representing $4.0 million and $6.6 million in total dividends, which were paid on April 12, 2019 and July 5, 2019, respectively. Dividend per share declared quarterly by the Company's Board of Directors during the six months ended June 30, 2018, were $0.06 per common share, representing $4.0 million and $4.1 million in total dividends, which were paid on April 6, 2018 and July 6, 2018,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Six Months Ended</w:t>
      </w:r>
    </w:p>
    <w:p>
      <w:pPr>
        <w:spacing w:after="0" w:line="10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75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74.9</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60.5</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43.1</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38.4</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6.4</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expense (benefit)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Foreign currency losses, net</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63"/>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Accounts receivable, net (reduced by beneficial interests received in exchange for accounts receivables sold of $121.8 and</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94"/>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$241.9 for the three and six months ended June 30, 2018, respectively.)</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5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(499.7)</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Short-term derivative assets, net</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167.6</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41.7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33.9</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70.0</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301.0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19.5</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(143.7)</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70"/>
        </w:trPr>
        <w:tc>
          <w:tcPr>
            <w:tcW w:w="7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64"/>
        </w:trPr>
        <w:tc>
          <w:tcPr>
            <w:tcW w:w="7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60.8</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135.8</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241.9</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199.5</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3,197.6</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2,875.0</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(3,218.6)</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(3,019.5)</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(184.8)</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the beginning of the period</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211.7</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372.3</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and cash equivalents, as of the end of the period</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218.1</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Cash dividends declared, but not yet paid, were $6.6 million and $4.1 million as of June 30, 2019 and 2018, respectively.</w:t>
      </w:r>
    </w:p>
    <w:p>
      <w:pPr>
        <w:spacing w:after="0" w:line="237"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11"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(“10-Q Report”) as “World Fuel,” “we,” “our” and “us.”</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prepared the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2018 Annual Report on Form 10-K (“2018 10-K Report”). Certain amounts in the consolidated financial statements and associated notes may not add due to rounding. All percentages have been calculated using unrounded amounts.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net income for the six months ending June 30, 2019 of $74.2 million, or $1.10 per diluted common share, includes a net discrete tax benefit of $3.2 million with respect to a foreign tax filing and $3.4 million of operating income ($2.3 million after-tax), which were recorded during the first quarter ending March 31, 2019, both of which should have been recognized in 2018. Excluding these misstatements, which we have determined were not material to the three months ending March 31, 2019 and the six months ending June 30, 2019 or 2018, our net income would have been $68.8 million, or $1.02 per diluted common share.</w:t>
      </w:r>
    </w:p>
    <w:p>
      <w:pPr>
        <w:spacing w:after="0" w:line="18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There have been no significant changes, other than those related to the adopted new accounting standards below, in the Company's accounting policies from those disclosed in our 2018 10</w:t>
      </w:r>
      <w:r>
        <w:rPr>
          <w:rFonts w:ascii="MS PGothic" w:cs="MS PGothic" w:eastAsia="MS PGothic" w:hAnsi="MS PGothic"/>
          <w:sz w:val="17"/>
          <w:szCs w:val="17"/>
          <w:color w:val="auto"/>
        </w:rPr>
        <w:t>‑</w:t>
      </w:r>
      <w:r>
        <w:rPr>
          <w:rFonts w:ascii="Arial" w:cs="Arial" w:eastAsia="Arial" w:hAnsi="Arial"/>
          <w:sz w:val="17"/>
          <w:szCs w:val="17"/>
          <w:color w:val="auto"/>
        </w:rPr>
        <w:t>K Report. The significant accounting policies we use for quarterly financial reporting are disclosed in Note 1 of the “Notes to the Consolidated Financial Statements” included in our 2018 10</w:t>
      </w:r>
      <w:r>
        <w:rPr>
          <w:rFonts w:ascii="MS PGothic" w:cs="MS PGothic" w:eastAsia="MS PGothic" w:hAnsi="MS PGothic"/>
          <w:sz w:val="17"/>
          <w:szCs w:val="17"/>
          <w:color w:val="auto"/>
        </w:rPr>
        <w:t>‑</w:t>
      </w:r>
      <w:r>
        <w:rPr>
          <w:rFonts w:ascii="Arial" w:cs="Arial" w:eastAsia="Arial" w:hAnsi="Arial"/>
          <w:sz w:val="17"/>
          <w:szCs w:val="17"/>
          <w:color w:val="auto"/>
        </w:rPr>
        <w:t>K Report, and in the adopted accounting standards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was issued. The primary objective of the new standard, which amends the existing lease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adds additional disclosures, is to increase transparency and comparability among organizations by recognizing nearly all lease assets and lease liabilities on the balance sheet, including operating leases that under the prior standard were off-balance sheet.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Topic 842 defines a lease as a contract that conveys the right to control the use of an identified asset for a period of time in exchange for consideration. Control over the use of the identified asset means that the customer has the right to obtain substantially all of the economic benefits from the use of the asset and the right to direct the use of the asset.</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ASU 2016-02 is effective for fiscal years beginning after December 15, 2018 (including interim periods within those periods) and early adoption is permitted. The Company adopted ASU 2016-02 in the first quarter of 2019 utilizing the modified retrospective transition method and applying the transition provisions at the effective date. We implemented the new standard using the package of practical expedients under the transition provisions that allows us not to reassess whether a contract contains a lease, how the lease is classified and if initial direct costs can be capitalized. For all the lessee arrangements, we have elected an accounting policy to combine non-lease components with the related lease components and treat the combined items as a lease for accounting purposes. Lastly, we have elected not to recognize the lease asset and related lease liability for leases with a lease term of 12 months or less.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the date of implementation on January 1, 2019, the impact of the adoption of the new lease standard resulted in the recognition of the right of use assets of $167.3 million and lease liability of $173.6 million on the Company’s consolidated balance sheet. The difference between the right of use assets and lease liabilities is primarily the result of accrued lease payments and cumulative lease prepayments as well as the remaining balance of lease incentives received. Subsequent to adoption, the Company does not anticipate the impact on its results of operations and cash flows to be material.</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In June 2016, ASU 2016-13 was issued.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will change how entities account for credit impairment from trade and other receivables, net investments arising from sales-type and direct financing leases, debt securities, purchased-credit impaired financial assets and other instruments in addition to loans. ASU 2018-19 issued in November 2018, clarifies that receivables arising from operating leases are not within the scope of Subtopic 326-20. For receivables and certain other instruments that are not measured at fair value, entities will be required to estimate expected credit losses. Under the expected loss model, an entity recognizes a loss upon initial recognition of the asset that reflects all future events that will lead to a loss being realized, regardless of whether it is probable that the future event will occur.</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amendments in this update are effective for fiscal years beginning after December 15, 2019, including interim periods within those fiscal years. Early adoption is permitted as of the fiscal years beginning after December 15, 2018, including interim periods within those fiscal years. An entity will apply most of the amendments in this update using a modified-retrospective approach through a cumulative-effect adjustment to retained earnings as of the beginning of the first reporting period in which the guidance is effective. We are currently evaluating the impact that the new standard would have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receivables purchase agreements (“RPAs”) with Wells Fargo and Citibank that allow for the sale of up to an aggregate limit of $725.0 million of our accounts receivable. For the six months ended June 30, 2019 and 2018, cash payments to the owners of accounts receivable were $4.2 billion and $4.0 billion respectively, and cash proceeds from the sale of accounts receivable were $4.2 billion and $3.9 billion, respectively. The fees and financing costs under the RPA were $13.3 million and $8.8 million for the six months ended June 30, 2019 and 2018, respectively. As of June 30, 2019 and December 31, 2018, our sold accounts receivable under the RPAs was $531.4 million and $508.2 million, respectively.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2018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2018, we completed one acquisition in the land segment. The financial position, results of operations and cash flows of the 2018 acquisition, has been included in our consolidated financial statements since its acquisition date and it did not have a material impact on our consolidated revenue and net income for the six months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land and marine fuel, to offer our customers fuel pricing alternatives to meet their needs and to mitigate the risk of fluctuations in foreign currency exchange rates. If the derivative instrument is not designated in a hedge relationship, changes in the estimated fair market value are recognized as a component of revenue, cost of revenue, or other income (expense) in the consolidated statements of income and comprehensive income.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The gains or losses on derivative instruments designated as cash flow hedges of forecasted transactions are initially reported as a component of accumulated other comprehensive income (AOCI) and subsequently reclassified into earnings once the future transactions affect earnings. Cash flows for our hedging instruments are classified in the same category as the underlying hedged items. If for any reason hedge accounting is discontinued, then any cash flows subsequent to the date of discontinuance will be classified in a manner consistent with the nature of the instrument.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Flow Hedges. </w:t>
      </w:r>
      <w:r>
        <w:rPr>
          <w:rFonts w:ascii="Arial" w:cs="Arial" w:eastAsia="Arial" w:hAnsi="Arial"/>
          <w:sz w:val="16"/>
          <w:szCs w:val="16"/>
          <w:color w:val="auto"/>
        </w:rPr>
        <w:t>Includes certain derivative contracts we execute to mitigate the risk of price or foreign currency volatility in forecasted transactions.</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swaps or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certain forward fixed price purchase and sale contracts, and for portfolio optimization. In addition, non-designated derivatives are held to hedge the risk of currency rate fluctuations.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ind w:left="360"/>
              <w:spacing w:after="0"/>
              <w:rPr>
                <w:sz w:val="20"/>
                <w:szCs w:val="20"/>
                <w:color w:val="auto"/>
              </w:rPr>
            </w:pPr>
            <w:r>
              <w:rPr>
                <w:rFonts w:ascii="Arial" w:cs="Arial" w:eastAsia="Arial" w:hAnsi="Arial"/>
                <w:sz w:val="14"/>
                <w:szCs w:val="14"/>
                <w:b w:val="1"/>
                <w:bCs w:val="1"/>
                <w:color w:val="auto"/>
              </w:rPr>
              <w:t>Gross Derivative Assets</w:t>
            </w:r>
          </w:p>
        </w:tc>
        <w:tc>
          <w:tcPr>
            <w:tcW w:w="240" w:type="dxa"/>
            <w:vAlign w:val="bottom"/>
          </w:tcPr>
          <w:p>
            <w:pPr>
              <w:spacing w:after="0"/>
              <w:rPr>
                <w:sz w:val="16"/>
                <w:szCs w:val="16"/>
                <w:color w:val="auto"/>
              </w:rPr>
            </w:pPr>
          </w:p>
        </w:tc>
        <w:tc>
          <w:tcPr>
            <w:tcW w:w="23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Gross Derivative Liabilities</w:t>
            </w:r>
          </w:p>
        </w:tc>
      </w:tr>
      <w:tr>
        <w:trPr>
          <w:trHeight w:val="203"/>
        </w:trPr>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spacing w:after="0"/>
              <w:rPr>
                <w:sz w:val="17"/>
                <w:szCs w:val="17"/>
                <w:color w:val="auto"/>
              </w:rPr>
            </w:pPr>
          </w:p>
        </w:tc>
      </w:tr>
      <w:tr>
        <w:trPr>
          <w:trHeight w:val="80"/>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52"/>
        </w:trPr>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1"/>
                <w:szCs w:val="21"/>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1"/>
                <w:szCs w:val="21"/>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r>
      <w:tr>
        <w:trPr>
          <w:trHeight w:val="276"/>
        </w:trPr>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190"/>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41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Consolidated Balance Sheets location</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56"/>
        </w:trPr>
        <w:tc>
          <w:tcPr>
            <w:tcW w:w="6080" w:type="dxa"/>
            <w:vAlign w:val="bottom"/>
            <w:gridSpan w:val="6"/>
            <w:shd w:val="clear" w:color="auto" w:fill="CCEEFF"/>
          </w:tcPr>
          <w:p>
            <w:pPr>
              <w:ind w:left="40"/>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6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8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122.5</w:t>
            </w:r>
          </w:p>
        </w:tc>
      </w:tr>
      <w:tr>
        <w:trPr>
          <w:trHeight w:val="80"/>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80"/>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50.3</w:t>
            </w:r>
          </w:p>
        </w:tc>
        <w:tc>
          <w:tcPr>
            <w:tcW w:w="3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59.4</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608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w:t>
            </w:r>
          </w:p>
        </w:tc>
      </w:tr>
      <w:tr>
        <w:trPr>
          <w:trHeight w:val="80"/>
        </w:trPr>
        <w:tc>
          <w:tcPr>
            <w:tcW w:w="40" w:type="dxa"/>
            <w:vAlign w:val="bottom"/>
            <w:shd w:val="clear" w:color="auto" w:fill="CCEEFF"/>
          </w:tcPr>
          <w:p>
            <w:pPr>
              <w:spacing w:after="0"/>
              <w:rPr>
                <w:sz w:val="6"/>
                <w:szCs w:val="6"/>
                <w:color w:val="auto"/>
              </w:rPr>
            </w:pPr>
          </w:p>
        </w:tc>
        <w:tc>
          <w:tcPr>
            <w:tcW w:w="284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284"/>
        </w:trPr>
        <w:tc>
          <w:tcPr>
            <w:tcW w:w="4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608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6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8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537.6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429.0</w:t>
            </w:r>
          </w:p>
        </w:tc>
      </w:tr>
      <w:tr>
        <w:trPr>
          <w:trHeight w:val="80"/>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r>
      <w:tr>
        <w:trPr>
          <w:trHeight w:val="80"/>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229.9</w:t>
            </w:r>
          </w:p>
        </w:tc>
        <w:tc>
          <w:tcPr>
            <w:tcW w:w="3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271.7</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126.4</w:t>
            </w:r>
          </w:p>
        </w:tc>
      </w:tr>
      <w:tr>
        <w:trPr>
          <w:trHeight w:val="80"/>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r>
      <w:tr>
        <w:trPr>
          <w:trHeight w:val="80"/>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652.9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335.5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635.8</w:t>
            </w:r>
          </w:p>
        </w:tc>
      </w:tr>
      <w:tr>
        <w:trPr>
          <w:trHeight w:val="80"/>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80"/>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3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80"/>
        </w:trPr>
        <w:tc>
          <w:tcPr>
            <w:tcW w:w="40" w:type="dxa"/>
            <w:vAlign w:val="bottom"/>
            <w:tcBorders>
              <w:bottom w:val="single" w:sz="8" w:color="CCEEFF"/>
            </w:tcBorders>
          </w:tcPr>
          <w:p>
            <w:pPr>
              <w:spacing w:after="0"/>
              <w:rPr>
                <w:sz w:val="6"/>
                <w:szCs w:val="6"/>
                <w:color w:val="auto"/>
              </w:rPr>
            </w:pPr>
          </w:p>
        </w:tc>
        <w:tc>
          <w:tcPr>
            <w:tcW w:w="186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80"/>
        </w:trPr>
        <w:tc>
          <w:tcPr>
            <w:tcW w:w="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6080" w:type="dxa"/>
            <w:vAlign w:val="bottom"/>
            <w:gridSpan w:val="6"/>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344.6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657.5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339.3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637.0</w:t>
            </w:r>
          </w:p>
        </w:tc>
      </w:tr>
      <w:tr>
        <w:trPr>
          <w:trHeight w:val="80"/>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8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184"/>
        </w:trPr>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derivatives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395.0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845.8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398.7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769.1</w:t>
            </w:r>
          </w:p>
        </w:tc>
      </w:tr>
      <w:tr>
        <w:trPr>
          <w:trHeight w:val="80"/>
        </w:trPr>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For information regarding our derivative instruments measured at fair value after netting and collateral see Note </w:t>
      </w:r>
      <w:hyperlink w:anchor="page16">
        <w:r>
          <w:rPr>
            <w:rFonts w:ascii="Arial" w:cs="Arial" w:eastAsia="Arial" w:hAnsi="Arial"/>
            <w:sz w:val="18"/>
            <w:szCs w:val="18"/>
            <w:color w:val="auto"/>
          </w:rPr>
          <w:t>7.</w:t>
        </w:r>
      </w:hyperlink>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June 30, 2019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00" w:type="dxa"/>
            <w:vAlign w:val="bottom"/>
          </w:tcPr>
          <w:p>
            <w:pPr>
              <w:jc w:val="right"/>
              <w:ind w:right="1368"/>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8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333333"/>
              </w:rPr>
              <w:t>Derivative Instruments</w:t>
            </w:r>
          </w:p>
        </w:tc>
        <w:tc>
          <w:tcPr>
            <w:tcW w:w="126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vMerge w:val="continue"/>
          </w:tcPr>
          <w:p>
            <w:pPr>
              <w:spacing w:after="0"/>
              <w:rPr>
                <w:sz w:val="16"/>
                <w:szCs w:val="16"/>
                <w:color w:val="auto"/>
              </w:rPr>
            </w:pPr>
          </w:p>
        </w:tc>
        <w:tc>
          <w:tcPr>
            <w:tcW w:w="1260" w:type="dxa"/>
            <w:vAlign w:val="bottom"/>
          </w:tcPr>
          <w:p>
            <w:pPr>
              <w:jc w:val="center"/>
              <w:ind w:left="508"/>
              <w:spacing w:after="0"/>
              <w:rPr>
                <w:sz w:val="20"/>
                <w:szCs w:val="20"/>
                <w:color w:val="auto"/>
              </w:rPr>
            </w:pPr>
            <w:r>
              <w:rPr>
                <w:rFonts w:ascii="Arial" w:cs="Arial" w:eastAsia="Arial" w:hAnsi="Arial"/>
                <w:sz w:val="14"/>
                <w:szCs w:val="14"/>
                <w:b w:val="1"/>
                <w:bCs w:val="1"/>
                <w:color w:val="333333"/>
                <w:w w:val="91"/>
              </w:rPr>
              <w:t>Units</w:t>
            </w:r>
          </w:p>
        </w:tc>
        <w:tc>
          <w:tcPr>
            <w:tcW w:w="2500" w:type="dxa"/>
            <w:vAlign w:val="bottom"/>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12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Long</w:t>
            </w:r>
          </w:p>
        </w:tc>
        <w:tc>
          <w:tcPr>
            <w:tcW w:w="1260" w:type="dxa"/>
            <w:vAlign w:val="bottom"/>
          </w:tcPr>
          <w:p>
            <w:pPr>
              <w:jc w:val="center"/>
              <w:ind w:left="508"/>
              <w:spacing w:after="0"/>
              <w:rPr>
                <w:sz w:val="20"/>
                <w:szCs w:val="20"/>
                <w:color w:val="auto"/>
              </w:rPr>
            </w:pPr>
            <w:r>
              <w:rPr>
                <w:rFonts w:ascii="Arial" w:cs="Arial" w:eastAsia="Arial" w:hAnsi="Arial"/>
                <w:sz w:val="14"/>
                <w:szCs w:val="14"/>
                <w:color w:val="auto"/>
              </w:rPr>
              <w:t>BBL</w:t>
            </w:r>
          </w:p>
        </w:tc>
        <w:tc>
          <w:tcPr>
            <w:tcW w:w="250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w:t>
            </w:r>
          </w:p>
        </w:tc>
        <w:tc>
          <w:tcPr>
            <w:tcW w:w="126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BBL</w:t>
            </w: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Foreign currency exchange contracts</w:t>
            </w:r>
          </w:p>
        </w:tc>
        <w:tc>
          <w:tcPr>
            <w:tcW w:w="12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Sell U.S. dollar, buy other currencies</w:t>
            </w:r>
          </w:p>
        </w:tc>
        <w:tc>
          <w:tcPr>
            <w:tcW w:w="1260" w:type="dxa"/>
            <w:vAlign w:val="bottom"/>
          </w:tcPr>
          <w:p>
            <w:pPr>
              <w:jc w:val="center"/>
              <w:ind w:left="508"/>
              <w:spacing w:after="0"/>
              <w:rPr>
                <w:sz w:val="20"/>
                <w:szCs w:val="20"/>
                <w:color w:val="auto"/>
              </w:rPr>
            </w:pPr>
            <w:r>
              <w:rPr>
                <w:rFonts w:ascii="Arial" w:cs="Arial" w:eastAsia="Arial" w:hAnsi="Arial"/>
                <w:sz w:val="14"/>
                <w:szCs w:val="14"/>
                <w:color w:val="auto"/>
                <w:w w:val="94"/>
              </w:rPr>
              <w:t>USD</w:t>
            </w:r>
          </w:p>
        </w:tc>
        <w:tc>
          <w:tcPr>
            <w:tcW w:w="2500" w:type="dxa"/>
            <w:vAlign w:val="bottom"/>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 sell other currencies</w:t>
            </w:r>
          </w:p>
        </w:tc>
        <w:tc>
          <w:tcPr>
            <w:tcW w:w="126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w w:val="94"/>
              </w:rPr>
              <w:t>USD</w:t>
            </w:r>
          </w:p>
        </w:tc>
        <w:tc>
          <w:tcPr>
            <w:tcW w:w="2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5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2019, and December 31, 2018, the following amounts were recorded on the consolidated balance sheets related to cumulative basis adjustments for fair value hedges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Line item in the Consolidated Balance Sheets in which the</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gridSpan w:val="3"/>
            <w:vMerge w:val="restart"/>
          </w:tcPr>
          <w:p>
            <w:pPr>
              <w:jc w:val="center"/>
              <w:ind w:right="168"/>
              <w:spacing w:after="0"/>
              <w:rPr>
                <w:sz w:val="20"/>
                <w:szCs w:val="20"/>
                <w:color w:val="auto"/>
              </w:rPr>
            </w:pPr>
            <w:r>
              <w:rPr>
                <w:rFonts w:ascii="Arial" w:cs="Arial" w:eastAsia="Arial" w:hAnsi="Arial"/>
                <w:sz w:val="14"/>
                <w:szCs w:val="14"/>
                <w:b w:val="1"/>
                <w:bCs w:val="1"/>
                <w:color w:val="auto"/>
                <w:w w:val="93"/>
              </w:rPr>
              <w:t>Carrying Amount of Hedged Asset/(Liabilities)</w:t>
            </w:r>
          </w:p>
        </w:tc>
        <w:tc>
          <w:tcPr>
            <w:tcW w:w="240" w:type="dxa"/>
            <w:vAlign w:val="bottom"/>
          </w:tcPr>
          <w:p>
            <w:pPr>
              <w:spacing w:after="0"/>
              <w:rPr>
                <w:sz w:val="12"/>
                <w:szCs w:val="12"/>
                <w:color w:val="auto"/>
              </w:rPr>
            </w:pPr>
          </w:p>
        </w:tc>
        <w:tc>
          <w:tcPr>
            <w:tcW w:w="358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Included in the Carrying Amount of the Hedged</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hedged item is included</w:t>
            </w: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3"/>
              </w:rPr>
              <w:t>Asset/(Liabilities)</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1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2019</w:t>
            </w:r>
          </w:p>
        </w:tc>
        <w:tc>
          <w:tcPr>
            <w:tcW w:w="460" w:type="dxa"/>
            <w:vAlign w:val="bottom"/>
          </w:tcPr>
          <w:p>
            <w:pPr>
              <w:spacing w:after="0"/>
              <w:rPr>
                <w:sz w:val="16"/>
                <w:szCs w:val="16"/>
                <w:color w:val="auto"/>
              </w:rPr>
            </w:pPr>
          </w:p>
        </w:tc>
        <w:tc>
          <w:tcPr>
            <w:tcW w:w="160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December 31, 2018</w:t>
            </w:r>
          </w:p>
        </w:tc>
        <w:tc>
          <w:tcPr>
            <w:tcW w:w="240" w:type="dxa"/>
            <w:vAlign w:val="bottom"/>
          </w:tcPr>
          <w:p>
            <w:pPr>
              <w:spacing w:after="0"/>
              <w:rPr>
                <w:sz w:val="16"/>
                <w:szCs w:val="16"/>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2019</w:t>
            </w:r>
          </w:p>
        </w:tc>
        <w:tc>
          <w:tcPr>
            <w:tcW w:w="44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80"/>
        </w:trPr>
        <w:tc>
          <w:tcPr>
            <w:tcW w:w="3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 Income and Comprehensive Income (in millions):</w:t>
      </w:r>
    </w:p>
    <w:p>
      <w:pPr>
        <w:spacing w:after="0" w:line="108" w:lineRule="exact"/>
        <w:rPr>
          <w:sz w:val="20"/>
          <w:szCs w:val="20"/>
          <w:color w:val="auto"/>
        </w:rPr>
      </w:pPr>
    </w:p>
    <w:p>
      <w:pPr>
        <w:jc w:val="center"/>
        <w:ind w:left="7000"/>
        <w:spacing w:after="0"/>
        <w:rPr>
          <w:sz w:val="20"/>
          <w:szCs w:val="20"/>
          <w:color w:val="auto"/>
        </w:rPr>
      </w:pPr>
      <w:r>
        <w:rPr>
          <w:rFonts w:ascii="Arial" w:cs="Arial" w:eastAsia="Arial" w:hAnsi="Arial"/>
          <w:sz w:val="13"/>
          <w:szCs w:val="13"/>
          <w:b w:val="1"/>
          <w:bCs w:val="1"/>
          <w:color w:val="auto"/>
        </w:rPr>
        <w:t>Location and Amount of Gain and (Loss) Recognized in Income on Fair</w:t>
      </w:r>
    </w:p>
    <w:p>
      <w:pPr>
        <w:spacing w:after="0" w:line="15"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52"/>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88"/>
              <w:spacing w:after="0" w:line="153" w:lineRule="exact"/>
              <w:rPr>
                <w:sz w:val="20"/>
                <w:szCs w:val="20"/>
                <w:color w:val="auto"/>
              </w:rPr>
            </w:pPr>
            <w:r>
              <w:rPr>
                <w:rFonts w:ascii="Arial" w:cs="Arial" w:eastAsia="Arial" w:hAnsi="Arial"/>
                <w:sz w:val="14"/>
                <w:szCs w:val="14"/>
                <w:b w:val="1"/>
                <w:bCs w:val="1"/>
                <w:color w:val="auto"/>
                <w:w w:val="91"/>
              </w:rPr>
              <w:t>Cost of</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99"/>
              </w:rPr>
              <w:t>Revenue</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3" w:lineRule="exact"/>
              <w:rPr>
                <w:sz w:val="20"/>
                <w:szCs w:val="20"/>
                <w:color w:val="auto"/>
              </w:rPr>
            </w:pPr>
            <w:r>
              <w:rPr>
                <w:rFonts w:ascii="Arial" w:cs="Arial" w:eastAsia="Arial" w:hAnsi="Arial"/>
                <w:sz w:val="14"/>
                <w:szCs w:val="14"/>
                <w:b w:val="1"/>
                <w:bCs w:val="1"/>
                <w:color w:val="auto"/>
                <w:w w:val="91"/>
              </w:rPr>
              <w:t>Cost of</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88"/>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9,459.4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9,190.8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10,150.8</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9,904.7</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9,461.9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9,215.1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10,171.2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9,915.2</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gridSpan w:val="8"/>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6980" w:type="dxa"/>
            <w:vAlign w:val="bottom"/>
          </w:tcPr>
          <w:p>
            <w:pPr>
              <w:spacing w:after="0"/>
              <w:rPr>
                <w:sz w:val="12"/>
                <w:szCs w:val="12"/>
                <w:color w:val="auto"/>
              </w:rPr>
            </w:pPr>
          </w:p>
        </w:tc>
        <w:tc>
          <w:tcPr>
            <w:tcW w:w="4420" w:type="dxa"/>
            <w:vAlign w:val="bottom"/>
            <w:gridSpan w:val="8"/>
          </w:tcPr>
          <w:p>
            <w:pPr>
              <w:ind w:left="20"/>
              <w:spacing w:after="0" w:line="147" w:lineRule="exact"/>
              <w:rPr>
                <w:sz w:val="20"/>
                <w:szCs w:val="20"/>
                <w:color w:val="auto"/>
              </w:rPr>
            </w:pPr>
            <w:r>
              <w:rPr>
                <w:rFonts w:ascii="Arial" w:cs="Arial" w:eastAsia="Arial" w:hAnsi="Arial"/>
                <w:sz w:val="14"/>
                <w:szCs w:val="14"/>
                <w:b w:val="1"/>
                <w:bCs w:val="1"/>
                <w:color w:val="auto"/>
                <w:w w:val="92"/>
              </w:rPr>
              <w:t>Location and Amount of Gain and (Loss) Recognized in Income on Fair</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4"/>
                <w:szCs w:val="14"/>
                <w:b w:val="1"/>
                <w:bCs w:val="1"/>
                <w:color w:val="auto"/>
                <w:w w:val="91"/>
              </w:rPr>
              <w:t>Value and Cash Flow Hedging Relationships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93"/>
              </w:rPr>
              <w:t>For the Six Months Ended</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56"/>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08"/>
              <w:spacing w:after="0" w:line="157" w:lineRule="exact"/>
              <w:rPr>
                <w:sz w:val="20"/>
                <w:szCs w:val="20"/>
                <w:color w:val="auto"/>
              </w:rPr>
            </w:pPr>
            <w:r>
              <w:rPr>
                <w:rFonts w:ascii="Arial" w:cs="Arial" w:eastAsia="Arial" w:hAnsi="Arial"/>
                <w:sz w:val="14"/>
                <w:szCs w:val="14"/>
                <w:color w:val="auto"/>
                <w:w w:val="94"/>
              </w:rPr>
              <w:t>Cost of</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7" w:lineRule="exact"/>
              <w:rPr>
                <w:sz w:val="20"/>
                <w:szCs w:val="20"/>
                <w:color w:val="auto"/>
              </w:rPr>
            </w:pPr>
            <w:r>
              <w:rPr>
                <w:rFonts w:ascii="Arial" w:cs="Arial" w:eastAsia="Arial" w:hAnsi="Arial"/>
                <w:sz w:val="14"/>
                <w:szCs w:val="14"/>
                <w:color w:val="auto"/>
                <w:w w:val="90"/>
              </w:rPr>
              <w:t>Cost of</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Revenue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18,138.2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17,618.5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19,332.2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18,842.6</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18,144.5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17,637.2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19,356.1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18,871.2</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2019 and 2018, there were no gains or losses recognized in earnings related to our fair value or cash flow hedges that were excluded from the assessment of hedge effectiveness.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25" w:right="239" w:bottom="271"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 Recognized in</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57"/>
        </w:trPr>
        <w:tc>
          <w:tcPr>
            <w:tcW w:w="32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600" w:type="dxa"/>
            <w:vAlign w:val="bottom"/>
            <w:vMerge w:val="restart"/>
          </w:tcPr>
          <w:p>
            <w:pPr>
              <w:jc w:val="center"/>
              <w:ind w:right="76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01"/>
        </w:trPr>
        <w:tc>
          <w:tcPr>
            <w:tcW w:w="3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6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584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04"/>
        </w:trPr>
        <w:tc>
          <w:tcPr>
            <w:tcW w:w="3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8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30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17"/>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5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3584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5660" w:space="100"/>
            <w:col w:w="5660"/>
          </w:cols>
          <w:pgMar w:left="240" w:top="125" w:right="239" w:bottom="271"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42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42.8</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Revenue</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25.8</w:t>
            </w: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1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net</w:t>
            </w:r>
          </w:p>
        </w:tc>
        <w:tc>
          <w:tcPr>
            <w:tcW w:w="1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(Loss) Gain</w:t>
            </w: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(Loss) Gain</w:t>
            </w:r>
          </w:p>
        </w:tc>
        <w:tc>
          <w:tcPr>
            <w:tcW w:w="12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80"/>
        </w:trPr>
        <w:tc>
          <w:tcPr>
            <w:tcW w:w="242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24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71"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460" w:type="dxa"/>
            <w:vAlign w:val="bottom"/>
            <w:gridSpan w:val="2"/>
          </w:tcPr>
          <w:p>
            <w:pPr>
              <w:ind w:left="4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80"/>
        </w:trPr>
        <w:tc>
          <w:tcPr>
            <w:tcW w:w="320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Amount of Gain (Loss) Recognized in</w:t>
            </w:r>
          </w:p>
        </w:tc>
        <w:tc>
          <w:tcPr>
            <w:tcW w:w="8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2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00" w:type="dxa"/>
            <w:vAlign w:val="bottom"/>
            <w:vMerge w:val="restart"/>
          </w:tcPr>
          <w:p>
            <w:pPr>
              <w:jc w:val="right"/>
              <w:ind w:right="88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4"/>
              </w:rPr>
              <w:t>Derivative Instruments</w:t>
            </w: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rPr>
              <w:t>2019</w:t>
            </w:r>
          </w:p>
        </w:tc>
        <w:tc>
          <w:tcPr>
            <w:tcW w:w="16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3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3773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03"/>
        </w:trPr>
        <w:tc>
          <w:tcPr>
            <w:tcW w:w="3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234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30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0"/>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5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3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100"/>
            <w:col w:w="5660"/>
          </w:cols>
          <w:pgMar w:left="240" w:top="125" w:right="239" w:bottom="271"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(177.7)</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Revenue</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80"/>
        </w:trPr>
        <w:tc>
          <w:tcPr>
            <w:tcW w:w="24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173.7</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17.4</w:t>
            </w: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r>
      <w:tr>
        <w:trPr>
          <w:trHeight w:val="80"/>
        </w:trPr>
        <w:tc>
          <w:tcPr>
            <w:tcW w:w="24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118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24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24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18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Gain</w:t>
            </w:r>
          </w:p>
        </w:tc>
        <w:tc>
          <w:tcPr>
            <w:tcW w:w="11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w:t>
            </w:r>
          </w:p>
        </w:tc>
        <w:tc>
          <w:tcPr>
            <w:tcW w:w="12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80"/>
        </w:trPr>
        <w:tc>
          <w:tcPr>
            <w:tcW w:w="24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effect and financial statement location of our derivative instruments not designated as hedging instruments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(in millions):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2320" w:type="dxa"/>
            <w:vAlign w:val="bottom"/>
          </w:tcPr>
          <w:p>
            <w:pPr>
              <w:ind w:left="1780"/>
              <w:spacing w:after="0"/>
              <w:rPr>
                <w:sz w:val="20"/>
                <w:szCs w:val="20"/>
                <w:color w:val="auto"/>
              </w:rPr>
            </w:pPr>
            <w:r>
              <w:rPr>
                <w:rFonts w:ascii="Arial" w:cs="Arial" w:eastAsia="Arial" w:hAnsi="Arial"/>
                <w:sz w:val="14"/>
                <w:szCs w:val="14"/>
                <w:b w:val="1"/>
                <w:bCs w:val="1"/>
                <w:color w:val="auto"/>
                <w:w w:val="89"/>
              </w:rPr>
              <w:t>Location</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2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2320" w:type="dxa"/>
            <w:vAlign w:val="bottom"/>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69.4</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358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1780"/>
              <w:spacing w:after="0"/>
              <w:rPr>
                <w:sz w:val="20"/>
                <w:szCs w:val="20"/>
                <w:color w:val="auto"/>
              </w:rPr>
            </w:pPr>
            <w:r>
              <w:rPr>
                <w:rFonts w:ascii="Arial" w:cs="Arial" w:eastAsia="Arial" w:hAnsi="Arial"/>
                <w:sz w:val="14"/>
                <w:szCs w:val="14"/>
                <w:color w:val="auto"/>
              </w:rPr>
              <w:t>Cost of revenue</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2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2320" w:type="dxa"/>
            <w:vAlign w:val="bottom"/>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358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1780"/>
              <w:spacing w:after="0"/>
              <w:rPr>
                <w:sz w:val="20"/>
                <w:szCs w:val="20"/>
                <w:color w:val="auto"/>
              </w:rPr>
            </w:pPr>
            <w:r>
              <w:rPr>
                <w:rFonts w:ascii="Arial" w:cs="Arial" w:eastAsia="Arial" w:hAnsi="Arial"/>
                <w:sz w:val="14"/>
                <w:szCs w:val="14"/>
                <w:color w:val="auto"/>
              </w:rPr>
              <w:t>Other (expense), net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2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shd w:val="clear" w:color="auto" w:fill="CCEEFF"/>
          </w:tcPr>
          <w:p>
            <w:pPr>
              <w:spacing w:after="0"/>
              <w:rPr>
                <w:sz w:val="6"/>
                <w:szCs w:val="6"/>
                <w:color w:val="auto"/>
              </w:rPr>
            </w:pPr>
          </w:p>
        </w:tc>
        <w:tc>
          <w:tcPr>
            <w:tcW w:w="23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3"/>
            <w:vMerge w:val="restart"/>
          </w:tcPr>
          <w:p>
            <w:pPr>
              <w:jc w:val="center"/>
              <w:ind w:right="248"/>
              <w:spacing w:after="0"/>
              <w:rPr>
                <w:sz w:val="20"/>
                <w:szCs w:val="20"/>
                <w:color w:val="auto"/>
              </w:rPr>
            </w:pPr>
            <w:r>
              <w:rPr>
                <w:rFonts w:ascii="Arial" w:cs="Arial" w:eastAsia="Arial" w:hAnsi="Arial"/>
                <w:sz w:val="14"/>
                <w:szCs w:val="14"/>
                <w:b w:val="1"/>
                <w:bCs w:val="1"/>
                <w:color w:val="auto"/>
                <w:w w:val="94"/>
              </w:rPr>
              <w:t>For the Six Months Ended</w:t>
            </w: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gridSpan w:val="2"/>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2320" w:type="dxa"/>
            <w:vAlign w:val="bottom"/>
          </w:tcPr>
          <w:p>
            <w:pPr>
              <w:spacing w:after="0"/>
              <w:rPr>
                <w:sz w:val="16"/>
                <w:szCs w:val="16"/>
                <w:color w:val="auto"/>
              </w:rPr>
            </w:pPr>
          </w:p>
        </w:tc>
        <w:tc>
          <w:tcPr>
            <w:tcW w:w="16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2"/>
              </w:rPr>
              <w:t>Location</w:t>
            </w: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144.5</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3580" w:type="dxa"/>
            <w:vAlign w:val="bottom"/>
            <w:gridSpan w:val="2"/>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3920" w:type="dxa"/>
            <w:vAlign w:val="bottom"/>
            <w:gridSpan w:val="3"/>
          </w:tcPr>
          <w:p>
            <w:pPr>
              <w:ind w:left="1780"/>
              <w:spacing w:after="0"/>
              <w:rPr>
                <w:sz w:val="20"/>
                <w:szCs w:val="20"/>
                <w:color w:val="auto"/>
              </w:rPr>
            </w:pPr>
            <w:r>
              <w:rPr>
                <w:rFonts w:ascii="Arial" w:cs="Arial" w:eastAsia="Arial" w:hAnsi="Arial"/>
                <w:sz w:val="14"/>
                <w:szCs w:val="14"/>
                <w:color w:val="auto"/>
              </w:rPr>
              <w:t>Cost of revenue</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(123.0)</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80"/>
        </w:trPr>
        <w:tc>
          <w:tcPr>
            <w:tcW w:w="4760" w:type="dxa"/>
            <w:vAlign w:val="bottom"/>
            <w:tcBorders>
              <w:bottom w:val="single" w:sz="8" w:color="CCEEFF"/>
            </w:tcBorders>
          </w:tcPr>
          <w:p>
            <w:pPr>
              <w:spacing w:after="0"/>
              <w:rPr>
                <w:sz w:val="6"/>
                <w:szCs w:val="6"/>
                <w:color w:val="auto"/>
              </w:rPr>
            </w:pPr>
          </w:p>
        </w:tc>
        <w:tc>
          <w:tcPr>
            <w:tcW w:w="232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3580" w:type="dxa"/>
            <w:vAlign w:val="bottom"/>
            <w:gridSpan w:val="2"/>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3920" w:type="dxa"/>
            <w:vAlign w:val="bottom"/>
            <w:gridSpan w:val="3"/>
          </w:tcPr>
          <w:p>
            <w:pPr>
              <w:ind w:left="1780"/>
              <w:spacing w:after="0"/>
              <w:rPr>
                <w:sz w:val="20"/>
                <w:szCs w:val="20"/>
                <w:color w:val="auto"/>
              </w:rPr>
            </w:pPr>
            <w:r>
              <w:rPr>
                <w:rFonts w:ascii="Arial" w:cs="Arial" w:eastAsia="Arial" w:hAnsi="Arial"/>
                <w:sz w:val="14"/>
                <w:szCs w:val="14"/>
                <w:color w:val="auto"/>
              </w:rPr>
              <w:t>Other (expense), net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4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4760" w:type="dxa"/>
            <w:vAlign w:val="bottom"/>
            <w:tcBorders>
              <w:bottom w:val="single" w:sz="8" w:color="CCEEFF"/>
            </w:tcBorders>
          </w:tcPr>
          <w:p>
            <w:pPr>
              <w:spacing w:after="0"/>
              <w:rPr>
                <w:sz w:val="6"/>
                <w:szCs w:val="6"/>
                <w:color w:val="auto"/>
              </w:rPr>
            </w:pPr>
          </w:p>
        </w:tc>
        <w:tc>
          <w:tcPr>
            <w:tcW w:w="232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shd w:val="clear" w:color="auto" w:fill="CCEEFF"/>
          </w:tcPr>
          <w:p>
            <w:pPr>
              <w:spacing w:after="0"/>
              <w:rPr>
                <w:sz w:val="6"/>
                <w:szCs w:val="6"/>
                <w:color w:val="auto"/>
              </w:rPr>
            </w:pPr>
          </w:p>
        </w:tc>
        <w:tc>
          <w:tcPr>
            <w:tcW w:w="23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color w:val="auto"/>
              </w:rPr>
              <w:t>Total Gain</w:t>
            </w:r>
          </w:p>
        </w:tc>
        <w:tc>
          <w:tcPr>
            <w:tcW w:w="232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20.6</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enter into derivative instrument contracts which may require us to provide collateral periodically. Certain derivative contracts contain credit-risk-related contingent clauses which are triggered by credit events. These credit events may include the</w:t>
      </w:r>
    </w:p>
    <w:p>
      <w:pPr>
        <w:sectPr>
          <w:pgSz w:w="11900" w:h="16838" w:orient="portrait"/>
          <w:cols w:equalWidth="0" w:num="1">
            <w:col w:w="11420"/>
          </w:cols>
          <w:pgMar w:left="240" w:top="125" w:right="239" w:bottom="271"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271"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333333"/>
                <w:w w:val="94"/>
              </w:rPr>
              <w:t>Potential Collateral Requirements for</w:t>
            </w:r>
          </w:p>
        </w:tc>
        <w:tc>
          <w:tcPr>
            <w:tcW w:w="44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gridSpan w:val="2"/>
          </w:tcPr>
          <w:p>
            <w:pPr>
              <w:jc w:val="center"/>
              <w:ind w:left="228"/>
              <w:spacing w:after="0" w:line="149" w:lineRule="exact"/>
              <w:rPr>
                <w:sz w:val="20"/>
                <w:szCs w:val="20"/>
                <w:color w:val="auto"/>
              </w:rPr>
            </w:pPr>
            <w:r>
              <w:rPr>
                <w:rFonts w:ascii="Arial" w:cs="Arial" w:eastAsia="Arial" w:hAnsi="Arial"/>
                <w:sz w:val="14"/>
                <w:szCs w:val="14"/>
                <w:b w:val="1"/>
                <w:bCs w:val="1"/>
                <w:color w:val="333333"/>
                <w:w w:val="95"/>
              </w:rPr>
              <w:t>Derivative Liabilities with</w:t>
            </w:r>
          </w:p>
        </w:tc>
        <w:tc>
          <w:tcPr>
            <w:tcW w:w="440" w:type="dxa"/>
            <w:vAlign w:val="bottom"/>
          </w:tcPr>
          <w:p>
            <w:pPr>
              <w:spacing w:after="0"/>
              <w:rPr>
                <w:sz w:val="12"/>
                <w:szCs w:val="12"/>
                <w:color w:val="auto"/>
              </w:rPr>
            </w:pP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b w:val="1"/>
                <w:bCs w:val="1"/>
                <w:color w:val="333333"/>
                <w:w w:val="93"/>
              </w:rPr>
              <w:t>Credit-Risk-Contingent Features</w:t>
            </w:r>
          </w:p>
        </w:tc>
        <w:tc>
          <w:tcPr>
            <w:tcW w:w="440" w:type="dxa"/>
            <w:vAlign w:val="bottom"/>
            <w:tcBorders>
              <w:bottom w:val="single" w:sz="8" w:color="auto"/>
            </w:tcBorders>
          </w:tcPr>
          <w:p>
            <w:pPr>
              <w:spacing w:after="0"/>
              <w:rPr>
                <w:sz w:val="16"/>
                <w:szCs w:val="16"/>
                <w:color w:val="auto"/>
              </w:rPr>
            </w:pPr>
          </w:p>
        </w:tc>
      </w:t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208"/>
              <w:spacing w:after="0"/>
              <w:rPr>
                <w:sz w:val="20"/>
                <w:szCs w:val="20"/>
                <w:color w:val="auto"/>
              </w:rPr>
            </w:pPr>
            <w:r>
              <w:rPr>
                <w:rFonts w:ascii="Arial" w:cs="Arial" w:eastAsia="Arial" w:hAnsi="Arial"/>
                <w:sz w:val="14"/>
                <w:szCs w:val="14"/>
                <w:b w:val="1"/>
                <w:bCs w:val="1"/>
                <w:color w:val="333333"/>
                <w:w w:val="96"/>
              </w:rPr>
              <w:t>As of June 30, 2019</w:t>
            </w:r>
          </w:p>
        </w:tc>
        <w:tc>
          <w:tcPr>
            <w:tcW w:w="1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333333"/>
              </w:rPr>
              <w:t>As of December 31, 2018</w:t>
            </w:r>
          </w:p>
        </w:tc>
      </w:tr>
      <w:tr>
        <w:trPr>
          <w:trHeight w:val="80"/>
        </w:trPr>
        <w:tc>
          <w:tcPr>
            <w:tcW w:w="79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184"/>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derivatives liability positions with credit contingent features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3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Maximum potential collateral requirements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3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80"/>
        </w:trPr>
        <w:tc>
          <w:tcPr>
            <w:tcW w:w="79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At June 30, 2019 and December 31, 2018, there was no collateral held by our counterparties on these derivative contracts with credit-risk-contingent features.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Goodwill arises because the purchase price paid for our acquisitions reflects numerous factors, including the strategic fit and expected synergies these acquisitions bring to our existing operations. Goodwill is recorded at fair value and is reviewed at least annually for impairment.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Aviation</w:t>
            </w: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2018</w:t>
            </w:r>
          </w:p>
        </w:tc>
        <w:tc>
          <w:tcPr>
            <w:tcW w:w="2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322.9</w:t>
            </w:r>
          </w:p>
        </w:tc>
        <w:tc>
          <w:tcPr>
            <w:tcW w:w="7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529.7</w:t>
            </w:r>
          </w:p>
        </w:tc>
        <w:tc>
          <w:tcPr>
            <w:tcW w:w="7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852.7</w:t>
            </w: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Additions</w:t>
            </w:r>
          </w:p>
        </w:tc>
        <w:tc>
          <w:tcPr>
            <w:tcW w:w="254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25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7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7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June 30, 2019</w:t>
            </w:r>
          </w:p>
        </w:tc>
        <w:tc>
          <w:tcPr>
            <w:tcW w:w="2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321.8</w:t>
            </w:r>
          </w:p>
        </w:tc>
        <w:tc>
          <w:tcPr>
            <w:tcW w:w="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528.8</w:t>
            </w:r>
          </w:p>
        </w:tc>
        <w:tc>
          <w:tcPr>
            <w:tcW w:w="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850.6</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Interest Income, Expense and Other Finance Costs</w:t>
      </w:r>
    </w:p>
    <w:p>
      <w:pPr>
        <w:spacing w:after="0" w:line="3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Credit Facility consisted of a revolving loan with a borrowing capacity of $1.2 billion and a Term Loan with outstanding principal as of June 30, 2019 and December 31, 2018 of $498.0 million and $514.8 million, respectively. On July 23, 2019, we amended our Credit Facility to, among other things,</w:t>
      </w:r>
    </w:p>
    <w:p>
      <w:pPr>
        <w:jc w:val="both"/>
        <w:ind w:firstLine="8"/>
        <w:spacing w:after="0" w:line="255" w:lineRule="auto"/>
        <w:tabs>
          <w:tab w:leader="none" w:pos="217"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the borrowing capacity to $1.3 billion, (ii) increase the Term Loans to $525.0 million, (iii) modify and extend the final maturity date to July 2024, and (iv) modify certain financial and other covenants to reduce costs and provide greater operating flexibility. Accordingly, based on the terms of the modified Credit Facility, the current maturities of long-term debt is $13.1 million as of June 30, 2019.</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6"/>
                <w:szCs w:val="16"/>
                <w:color w:val="auto"/>
              </w:rPr>
            </w:pPr>
          </w:p>
        </w:tc>
      </w:tr>
      <w:tr>
        <w:trPr>
          <w:trHeight w:val="80"/>
        </w:trPr>
        <w:tc>
          <w:tcPr>
            <w:tcW w:w="76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52"/>
        </w:trPr>
        <w:tc>
          <w:tcPr>
            <w:tcW w:w="766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167.0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170.0</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Finance Leases</w:t>
            </w:r>
          </w:p>
        </w:tc>
        <w:tc>
          <w:tcPr>
            <w:tcW w:w="13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16.0</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debt</w:t>
            </w: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683.3</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701.0</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maturities of long-term debt and capital leases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666.5</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659.9</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320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93"/>
              </w:rPr>
              <w:t>For the Six Months Ended</w:t>
            </w:r>
          </w:p>
        </w:tc>
        <w:tc>
          <w:tcPr>
            <w:tcW w:w="580" w:type="dxa"/>
            <w:vAlign w:val="bottom"/>
          </w:tcPr>
          <w:p>
            <w:pPr>
              <w:spacing w:after="0"/>
              <w:rPr>
                <w:sz w:val="16"/>
                <w:szCs w:val="16"/>
                <w:color w:val="auto"/>
              </w:rPr>
            </w:pPr>
          </w:p>
        </w:tc>
      </w:tr>
      <w:tr>
        <w:trPr>
          <w:trHeight w:val="276"/>
        </w:trPr>
        <w:tc>
          <w:tcPr>
            <w:tcW w:w="39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r>
      <w:tr>
        <w:trPr>
          <w:trHeight w:val="264"/>
        </w:trPr>
        <w:tc>
          <w:tcPr>
            <w:tcW w:w="39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32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6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30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1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w:t>
            </w:r>
          </w:p>
        </w:tc>
        <w:tc>
          <w:tcPr>
            <w:tcW w:w="1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w:t>
            </w:r>
          </w:p>
        </w:tc>
        <w:tc>
          <w:tcPr>
            <w:tcW w:w="1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r>
      <w:tr>
        <w:trPr>
          <w:trHeight w:val="264"/>
        </w:trPr>
        <w:tc>
          <w:tcPr>
            <w:tcW w:w="39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132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6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c>
          <w:tcPr>
            <w:tcW w:w="130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from market rates. Based on the fair value hierarchy, our total debt of $0.7 billion and $0.7 billion as of June 30, 2019 and December 31, 2018, respectively, and our notes receivable of $27.5 million and $28.2 million as of June 30, 2019 and December 31, 2018, respectively, are categorized in Level 2.</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Fair Value Measurements as of June 30, 2019</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282.2</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106.2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5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393.0</w:t>
            </w: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116.4</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5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84"/>
        </w:trPr>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302.1</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91.5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5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394.8</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r>
        <w:trPr>
          <w:trHeight w:val="26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302.1</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gridSpan w:val="6"/>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8"/>
        </w:trPr>
        <w:tc>
          <w:tcPr>
            <w:tcW w:w="4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6"/>
          </w:tcPr>
          <w:p>
            <w:pPr>
              <w:jc w:val="right"/>
              <w:ind w:right="328"/>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780" w:type="dxa"/>
            <w:vAlign w:val="bottom"/>
            <w:tcBorders>
              <w:bottom w:val="single" w:sz="8" w:color="auto"/>
            </w:tcBorders>
          </w:tcPr>
          <w:p>
            <w:pPr>
              <w:spacing w:after="0"/>
              <w:rPr>
                <w:sz w:val="24"/>
                <w:szCs w:val="24"/>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585.6</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841.2</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30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585.6</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c>
          <w:tcPr>
            <w:tcW w:w="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852.1</w:t>
            </w:r>
          </w:p>
        </w:tc>
      </w:tr>
      <w:tr>
        <w:trPr>
          <w:trHeight w:val="284"/>
        </w:trPr>
        <w:tc>
          <w:tcPr>
            <w:tcW w:w="42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556.5</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767.9</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212.4</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5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769.1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periods presented. Additionally, the fair values of our commodity contracts measured using Level 3 inputs were not material at June 30, 2019 and December 31, 2018,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w w:val="99"/>
              </w:rPr>
              <w:t>Fair Value as of June 30, 2019</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Pr>
          <w:p>
            <w:pPr>
              <w:spacing w:after="0"/>
              <w:rPr>
                <w:sz w:val="23"/>
                <w:szCs w:val="23"/>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Pr>
          <w:p>
            <w:pPr>
              <w:spacing w:after="0"/>
              <w:rPr>
                <w:sz w:val="23"/>
                <w:szCs w:val="23"/>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Pr>
          <w:p>
            <w:pPr>
              <w:spacing w:after="0"/>
              <w:rPr>
                <w:sz w:val="23"/>
                <w:szCs w:val="23"/>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80"/>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393.0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335.9</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57.0</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395.0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338.0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57.0</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394.8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335.9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3.8</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398.7</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60.7</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1"/>
              </w:rPr>
              <w:t>Fair Value as of December 31, 2018</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841.2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646.0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195.1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767.9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646.0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2019 and December 31, 2018, we did not present any amounts gross on our consolidated balance sheet where we had the right of offset.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June 30, 2019, one counterparty with an exposure amount of 4.1 million represented over 10% of our total credit exposure to OTC derivative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31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3"/>
              </w:rPr>
              <w:t>For the Three Months Ended</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3"/>
              </w:rPr>
              <w:t>For the Six Months Ended</w:t>
            </w:r>
          </w:p>
        </w:tc>
      </w:tr>
      <w:tr>
        <w:trPr>
          <w:trHeight w:val="276"/>
        </w:trPr>
        <w:tc>
          <w:tcPr>
            <w:tcW w:w="45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56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688"/>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4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264"/>
        </w:trPr>
        <w:tc>
          <w:tcPr>
            <w:tcW w:w="4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20.0</w:t>
            </w:r>
          </w:p>
        </w:tc>
        <w:tc>
          <w:tcPr>
            <w:tcW w:w="132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12.4</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34.0</w:t>
            </w:r>
          </w:p>
        </w:tc>
        <w:tc>
          <w:tcPr>
            <w:tcW w:w="4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19.7</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0"/>
        </w:trPr>
        <w:tc>
          <w:tcPr>
            <w:tcW w:w="45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58"/>
        </w:trPr>
        <w:tc>
          <w:tcPr>
            <w:tcW w:w="4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1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34.7%</w:t>
            </w:r>
          </w:p>
        </w:tc>
        <w:tc>
          <w:tcPr>
            <w:tcW w:w="13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29.7%</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31.2%</w:t>
            </w:r>
          </w:p>
        </w:tc>
        <w:tc>
          <w:tcPr>
            <w:tcW w:w="4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w w:val="95"/>
              </w:rPr>
              <w:t>24.6%</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for the three months ended June 30, 2019 was $20.0 million, resulting in an effective income tax rate of 34.7%. The provision includes a $3.0 million discrete tax expense relating to a change in legislation in several states, which together with other discrete tax items, resulted in a net discrete tax expense of $0.8 million for the period. Without the $0.8 million in net discrete tax expense, the effective income tax rate would have been 33.3% for the three months ended June 30, 2019.</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provision for income taxes for the three months ended June 30, 2018 was $12.4 million resulting in an effective tax rate of 29.7%. Our provision for income taxes was adjusted for an income tax benefit of $3.9 million, net, for discrete items related to an adjustment for stock based compensation in accordance with ASU 2016-09, an adjustment pursuant to the accounting of the Act, and changes in the valuation allowance in various jurisdictions. Without the $3.9 million in discrete items, the effective income tax rate would have been 39.2% for the three months ended June 30, 2018.</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provision for income taxes for the six months ended June 30, 2019 was $34.0 million, which included a $3.2 million discrete tax benefit recorded during the three months ended March 31, 2019 that should have been recognized in a prior period and which, together with all other discrete tax items, resulted in a net discrete tax benefit of $2.0 million, for the six months ended June 30, 2019. Without the $2.0 million net discrete tax benefit, the effective income tax rate would have been 33.1%. See Note 1 - Basis of Presentation and Significant Accounting Policies for additional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for the six months ended June 30, 2018 was $19.7 million and was adjusted for an income tax benefit of $8.8 million, net, for discrete items primarily related to an adjustment pursuant to the accounting of the Act, changes in estimates in uncertain tax positions, and adjustment for stock based compensation in accordance with ASU 2016-09, and changes in the valuation allowance in various jurisdictions. Without the $8.8 million benefit in discrete items, the effective income tax rate would have been 35.6%.</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provision for income taxes for each of the three and six months ended June 30, 2019 and 2018 was calculated based on the estimated annual effective income tax rate for the 2019 and 2018 fiscal years. The actual effective income tax rate for the 2019 fiscal year may be materially different as a result of differences between estimated versus actual results and the geographic tax jurisdictions in which the results are earned.</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various income tax returns under examination both in the U.S. and foreign jurisdictions. The most significant of these are in South Korea for the 2011 to 2014 tax years, Denmark for the 2013 to 2015 tax years and the U.S. for the 2013 to 2016 tax years. In 2016, the South Korean branch of one of our subsidiaries received income tax assessment notices for the years 2011 to 2014 totaling $9.8 million (KRW 11.3 billion). We believe that these assessments are without merit and are currently appealing the actions. In addition, during the quarter ended March 31, 2018, one of our Danish subsidiaries received an audit inquiry from the Danish tax authority relating to transfer pricing and related issues for the tax years 2013 to 2015. We have been responding to the request and related questions and in April 2019, we received a proposed tax adjustment for the 2013 tax year which is not material. We have not yet received any proposed tax adjustments with respect to the 2014 or 2015 tax years. We believe that the proposed adjustment received for the 2013 tax year is without merit and intend to defend our positions. Finally, in 2017, we received a notice of examination from the U.S. Internal Revenue Service for the 2013 to 2016 tax years. We have responded to all requests and are awaiting further communication from the U.S. Internal Revenue Service.</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results of operations or cash flows in the quarter and year in which an adjustment is recorded or the tax is due or paid. As audits and examinations are still in process or we have not yet reached the final stages of the appeals process, the timing of the ultimate resolution and any payments that may be required for the above matters cannot be determined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contracts with customers primarily require us to deliver fuel and fuel-related products, while other arrangements require us to complete agreed-upon services. Revenue from the sale of fuel is recognized when our customers obtain control of the fuel, which is typically upon delivery of each promised gallon or barrel to an agreed-upon delivery point. We generally recognize revenue for services provided over the contract period when services have been performed based on our right to invoice for those services.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contracts may contain fixed or variable pricing (such as market or index-based pricing) or some combination of those. Within our land and aviation segments,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have elected to apply the optional exemption from estimating and disclosing the variable consideration from our remaining performance obligations under these contracts.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fixed price fuel and fuel-related product sale contracts with a contract term of less than one year (typically one month). For these contracts, we apply the optional exemption, to not disclose the amount of transaction price allocated to remaining performance obligations. We also apply this exemption to those contracts in which the right to consideration corresponds directly with the value to the customer of the entity's performance to date. In limited cases, we may have multi-period fixed price contracts. Because our long-term supply arrangements that exceed one year are typically based on market index prices as previously discussed, the transaction price associated with remaining performance obligations under multi-year fixed price fuel sale contracts are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we conduct business in. Prior period amounts have not been adjusted under the modified retrospective method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1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For the Three Months Ended</w:t>
            </w: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3"/>
              </w:rPr>
              <w:t>For the Six Months Ended</w:t>
            </w:r>
          </w:p>
        </w:tc>
        <w:tc>
          <w:tcPr>
            <w:tcW w:w="680" w:type="dxa"/>
            <w:vAlign w:val="bottom"/>
          </w:tcPr>
          <w:p>
            <w:pPr>
              <w:spacing w:after="0"/>
              <w:rPr>
                <w:sz w:val="16"/>
                <w:szCs w:val="16"/>
                <w:color w:val="auto"/>
              </w:rPr>
            </w:pPr>
          </w:p>
        </w:tc>
      </w:tr>
      <w:tr>
        <w:trPr>
          <w:trHeight w:val="276"/>
        </w:trPr>
        <w:tc>
          <w:tcPr>
            <w:tcW w:w="37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24"/>
                <w:szCs w:val="24"/>
                <w:color w:val="auto"/>
              </w:rPr>
            </w:pPr>
          </w:p>
        </w:tc>
      </w:tr>
      <w:tr>
        <w:trPr>
          <w:trHeight w:val="264"/>
        </w:trPr>
        <w:tc>
          <w:tcPr>
            <w:tcW w:w="3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340.8</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363.6</w:t>
            </w:r>
          </w:p>
        </w:tc>
        <w:tc>
          <w:tcPr>
            <w:tcW w:w="11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705.2</w:t>
            </w:r>
          </w:p>
        </w:tc>
        <w:tc>
          <w:tcPr>
            <w:tcW w:w="12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755.6</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Land</w:t>
            </w:r>
          </w:p>
        </w:tc>
        <w:tc>
          <w:tcPr>
            <w:tcW w:w="120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719.5</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804.1</w:t>
            </w:r>
          </w:p>
        </w:tc>
        <w:tc>
          <w:tcPr>
            <w:tcW w:w="1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1,428.4</w:t>
            </w:r>
          </w:p>
        </w:tc>
        <w:tc>
          <w:tcPr>
            <w:tcW w:w="1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1,603.6</w:t>
            </w: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Asia Pacific</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1,064.5</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1,168.5</w:t>
            </w:r>
          </w:p>
        </w:tc>
        <w:tc>
          <w:tcPr>
            <w:tcW w:w="11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2,142.6</w:t>
            </w:r>
          </w:p>
        </w:tc>
        <w:tc>
          <w:tcPr>
            <w:tcW w:w="122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2,361.1</w:t>
            </w:r>
          </w:p>
        </w:tc>
      </w:tr>
      <w:tr>
        <w:trPr>
          <w:trHeight w:val="290"/>
        </w:trPr>
        <w:tc>
          <w:tcPr>
            <w:tcW w:w="37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1,008.8</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962.8</w:t>
            </w:r>
          </w:p>
        </w:tc>
        <w:tc>
          <w:tcPr>
            <w:tcW w:w="11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1,727.9</w:t>
            </w:r>
          </w:p>
        </w:tc>
        <w:tc>
          <w:tcPr>
            <w:tcW w:w="122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1,632.8</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1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569.7</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635.7</w:t>
            </w:r>
          </w:p>
        </w:tc>
        <w:tc>
          <w:tcPr>
            <w:tcW w:w="1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1,210.2</w:t>
            </w:r>
          </w:p>
        </w:tc>
        <w:tc>
          <w:tcPr>
            <w:tcW w:w="1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1,315.5</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736.3</w:t>
            </w:r>
          </w:p>
        </w:tc>
        <w:tc>
          <w:tcPr>
            <w:tcW w:w="1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832.2</w:t>
            </w:r>
          </w:p>
        </w:tc>
        <w:tc>
          <w:tcPr>
            <w:tcW w:w="1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1,391.1</w:t>
            </w:r>
          </w:p>
        </w:tc>
        <w:tc>
          <w:tcPr>
            <w:tcW w:w="1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1,469.6</w:t>
            </w: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EMEA</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2,314.9</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2,430.6</w:t>
            </w:r>
          </w:p>
        </w:tc>
        <w:tc>
          <w:tcPr>
            <w:tcW w:w="11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4,329.2</w:t>
            </w:r>
          </w:p>
        </w:tc>
        <w:tc>
          <w:tcPr>
            <w:tcW w:w="12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4,417.9</w:t>
            </w:r>
          </w:p>
        </w:tc>
      </w:tr>
      <w:tr>
        <w:trPr>
          <w:trHeight w:val="284"/>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614.6</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477.2</w:t>
            </w:r>
          </w:p>
        </w:tc>
        <w:tc>
          <w:tcPr>
            <w:tcW w:w="11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1,160.3</w:t>
            </w:r>
          </w:p>
        </w:tc>
        <w:tc>
          <w:tcPr>
            <w:tcW w:w="12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967.4</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Land</w:t>
            </w:r>
          </w:p>
        </w:tc>
        <w:tc>
          <w:tcPr>
            <w:tcW w:w="120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149.6</w:t>
            </w:r>
          </w:p>
        </w:tc>
        <w:tc>
          <w:tcPr>
            <w:tcW w:w="1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156.3</w:t>
            </w:r>
          </w:p>
        </w:tc>
        <w:tc>
          <w:tcPr>
            <w:tcW w:w="1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288.5</w:t>
            </w:r>
          </w:p>
        </w:tc>
        <w:tc>
          <w:tcPr>
            <w:tcW w:w="1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340.6</w:t>
            </w: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143.4</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128.1</w:t>
            </w:r>
          </w:p>
        </w:tc>
        <w:tc>
          <w:tcPr>
            <w:tcW w:w="1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334.9</w:t>
            </w:r>
          </w:p>
        </w:tc>
        <w:tc>
          <w:tcPr>
            <w:tcW w:w="1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283.3</w:t>
            </w: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LATAM</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907.6</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761.6</w:t>
            </w:r>
          </w:p>
        </w:tc>
        <w:tc>
          <w:tcPr>
            <w:tcW w:w="11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1,783.7</w:t>
            </w:r>
          </w:p>
        </w:tc>
        <w:tc>
          <w:tcPr>
            <w:tcW w:w="122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1,591.3</w:t>
            </w:r>
          </w:p>
        </w:tc>
      </w:tr>
      <w:tr>
        <w:trPr>
          <w:trHeight w:val="276"/>
        </w:trPr>
        <w:tc>
          <w:tcPr>
            <w:tcW w:w="37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2,828.5</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3,157.6</w:t>
            </w:r>
          </w:p>
        </w:tc>
        <w:tc>
          <w:tcPr>
            <w:tcW w:w="11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5,476.5</w:t>
            </w:r>
          </w:p>
        </w:tc>
        <w:tc>
          <w:tcPr>
            <w:tcW w:w="122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5,920.6</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1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1,884.6</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2,142.6</w:t>
            </w:r>
          </w:p>
        </w:tc>
        <w:tc>
          <w:tcPr>
            <w:tcW w:w="1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3,519.0</w:t>
            </w:r>
          </w:p>
        </w:tc>
        <w:tc>
          <w:tcPr>
            <w:tcW w:w="1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4,100.9</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347.9</w:t>
            </w:r>
          </w:p>
        </w:tc>
        <w:tc>
          <w:tcPr>
            <w:tcW w:w="1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358.0</w:t>
            </w:r>
          </w:p>
        </w:tc>
        <w:tc>
          <w:tcPr>
            <w:tcW w:w="1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682.4</w:t>
            </w:r>
          </w:p>
        </w:tc>
        <w:tc>
          <w:tcPr>
            <w:tcW w:w="1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637.9</w:t>
            </w: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North America</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5,061.0</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5,658.2</w:t>
            </w:r>
          </w:p>
        </w:tc>
        <w:tc>
          <w:tcPr>
            <w:tcW w:w="11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9,677.9</w:t>
            </w:r>
          </w:p>
        </w:tc>
        <w:tc>
          <w:tcPr>
            <w:tcW w:w="12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10,659.4</w:t>
            </w:r>
          </w:p>
        </w:tc>
      </w:tr>
      <w:tr>
        <w:trPr>
          <w:trHeight w:val="284"/>
        </w:trPr>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revenues (excluded from ASC 606)</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111.3</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11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204.8</w:t>
            </w:r>
          </w:p>
        </w:tc>
        <w:tc>
          <w:tcPr>
            <w:tcW w:w="12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302.5</w:t>
            </w:r>
          </w:p>
        </w:tc>
      </w:tr>
      <w:tr>
        <w:trPr>
          <w:trHeight w:val="284"/>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58"/>
        </w:trPr>
        <w:tc>
          <w:tcPr>
            <w:tcW w:w="37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9,459.4</w:t>
            </w:r>
          </w:p>
        </w:tc>
        <w:tc>
          <w:tcPr>
            <w:tcW w:w="12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10,150.8</w:t>
            </w:r>
          </w:p>
        </w:tc>
        <w:tc>
          <w:tcPr>
            <w:tcW w:w="11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18,138.2</w:t>
            </w:r>
          </w:p>
        </w:tc>
        <w:tc>
          <w:tcPr>
            <w:tcW w:w="12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19,332.2</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revenues (excluded from ASC 606) in the table above includes revenue from leases and other transactions that we account for following separate guidance. Our contract assets and liabilities balances, and the changes in these balances, were not material for the six months ended June 30, 2019.</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nature of the receivables related to revenue from contracts with customers and other revenue are substantially similar, given that they are generated from transactions with the same type of counterparties (e.g., separate fuel sales and storage lease with the same counterparty) and are entered into considering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Furthermore, the contract assets and contract liabilities recognized by the Company were not material.</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third-tier airlines, cargo carriers, regional and low-cost carriers, airports, fixed based operators, corporate fleets, fractional operators, private aircraft. In addition, we supply products and services to U.S. and foreign government, intergovernmental and military customers, such as the North Atlantic Treaty Organization (NATO) and the U.S. Defense Logistics Agency.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8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6"/>
                <w:szCs w:val="16"/>
                <w:color w:val="auto"/>
              </w:rPr>
            </w:pPr>
          </w:p>
        </w:tc>
        <w:tc>
          <w:tcPr>
            <w:tcW w:w="3300" w:type="dxa"/>
            <w:vAlign w:val="bottom"/>
            <w:gridSpan w:val="3"/>
          </w:tcPr>
          <w:p>
            <w:pPr>
              <w:jc w:val="right"/>
              <w:ind w:right="968"/>
              <w:spacing w:after="0"/>
              <w:rPr>
                <w:sz w:val="20"/>
                <w:szCs w:val="20"/>
                <w:color w:val="auto"/>
              </w:rPr>
            </w:pPr>
            <w:r>
              <w:rPr>
                <w:rFonts w:ascii="Arial" w:cs="Arial" w:eastAsia="Arial" w:hAnsi="Arial"/>
                <w:sz w:val="14"/>
                <w:szCs w:val="14"/>
                <w:b w:val="1"/>
                <w:bCs w:val="1"/>
                <w:color w:val="auto"/>
              </w:rPr>
              <w:t>For the Six Months Ended</w:t>
            </w:r>
          </w:p>
        </w:tc>
      </w:tr>
      <w:tr>
        <w:trPr>
          <w:trHeight w:val="270"/>
        </w:trPr>
        <w:tc>
          <w:tcPr>
            <w:tcW w:w="2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1320" w:type="dxa"/>
            <w:vAlign w:val="bottom"/>
          </w:tcPr>
          <w:p>
            <w:pPr>
              <w:spacing w:after="0"/>
              <w:rPr>
                <w:sz w:val="23"/>
                <w:szCs w:val="23"/>
                <w:color w:val="auto"/>
              </w:rPr>
            </w:pPr>
          </w:p>
        </w:tc>
      </w:tr>
      <w:tr>
        <w:trPr>
          <w:trHeight w:val="53"/>
        </w:trPr>
        <w:tc>
          <w:tcPr>
            <w:tcW w:w="29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5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1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4,785.0</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4,900.7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9,037.7</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9,193.6</w:t>
            </w: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126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2,663.0</w:t>
            </w:r>
          </w:p>
        </w:tc>
        <w:tc>
          <w:tcPr>
            <w:tcW w:w="56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2,960.2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5,156.6</w:t>
            </w:r>
          </w:p>
        </w:tc>
        <w:tc>
          <w:tcPr>
            <w:tcW w:w="5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5,820.9</w:t>
            </w:r>
          </w:p>
        </w:tc>
      </w:tr>
      <w:tr>
        <w:trPr>
          <w:trHeight w:val="270"/>
        </w:trPr>
        <w:tc>
          <w:tcPr>
            <w:tcW w:w="2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1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2,011.4</w:t>
            </w: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2,289.9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3,943.9</w:t>
            </w:r>
          </w:p>
        </w:tc>
        <w:tc>
          <w:tcPr>
            <w:tcW w:w="5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4,317.7</w:t>
            </w:r>
          </w:p>
        </w:tc>
      </w:tr>
      <w:tr>
        <w:trPr>
          <w:trHeight w:val="304"/>
        </w:trPr>
        <w:tc>
          <w:tcPr>
            <w:tcW w:w="2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9,459.4</w:t>
            </w:r>
          </w:p>
        </w:tc>
        <w:tc>
          <w:tcPr>
            <w:tcW w:w="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10,150.8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18,138.2</w:t>
            </w: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19,332.2</w:t>
            </w:r>
          </w:p>
        </w:tc>
      </w:tr>
      <w:tr>
        <w:trPr>
          <w:trHeight w:val="311"/>
        </w:trPr>
        <w:tc>
          <w:tcPr>
            <w:tcW w:w="29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6"/>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140.5</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254.8</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126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91.7</w:t>
            </w:r>
          </w:p>
        </w:tc>
        <w:tc>
          <w:tcPr>
            <w:tcW w:w="56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193.2</w:t>
            </w:r>
          </w:p>
        </w:tc>
        <w:tc>
          <w:tcPr>
            <w:tcW w:w="5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190.8</w:t>
            </w:r>
          </w:p>
        </w:tc>
      </w:tr>
      <w:tr>
        <w:trPr>
          <w:trHeight w:val="270"/>
        </w:trPr>
        <w:tc>
          <w:tcPr>
            <w:tcW w:w="2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1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36.4</w:t>
            </w: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71.6</w:t>
            </w:r>
          </w:p>
        </w:tc>
        <w:tc>
          <w:tcPr>
            <w:tcW w:w="5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r>
      <w:tr>
        <w:trPr>
          <w:trHeight w:val="304"/>
        </w:trPr>
        <w:tc>
          <w:tcPr>
            <w:tcW w:w="2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268.6</w:t>
            </w:r>
          </w:p>
        </w:tc>
        <w:tc>
          <w:tcPr>
            <w:tcW w:w="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519.7</w:t>
            </w: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489.6</w:t>
            </w:r>
          </w:p>
        </w:tc>
      </w:tr>
      <w:tr>
        <w:trPr>
          <w:trHeight w:val="257"/>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1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73.5</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129.1</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112.0</w:t>
            </w:r>
          </w:p>
        </w:tc>
      </w:tr>
      <w:tr>
        <w:trPr>
          <w:trHeight w:val="276"/>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1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w:t>
            </w: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32.8</w:t>
            </w: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r>
      <w:tr>
        <w:trPr>
          <w:trHeight w:val="264"/>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1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w:t>
            </w:r>
          </w:p>
        </w:tc>
        <w:tc>
          <w:tcPr>
            <w:tcW w:w="5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w:t>
            </w: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w:t>
            </w:r>
          </w:p>
        </w:tc>
      </w:tr>
      <w:tr>
        <w:trPr>
          <w:trHeight w:val="270"/>
        </w:trPr>
        <w:tc>
          <w:tcPr>
            <w:tcW w:w="29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95.4</w:t>
            </w:r>
          </w:p>
        </w:tc>
        <w:tc>
          <w:tcPr>
            <w:tcW w:w="5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185.5</w:t>
            </w: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w:t>
            </w:r>
          </w:p>
        </w:tc>
      </w:tr>
      <w:tr>
        <w:trPr>
          <w:trHeight w:val="264"/>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1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5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r>
      <w:tr>
        <w:trPr>
          <w:trHeight w:val="264"/>
        </w:trPr>
        <w:tc>
          <w:tcPr>
            <w:tcW w:w="29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75.2</w:t>
            </w:r>
          </w:p>
        </w:tc>
        <w:tc>
          <w:tcPr>
            <w:tcW w:w="5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145.6</w:t>
            </w:r>
          </w:p>
        </w:tc>
        <w:tc>
          <w:tcPr>
            <w:tcW w:w="5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118.3</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6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w w:val="95"/>
              </w:rPr>
              <w:t>Aviation segment, net of allowance for bad debt of $14.4 and $17.7 as of June 30, 2019 and December 31, 2018, respectively</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1,099.1</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992.2</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 net of allowance for bad debt of $3.3 and $2.7 as of June 30, 2019 and December 31, 2018, respectively</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872.2</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846.1</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6"/>
              </w:rPr>
              <w:t>Marine segment, net of allowance for bad debt of $20.3 and $19.0 as of June 30, 2019 and December 31, 2018, respectively</w:t>
            </w: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776.5</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901.2</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2,747.9</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2,739.6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2,400.6</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2,261.0</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2,123.6</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2,178.1</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1,014.3</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1,124.2</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113.6</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5,751.2</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5,676.9</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each of the periods presented on the consolidated statements of income and comprehensive income,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See "Item 1A - Risk Factors” of our 2018 10-K Report.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2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3"/>
          </w:tcPr>
          <w:p>
            <w:pPr>
              <w:jc w:val="right"/>
              <w:ind w:right="96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37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98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1320" w:type="dxa"/>
            <w:vAlign w:val="bottom"/>
            <w:tcBorders>
              <w:bottom w:val="single" w:sz="8" w:color="auto"/>
            </w:tcBorders>
          </w:tcPr>
          <w:p>
            <w:pPr>
              <w:spacing w:after="0"/>
              <w:rPr>
                <w:sz w:val="24"/>
                <w:szCs w:val="24"/>
                <w:color w:val="auto"/>
              </w:rPr>
            </w:pPr>
          </w:p>
        </w:tc>
      </w:tr>
      <w:tr>
        <w:trPr>
          <w:trHeight w:val="264"/>
        </w:trPr>
        <w:tc>
          <w:tcPr>
            <w:tcW w:w="3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1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4"/>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attributable to World Fuel</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37.0</w:t>
            </w:r>
          </w:p>
        </w:tc>
        <w:tc>
          <w:tcPr>
            <w:tcW w:w="13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w:t>
            </w:r>
          </w:p>
        </w:tc>
        <w:tc>
          <w:tcPr>
            <w:tcW w:w="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1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57"/>
        </w:trPr>
        <w:tc>
          <w:tcPr>
            <w:tcW w:w="3780" w:type="dxa"/>
            <w:vAlign w:val="bottom"/>
          </w:tcPr>
          <w:p>
            <w:pPr>
              <w:ind w:left="180"/>
              <w:spacing w:after="0" w:line="157" w:lineRule="exact"/>
              <w:rPr>
                <w:sz w:val="20"/>
                <w:szCs w:val="20"/>
                <w:color w:val="auto"/>
              </w:rPr>
            </w:pPr>
            <w:r>
              <w:rPr>
                <w:rFonts w:ascii="Arial" w:cs="Arial" w:eastAsia="Arial" w:hAnsi="Arial"/>
                <w:sz w:val="14"/>
                <w:szCs w:val="14"/>
                <w:color w:val="auto"/>
              </w:rPr>
              <w:t>Weighted average common shares for basic earnings per</w:t>
            </w: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3780" w:type="dxa"/>
            <w:vAlign w:val="bottom"/>
          </w:tcPr>
          <w:p>
            <w:pPr>
              <w:ind w:left="180"/>
              <w:spacing w:after="0"/>
              <w:rPr>
                <w:sz w:val="20"/>
                <w:szCs w:val="20"/>
                <w:color w:val="auto"/>
              </w:rPr>
            </w:pPr>
            <w:r>
              <w:rPr>
                <w:rFonts w:ascii="Arial" w:cs="Arial" w:eastAsia="Arial" w:hAnsi="Arial"/>
                <w:sz w:val="14"/>
                <w:szCs w:val="14"/>
                <w:color w:val="auto"/>
              </w:rPr>
              <w:t>common share</w:t>
            </w:r>
          </w:p>
        </w:tc>
        <w:tc>
          <w:tcPr>
            <w:tcW w:w="128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66.7</w:t>
            </w:r>
          </w:p>
        </w:tc>
        <w:tc>
          <w:tcPr>
            <w:tcW w:w="13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66.9</w:t>
            </w:r>
          </w:p>
        </w:tc>
        <w:tc>
          <w:tcPr>
            <w:tcW w:w="58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67.6</w:t>
            </w:r>
          </w:p>
        </w:tc>
      </w:tr>
      <w:tr>
        <w:trPr>
          <w:trHeight w:val="270"/>
        </w:trPr>
        <w:tc>
          <w:tcPr>
            <w:tcW w:w="3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Effect of dilutive securities</w:t>
            </w:r>
          </w:p>
        </w:tc>
        <w:tc>
          <w:tcPr>
            <w:tcW w:w="1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3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5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156"/>
        </w:trPr>
        <w:tc>
          <w:tcPr>
            <w:tcW w:w="3780" w:type="dxa"/>
            <w:vAlign w:val="bottom"/>
          </w:tcPr>
          <w:p>
            <w:pPr>
              <w:ind w:left="180"/>
              <w:spacing w:after="0" w:line="157" w:lineRule="exact"/>
              <w:rPr>
                <w:sz w:val="20"/>
                <w:szCs w:val="20"/>
                <w:color w:val="auto"/>
              </w:rPr>
            </w:pPr>
            <w:r>
              <w:rPr>
                <w:rFonts w:ascii="Arial" w:cs="Arial" w:eastAsia="Arial" w:hAnsi="Arial"/>
                <w:sz w:val="14"/>
                <w:szCs w:val="14"/>
                <w:color w:val="auto"/>
                <w:w w:val="98"/>
              </w:rPr>
              <w:t>Weighted average common shares for diluted earnings per</w:t>
            </w: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8"/>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common share</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67.0</w:t>
            </w: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w:t>
            </w: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w:t>
            </w:r>
          </w:p>
        </w:tc>
      </w:tr>
      <w:tr>
        <w:trPr>
          <w:trHeight w:val="311"/>
        </w:trPr>
        <w:tc>
          <w:tcPr>
            <w:tcW w:w="37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157"/>
        </w:trPr>
        <w:tc>
          <w:tcPr>
            <w:tcW w:w="3780" w:type="dxa"/>
            <w:vAlign w:val="bottom"/>
          </w:tcPr>
          <w:p>
            <w:pPr>
              <w:ind w:left="40"/>
              <w:spacing w:after="0" w:line="157" w:lineRule="exact"/>
              <w:rPr>
                <w:sz w:val="20"/>
                <w:szCs w:val="20"/>
                <w:color w:val="auto"/>
              </w:rPr>
            </w:pPr>
            <w:r>
              <w:rPr>
                <w:rFonts w:ascii="Arial" w:cs="Arial" w:eastAsia="Arial" w:hAnsi="Arial"/>
                <w:sz w:val="14"/>
                <w:szCs w:val="14"/>
                <w:color w:val="auto"/>
              </w:rPr>
              <w:t>Weighted average securities which are not included in the</w:t>
            </w: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49"/>
        </w:trPr>
        <w:tc>
          <w:tcPr>
            <w:tcW w:w="3780" w:type="dxa"/>
            <w:vAlign w:val="bottom"/>
          </w:tcPr>
          <w:p>
            <w:pPr>
              <w:ind w:left="40"/>
              <w:spacing w:after="0" w:line="149" w:lineRule="exact"/>
              <w:rPr>
                <w:sz w:val="20"/>
                <w:szCs w:val="20"/>
                <w:color w:val="auto"/>
              </w:rPr>
            </w:pPr>
            <w:r>
              <w:rPr>
                <w:rFonts w:ascii="Arial" w:cs="Arial" w:eastAsia="Arial" w:hAnsi="Arial"/>
                <w:sz w:val="14"/>
                <w:szCs w:val="14"/>
                <w:color w:val="auto"/>
              </w:rPr>
              <w:t>calculation of diluted earnings per common share because</w:t>
            </w: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3780" w:type="dxa"/>
            <w:vAlign w:val="bottom"/>
          </w:tcPr>
          <w:p>
            <w:pPr>
              <w:ind w:left="40"/>
              <w:spacing w:after="0" w:line="149" w:lineRule="exact"/>
              <w:rPr>
                <w:sz w:val="20"/>
                <w:szCs w:val="20"/>
                <w:color w:val="auto"/>
              </w:rPr>
            </w:pPr>
            <w:r>
              <w:rPr>
                <w:rFonts w:ascii="Arial" w:cs="Arial" w:eastAsia="Arial" w:hAnsi="Arial"/>
                <w:sz w:val="14"/>
                <w:szCs w:val="14"/>
                <w:color w:val="auto"/>
              </w:rPr>
              <w:t>their impact is anti-dilutive or their performance conditions</w:t>
            </w: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have not been met</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57"/>
        </w:trPr>
        <w:tc>
          <w:tcPr>
            <w:tcW w:w="37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30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0.56</w:t>
            </w:r>
          </w:p>
        </w:tc>
        <w:tc>
          <w:tcPr>
            <w:tcW w:w="13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w:t>
            </w:r>
          </w:p>
        </w:tc>
        <w:tc>
          <w:tcPr>
            <w:tcW w:w="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0.89</w:t>
            </w:r>
          </w:p>
        </w:tc>
      </w:tr>
      <w:tr>
        <w:trPr>
          <w:trHeight w:val="257"/>
        </w:trPr>
        <w:tc>
          <w:tcPr>
            <w:tcW w:w="37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0.55</w:t>
            </w:r>
          </w:p>
        </w:tc>
        <w:tc>
          <w:tcPr>
            <w:tcW w:w="13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quarter ended December 31, 2016, the South Korean branch of one of our subsidiaries received assessments of approximately $10.3 million (KRW 11.9 billion) and during the quarter ended June 30, 2017, an assessment for an additional $17.4 million (KRW 20.1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from the Brazilian tax authorities relating to the ICMS rate used for certain transactions. The total amount of approximately $14.1 million (BRL 54.1 million) primarily consists of interest and penalties. We believe that the assessment is without merit and are pursuing our remedies in the judicial court system.</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June 30, 2019,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2017, we initiated an enterprise-wide restructuring plan that was designed to streamline the organization and reallocate resources to better align our organizational structure and costs with our strategy. While these activities are ongoing, we expect the majority of these activities to be completed in 2019. The restructuring plan involves reviewing non-core businesses and assets, our organizational structure, and expected business prospects in the markets we serve, as well as our existing technology platforms. Accordingly, based on the nature of the activities being reviewed, we cannot reasonably estimate the ultimate cost that will be incurred. We are currently assessing the strategic fit of certain international operations where it has become increasingly more challenging to conduct our core operations and generate profits.</w:t>
      </w:r>
    </w:p>
    <w:p>
      <w:pPr>
        <w:spacing w:after="0" w:line="1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six months ended June 30, 2019, we incurred $3.7 million in restructuring charges, comprised principally of employee-related costs and included in compensation and employee benefits in our consolidated statements of income and comprehensive income. Our accrued restructuring charges as of June 30, 2019, are included in accrued expenses and other current liabilities on our consolidated balance sheet.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our restructuring activities during the six months ended June 30, 2019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Aviation</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Marine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3520" w:type="dxa"/>
            <w:vAlign w:val="bottom"/>
            <w:shd w:val="clear" w:color="auto" w:fill="CCEDFF"/>
          </w:tcPr>
          <w:p>
            <w:pPr>
              <w:ind w:left="40"/>
              <w:spacing w:after="0"/>
              <w:rPr>
                <w:sz w:val="20"/>
                <w:szCs w:val="20"/>
                <w:color w:val="auto"/>
              </w:rPr>
            </w:pPr>
            <w:r>
              <w:rPr>
                <w:rFonts w:ascii="Arial" w:cs="Arial" w:eastAsia="Arial" w:hAnsi="Arial"/>
                <w:sz w:val="14"/>
                <w:szCs w:val="14"/>
                <w:color w:val="auto"/>
              </w:rPr>
              <w:t>Balance as of December 31, 2018</w:t>
            </w:r>
          </w:p>
        </w:tc>
        <w:tc>
          <w:tcPr>
            <w:tcW w:w="1500" w:type="dxa"/>
            <w:vAlign w:val="bottom"/>
            <w:shd w:val="clear" w:color="auto" w:fill="CCED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1.4</w:t>
            </w:r>
          </w:p>
        </w:tc>
        <w:tc>
          <w:tcPr>
            <w:tcW w:w="540" w:type="dxa"/>
            <w:vAlign w:val="bottom"/>
            <w:shd w:val="clear" w:color="auto" w:fill="CCED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12.6</w:t>
            </w:r>
          </w:p>
        </w:tc>
        <w:tc>
          <w:tcPr>
            <w:tcW w:w="480" w:type="dxa"/>
            <w:vAlign w:val="bottom"/>
            <w:shd w:val="clear" w:color="auto" w:fill="CCED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2.6</w:t>
            </w:r>
          </w:p>
        </w:tc>
        <w:tc>
          <w:tcPr>
            <w:tcW w:w="380" w:type="dxa"/>
            <w:vAlign w:val="bottom"/>
            <w:shd w:val="clear" w:color="auto" w:fill="CCED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4.0</w:t>
            </w:r>
          </w:p>
        </w:tc>
        <w:tc>
          <w:tcPr>
            <w:tcW w:w="280" w:type="dxa"/>
            <w:vAlign w:val="bottom"/>
            <w:shd w:val="clear" w:color="auto" w:fill="CCED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20.7</w:t>
            </w:r>
          </w:p>
        </w:tc>
      </w:tr>
      <w:tr>
        <w:trPr>
          <w:trHeight w:val="210"/>
        </w:trPr>
        <w:tc>
          <w:tcPr>
            <w:tcW w:w="3520" w:type="dxa"/>
            <w:vAlign w:val="bottom"/>
          </w:tcPr>
          <w:p>
            <w:pPr>
              <w:ind w:left="40"/>
              <w:spacing w:after="0"/>
              <w:rPr>
                <w:sz w:val="20"/>
                <w:szCs w:val="20"/>
                <w:color w:val="auto"/>
              </w:rPr>
            </w:pPr>
            <w:r>
              <w:rPr>
                <w:rFonts w:ascii="Arial" w:cs="Arial" w:eastAsia="Arial" w:hAnsi="Arial"/>
                <w:sz w:val="14"/>
                <w:szCs w:val="14"/>
                <w:color w:val="auto"/>
              </w:rPr>
              <w:t>Restructuring-related costs</w:t>
            </w:r>
          </w:p>
        </w:tc>
        <w:tc>
          <w:tcPr>
            <w:tcW w:w="15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5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4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03"/>
        </w:trPr>
        <w:tc>
          <w:tcPr>
            <w:tcW w:w="3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Paid during the period</w:t>
            </w:r>
          </w:p>
        </w:tc>
        <w:tc>
          <w:tcPr>
            <w:tcW w:w="1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10"/>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Restructuring charges as of June 30, 2019</w:t>
            </w: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When an arrangement includes both lease and non-lease components, we have elected to combine them and treat them as a lease component for all of our current leased asset classes.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Determining whether a contract contains a lease includes judgment regarding whether the contract conveys the right to control the use of identified property, plant, or equipment for a period of time in exchange for consideration. Assessing whether we have obtained the right to substantially all of the economic benefits and the ability to direct how, and for what purpose, the asset is used requires more judgment in storage arrangements where we must determine whether our rights to capacity may represent substantially all of the available capacity at a location.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account for our lease-related assets and liabilities based on their classification as operating leases or finance leases, following the relevant accounting guidance.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 related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quarter ended June 30, 2019, we recognized the following related to our lease arrangements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40" w:type="dxa"/>
            <w:vAlign w:val="bottom"/>
          </w:tcPr>
          <w:p>
            <w:pPr>
              <w:jc w:val="right"/>
              <w:ind w:right="268"/>
              <w:spacing w:after="0"/>
              <w:rPr>
                <w:sz w:val="20"/>
                <w:szCs w:val="20"/>
                <w:color w:val="auto"/>
              </w:rPr>
            </w:pPr>
            <w:r>
              <w:rPr>
                <w:rFonts w:ascii="Arial" w:cs="Arial" w:eastAsia="Arial" w:hAnsi="Arial"/>
                <w:sz w:val="14"/>
                <w:szCs w:val="14"/>
                <w:b w:val="1"/>
                <w:bCs w:val="1"/>
                <w:color w:val="auto"/>
                <w:w w:val="99"/>
              </w:rPr>
              <w:t>For the Three Months Ended</w:t>
            </w:r>
          </w:p>
        </w:tc>
        <w:tc>
          <w:tcPr>
            <w:tcW w:w="320" w:type="dxa"/>
            <w:vAlign w:val="bottom"/>
          </w:tcPr>
          <w:p>
            <w:pPr>
              <w:spacing w:after="0"/>
              <w:rPr>
                <w:sz w:val="16"/>
                <w:szCs w:val="16"/>
                <w:color w:val="auto"/>
              </w:rPr>
            </w:pPr>
          </w:p>
        </w:tc>
        <w:tc>
          <w:tcPr>
            <w:tcW w:w="2140" w:type="dxa"/>
            <w:vAlign w:val="bottom"/>
          </w:tcPr>
          <w:p>
            <w:pPr>
              <w:jc w:val="right"/>
              <w:ind w:right="308"/>
              <w:spacing w:after="0"/>
              <w:rPr>
                <w:sz w:val="20"/>
                <w:szCs w:val="20"/>
                <w:color w:val="auto"/>
              </w:rPr>
            </w:pPr>
            <w:r>
              <w:rPr>
                <w:rFonts w:ascii="Arial" w:cs="Arial" w:eastAsia="Arial" w:hAnsi="Arial"/>
                <w:sz w:val="14"/>
                <w:szCs w:val="14"/>
                <w:b w:val="1"/>
                <w:bCs w:val="1"/>
                <w:color w:val="auto"/>
              </w:rPr>
              <w:t>For the Six Months Ended</w:t>
            </w:r>
          </w:p>
        </w:tc>
      </w:tr>
      <w:tr>
        <w:trPr>
          <w:trHeight w:val="80"/>
        </w:trPr>
        <w:tc>
          <w:tcPr>
            <w:tcW w:w="44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40" w:type="dxa"/>
            <w:vAlign w:val="bottom"/>
          </w:tcPr>
          <w:p>
            <w:pPr>
              <w:spacing w:after="0"/>
              <w:rPr>
                <w:sz w:val="6"/>
                <w:szCs w:val="6"/>
                <w:color w:val="auto"/>
              </w:rPr>
            </w:pPr>
          </w:p>
        </w:tc>
      </w:tr>
      <w:tr>
        <w:trPr>
          <w:trHeight w:val="191"/>
        </w:trPr>
        <w:tc>
          <w:tcPr>
            <w:tcW w:w="44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2240" w:type="dxa"/>
            <w:vAlign w:val="bottom"/>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June 30, 2019</w:t>
            </w:r>
          </w:p>
        </w:tc>
        <w:tc>
          <w:tcPr>
            <w:tcW w:w="320" w:type="dxa"/>
            <w:vAlign w:val="bottom"/>
            <w:shd w:val="clear" w:color="auto" w:fill="CCEEFF"/>
          </w:tcPr>
          <w:p>
            <w:pPr>
              <w:spacing w:after="0"/>
              <w:rPr>
                <w:sz w:val="16"/>
                <w:szCs w:val="16"/>
                <w:color w:val="auto"/>
              </w:rPr>
            </w:pPr>
          </w:p>
        </w:tc>
        <w:tc>
          <w:tcPr>
            <w:tcW w:w="214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June 30, 2019</w:t>
            </w:r>
          </w:p>
        </w:tc>
      </w:tr>
      <w:tr>
        <w:trPr>
          <w:trHeight w:val="80"/>
        </w:trPr>
        <w:tc>
          <w:tcPr>
            <w:tcW w:w="4420" w:type="dxa"/>
            <w:vAlign w:val="bottom"/>
            <w:tcBorders>
              <w:bottom w:val="single" w:sz="8" w:color="auto"/>
            </w:tcBorders>
            <w:shd w:val="clear" w:color="auto" w:fill="CCEEFF"/>
          </w:tcPr>
          <w:p>
            <w:pPr>
              <w:spacing w:after="0"/>
              <w:rPr>
                <w:sz w:val="6"/>
                <w:szCs w:val="6"/>
                <w:color w:val="auto"/>
              </w:rPr>
            </w:pPr>
          </w:p>
        </w:tc>
        <w:tc>
          <w:tcPr>
            <w:tcW w:w="2300" w:type="dxa"/>
            <w:vAlign w:val="bottom"/>
            <w:tcBorders>
              <w:bottom w:val="single" w:sz="8" w:color="auto"/>
            </w:tcBorders>
            <w:shd w:val="clear" w:color="auto" w:fill="CCEEFF"/>
          </w:tcPr>
          <w:p>
            <w:pPr>
              <w:spacing w:after="0"/>
              <w:rPr>
                <w:sz w:val="6"/>
                <w:szCs w:val="6"/>
                <w:color w:val="auto"/>
              </w:rPr>
            </w:pPr>
          </w:p>
        </w:tc>
        <w:tc>
          <w:tcPr>
            <w:tcW w:w="224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2140" w:type="dxa"/>
            <w:vAlign w:val="bottom"/>
            <w:tcBorders>
              <w:bottom w:val="single" w:sz="8" w:color="auto"/>
            </w:tcBorders>
            <w:shd w:val="clear" w:color="auto" w:fill="CCEEFF"/>
          </w:tcPr>
          <w:p>
            <w:pPr>
              <w:spacing w:after="0"/>
              <w:rPr>
                <w:sz w:val="6"/>
                <w:szCs w:val="6"/>
                <w:color w:val="auto"/>
              </w:rPr>
            </w:pPr>
          </w:p>
        </w:tc>
      </w:tr>
      <w:tr>
        <w:trPr>
          <w:trHeight w:val="258"/>
        </w:trPr>
        <w:tc>
          <w:tcPr>
            <w:tcW w:w="4420" w:type="dxa"/>
            <w:vAlign w:val="bottom"/>
          </w:tcPr>
          <w:p>
            <w:pPr>
              <w:ind w:left="40"/>
              <w:spacing w:after="0"/>
              <w:rPr>
                <w:sz w:val="20"/>
                <w:szCs w:val="20"/>
                <w:color w:val="auto"/>
              </w:rPr>
            </w:pPr>
            <w:r>
              <w:rPr>
                <w:rFonts w:ascii="Arial" w:cs="Arial" w:eastAsia="Arial" w:hAnsi="Arial"/>
                <w:sz w:val="14"/>
                <w:szCs w:val="14"/>
                <w:color w:val="auto"/>
              </w:rPr>
              <w:t>Finance lease cost:</w:t>
            </w:r>
          </w:p>
        </w:tc>
        <w:tc>
          <w:tcPr>
            <w:tcW w:w="23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76"/>
        </w:trPr>
        <w:tc>
          <w:tcPr>
            <w:tcW w:w="4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right-of-use assets</w:t>
            </w:r>
          </w:p>
        </w:tc>
        <w:tc>
          <w:tcPr>
            <w:tcW w:w="2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4420" w:type="dxa"/>
            <w:vAlign w:val="bottom"/>
          </w:tcPr>
          <w:p>
            <w:pPr>
              <w:ind w:left="280"/>
              <w:spacing w:after="0"/>
              <w:rPr>
                <w:sz w:val="20"/>
                <w:szCs w:val="20"/>
                <w:color w:val="auto"/>
              </w:rPr>
            </w:pPr>
            <w:r>
              <w:rPr>
                <w:rFonts w:ascii="Arial" w:cs="Arial" w:eastAsia="Arial" w:hAnsi="Arial"/>
                <w:sz w:val="14"/>
                <w:szCs w:val="14"/>
                <w:color w:val="auto"/>
              </w:rPr>
              <w:t>Interest on lease liabilities</w:t>
            </w:r>
          </w:p>
        </w:tc>
        <w:tc>
          <w:tcPr>
            <w:tcW w:w="2300" w:type="dxa"/>
            <w:vAlign w:val="bottom"/>
          </w:tcPr>
          <w:p>
            <w:pPr>
              <w:spacing w:after="0"/>
              <w:rPr>
                <w:sz w:val="22"/>
                <w:szCs w:val="22"/>
                <w:color w:val="auto"/>
              </w:rPr>
            </w:pPr>
          </w:p>
        </w:tc>
        <w:tc>
          <w:tcPr>
            <w:tcW w:w="22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320" w:type="dxa"/>
            <w:vAlign w:val="bottom"/>
          </w:tcPr>
          <w:p>
            <w:pPr>
              <w:spacing w:after="0"/>
              <w:rPr>
                <w:sz w:val="22"/>
                <w:szCs w:val="22"/>
                <w:color w:val="auto"/>
              </w:rPr>
            </w:pPr>
          </w:p>
        </w:tc>
        <w:tc>
          <w:tcPr>
            <w:tcW w:w="214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76"/>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cost</w:t>
            </w:r>
          </w:p>
        </w:tc>
        <w:tc>
          <w:tcPr>
            <w:tcW w:w="2300" w:type="dxa"/>
            <w:vAlign w:val="bottom"/>
            <w:shd w:val="clear" w:color="auto" w:fill="CCEEFF"/>
          </w:tcPr>
          <w:p>
            <w:pPr>
              <w:spacing w:after="0"/>
              <w:rPr>
                <w:sz w:val="24"/>
                <w:szCs w:val="24"/>
                <w:color w:val="auto"/>
              </w:rPr>
            </w:pPr>
          </w:p>
        </w:tc>
        <w:tc>
          <w:tcPr>
            <w:tcW w:w="2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32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Short-term lease cost</w:t>
            </w:r>
          </w:p>
        </w:tc>
        <w:tc>
          <w:tcPr>
            <w:tcW w:w="2300" w:type="dxa"/>
            <w:vAlign w:val="bottom"/>
          </w:tcPr>
          <w:p>
            <w:pPr>
              <w:spacing w:after="0"/>
              <w:rPr>
                <w:sz w:val="22"/>
                <w:szCs w:val="22"/>
                <w:color w:val="auto"/>
              </w:rPr>
            </w:pPr>
          </w:p>
        </w:tc>
        <w:tc>
          <w:tcPr>
            <w:tcW w:w="224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320" w:type="dxa"/>
            <w:vAlign w:val="bottom"/>
          </w:tcPr>
          <w:p>
            <w:pPr>
              <w:spacing w:after="0"/>
              <w:rPr>
                <w:sz w:val="22"/>
                <w:szCs w:val="22"/>
                <w:color w:val="auto"/>
              </w:rPr>
            </w:pPr>
          </w:p>
        </w:tc>
        <w:tc>
          <w:tcPr>
            <w:tcW w:w="2140" w:type="dxa"/>
            <w:vAlign w:val="bottom"/>
          </w:tcPr>
          <w:p>
            <w:pPr>
              <w:jc w:val="right"/>
              <w:ind w:right="28"/>
              <w:spacing w:after="0"/>
              <w:rPr>
                <w:sz w:val="20"/>
                <w:szCs w:val="20"/>
                <w:color w:val="auto"/>
              </w:rPr>
            </w:pPr>
            <w:r>
              <w:rPr>
                <w:rFonts w:ascii="Arial" w:cs="Arial" w:eastAsia="Arial" w:hAnsi="Arial"/>
                <w:sz w:val="14"/>
                <w:szCs w:val="14"/>
                <w:color w:val="auto"/>
              </w:rPr>
              <w:t>9.5</w:t>
            </w:r>
          </w:p>
        </w:tc>
      </w:tr>
      <w:tr>
        <w:trPr>
          <w:trHeight w:val="276"/>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Variable lease cost</w:t>
            </w:r>
          </w:p>
        </w:tc>
        <w:tc>
          <w:tcPr>
            <w:tcW w:w="2300" w:type="dxa"/>
            <w:vAlign w:val="bottom"/>
            <w:shd w:val="clear" w:color="auto" w:fill="CCEEFF"/>
          </w:tcPr>
          <w:p>
            <w:pPr>
              <w:spacing w:after="0"/>
              <w:rPr>
                <w:sz w:val="24"/>
                <w:szCs w:val="24"/>
                <w:color w:val="auto"/>
              </w:rPr>
            </w:pPr>
          </w:p>
        </w:tc>
        <w:tc>
          <w:tcPr>
            <w:tcW w:w="2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Sublease income</w:t>
            </w:r>
          </w:p>
        </w:tc>
        <w:tc>
          <w:tcPr>
            <w:tcW w:w="23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3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64"/>
        </w:trPr>
        <w:tc>
          <w:tcPr>
            <w:tcW w:w="4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lease cost</w:t>
            </w:r>
          </w:p>
        </w:tc>
        <w:tc>
          <w:tcPr>
            <w:tcW w:w="2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our remaining lease payments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9"/>
              </w:rPr>
              <w:t>Finance Leases</w:t>
            </w: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 (excluding the six months ended June 30, 2019)</w:t>
            </w:r>
          </w:p>
        </w:tc>
        <w:tc>
          <w:tcPr>
            <w:tcW w:w="378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color w:val="auto"/>
              </w:rPr>
              <w:t>2020</w:t>
            </w:r>
          </w:p>
        </w:tc>
        <w:tc>
          <w:tcPr>
            <w:tcW w:w="378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3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37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color w:val="auto"/>
              </w:rPr>
              <w:t>2022</w:t>
            </w:r>
          </w:p>
        </w:tc>
        <w:tc>
          <w:tcPr>
            <w:tcW w:w="378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3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37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Thereafter</w:t>
            </w:r>
          </w:p>
        </w:tc>
        <w:tc>
          <w:tcPr>
            <w:tcW w:w="3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5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remaining lease payments (undiscounted)</w:t>
            </w:r>
          </w:p>
        </w:tc>
        <w:tc>
          <w:tcPr>
            <w:tcW w:w="37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205.5</w:t>
            </w:r>
          </w:p>
        </w:tc>
        <w:tc>
          <w:tcPr>
            <w:tcW w:w="3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r>
      <w:tr>
        <w:trPr>
          <w:trHeight w:val="264"/>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imputed interest</w:t>
            </w:r>
          </w:p>
        </w:tc>
        <w:tc>
          <w:tcPr>
            <w:tcW w:w="3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5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Present value of lease liabilities</w:t>
            </w:r>
          </w:p>
        </w:tc>
        <w:tc>
          <w:tcPr>
            <w:tcW w:w="378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168.7</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future minimum lease payments under noncancelable operating leases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Borders>
              <w:bottom w:val="single" w:sz="8" w:color="auto"/>
            </w:tcBorders>
          </w:tcPr>
          <w:p>
            <w:pPr>
              <w:spacing w:after="0"/>
              <w:rPr>
                <w:sz w:val="16"/>
                <w:szCs w:val="16"/>
                <w:color w:val="auto"/>
              </w:rPr>
            </w:pPr>
          </w:p>
        </w:tc>
        <w:tc>
          <w:tcPr>
            <w:tcW w:w="7620" w:type="dxa"/>
            <w:vAlign w:val="bottom"/>
            <w:tcBorders>
              <w:bottom w:val="single" w:sz="8" w:color="auto"/>
            </w:tcBorders>
          </w:tcPr>
          <w:p>
            <w:pPr>
              <w:jc w:val="right"/>
              <w:ind w:right="380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216"/>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762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r>
      <w:tr>
        <w:trPr>
          <w:trHeight w:val="210"/>
        </w:trPr>
        <w:tc>
          <w:tcPr>
            <w:tcW w:w="2780" w:type="dxa"/>
            <w:vAlign w:val="bottom"/>
          </w:tcPr>
          <w:p>
            <w:pPr>
              <w:ind w:left="40"/>
              <w:spacing w:after="0"/>
              <w:rPr>
                <w:sz w:val="20"/>
                <w:szCs w:val="20"/>
                <w:color w:val="auto"/>
              </w:rPr>
            </w:pPr>
            <w:r>
              <w:rPr>
                <w:rFonts w:ascii="Arial" w:cs="Arial" w:eastAsia="Arial" w:hAnsi="Arial"/>
                <w:sz w:val="14"/>
                <w:szCs w:val="14"/>
                <w:color w:val="auto"/>
              </w:rPr>
              <w:t>2020</w:t>
            </w:r>
          </w:p>
        </w:tc>
        <w:tc>
          <w:tcPr>
            <w:tcW w:w="762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37.1</w:t>
            </w:r>
          </w:p>
        </w:tc>
      </w:tr>
      <w:tr>
        <w:trPr>
          <w:trHeight w:val="222"/>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7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r>
      <w:tr>
        <w:trPr>
          <w:trHeight w:val="210"/>
        </w:trPr>
        <w:tc>
          <w:tcPr>
            <w:tcW w:w="2780" w:type="dxa"/>
            <w:vAlign w:val="bottom"/>
          </w:tcPr>
          <w:p>
            <w:pPr>
              <w:ind w:left="40"/>
              <w:spacing w:after="0"/>
              <w:rPr>
                <w:sz w:val="20"/>
                <w:szCs w:val="20"/>
                <w:color w:val="auto"/>
              </w:rPr>
            </w:pPr>
            <w:r>
              <w:rPr>
                <w:rFonts w:ascii="Arial" w:cs="Arial" w:eastAsia="Arial" w:hAnsi="Arial"/>
                <w:sz w:val="14"/>
                <w:szCs w:val="14"/>
                <w:color w:val="auto"/>
              </w:rPr>
              <w:t>2022</w:t>
            </w:r>
          </w:p>
        </w:tc>
        <w:tc>
          <w:tcPr>
            <w:tcW w:w="762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23.7</w:t>
            </w:r>
          </w:p>
        </w:tc>
      </w:tr>
      <w:tr>
        <w:trPr>
          <w:trHeight w:val="222"/>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7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r>
      <w:tr>
        <w:trPr>
          <w:trHeight w:val="210"/>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Thereafter</w:t>
            </w:r>
          </w:p>
        </w:tc>
        <w:tc>
          <w:tcPr>
            <w:tcW w:w="7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r>
      <w:tr>
        <w:trPr>
          <w:trHeight w:val="264"/>
        </w:trPr>
        <w:tc>
          <w:tcPr>
            <w:tcW w:w="2780" w:type="dxa"/>
            <w:vAlign w:val="bottom"/>
            <w:tcBorders>
              <w:bottom w:val="single" w:sz="8" w:color="auto"/>
            </w:tcBorders>
            <w:shd w:val="clear" w:color="auto" w:fill="CCEEFF"/>
          </w:tcPr>
          <w:p>
            <w:pPr>
              <w:spacing w:after="0"/>
              <w:rPr>
                <w:sz w:val="22"/>
                <w:szCs w:val="22"/>
                <w:color w:val="auto"/>
              </w:rPr>
            </w:pPr>
          </w:p>
        </w:tc>
        <w:tc>
          <w:tcPr>
            <w:tcW w:w="76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208.6</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Classification</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333333"/>
                <w:w w:val="96"/>
              </w:rPr>
              <w:t>As of June 30, 2019</w:t>
            </w:r>
          </w:p>
        </w:tc>
      </w:tr>
      <w:tr>
        <w:trPr>
          <w:trHeight w:val="190"/>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5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80"/>
        </w:trPr>
        <w:tc>
          <w:tcPr>
            <w:tcW w:w="3640" w:type="dxa"/>
            <w:vAlign w:val="bottom"/>
            <w:shd w:val="clear" w:color="auto" w:fill="CCEEFF"/>
          </w:tcPr>
          <w:p>
            <w:pPr>
              <w:spacing w:after="0"/>
              <w:rPr>
                <w:sz w:val="6"/>
                <w:szCs w:val="6"/>
                <w:color w:val="auto"/>
              </w:rPr>
            </w:pPr>
          </w:p>
        </w:tc>
        <w:tc>
          <w:tcPr>
            <w:tcW w:w="5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r>
      <w:tr>
        <w:trPr>
          <w:trHeight w:val="264"/>
        </w:trPr>
        <w:tc>
          <w:tcPr>
            <w:tcW w:w="3640" w:type="dxa"/>
            <w:vAlign w:val="bottom"/>
          </w:tcPr>
          <w:p>
            <w:pPr>
              <w:ind w:left="180"/>
              <w:spacing w:after="0"/>
              <w:rPr>
                <w:sz w:val="20"/>
                <w:szCs w:val="20"/>
                <w:color w:val="auto"/>
              </w:rPr>
            </w:pPr>
            <w:r>
              <w:rPr>
                <w:rFonts w:ascii="Arial" w:cs="Arial" w:eastAsia="Arial" w:hAnsi="Arial"/>
                <w:sz w:val="14"/>
                <w:szCs w:val="14"/>
                <w:color w:val="auto"/>
              </w:rPr>
              <w:t>Operating Lease Assets</w:t>
            </w:r>
          </w:p>
        </w:tc>
        <w:tc>
          <w:tcPr>
            <w:tcW w:w="5180" w:type="dxa"/>
            <w:vAlign w:val="bottom"/>
          </w:tcPr>
          <w:p>
            <w:pPr>
              <w:ind w:left="1220"/>
              <w:spacing w:after="0"/>
              <w:rPr>
                <w:sz w:val="20"/>
                <w:szCs w:val="20"/>
                <w:color w:val="auto"/>
              </w:rPr>
            </w:pPr>
            <w:r>
              <w:rPr>
                <w:rFonts w:ascii="Arial" w:cs="Arial" w:eastAsia="Arial" w:hAnsi="Arial"/>
                <w:sz w:val="14"/>
                <w:szCs w:val="14"/>
                <w:color w:val="auto"/>
              </w:rPr>
              <w:t>Identifiable intangible and other non-current assets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161.9</w:t>
            </w: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Lease Assets</w:t>
            </w:r>
          </w:p>
        </w:tc>
        <w:tc>
          <w:tcPr>
            <w:tcW w:w="518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Property and equipment, net</w:t>
            </w:r>
          </w:p>
        </w:tc>
        <w:tc>
          <w:tcPr>
            <w:tcW w:w="10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r>
      <w:tr>
        <w:trPr>
          <w:trHeight w:val="297"/>
        </w:trPr>
        <w:tc>
          <w:tcPr>
            <w:tcW w:w="36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5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4"/>
        </w:trPr>
        <w:tc>
          <w:tcPr>
            <w:tcW w:w="3640" w:type="dxa"/>
            <w:vAlign w:val="bottom"/>
          </w:tcPr>
          <w:p>
            <w:pPr>
              <w:ind w:left="180"/>
              <w:spacing w:after="0"/>
              <w:rPr>
                <w:sz w:val="20"/>
                <w:szCs w:val="20"/>
                <w:color w:val="auto"/>
              </w:rPr>
            </w:pPr>
            <w:r>
              <w:rPr>
                <w:rFonts w:ascii="Arial" w:cs="Arial" w:eastAsia="Arial" w:hAnsi="Arial"/>
                <w:sz w:val="14"/>
                <w:szCs w:val="14"/>
                <w:color w:val="auto"/>
              </w:rPr>
              <w:t>Operating Lease Liability - Current</w:t>
            </w:r>
          </w:p>
        </w:tc>
        <w:tc>
          <w:tcPr>
            <w:tcW w:w="5180" w:type="dxa"/>
            <w:vAlign w:val="bottom"/>
          </w:tcPr>
          <w:p>
            <w:pPr>
              <w:ind w:left="1220"/>
              <w:spacing w:after="0"/>
              <w:rPr>
                <w:sz w:val="20"/>
                <w:szCs w:val="20"/>
                <w:color w:val="auto"/>
              </w:rPr>
            </w:pPr>
            <w:r>
              <w:rPr>
                <w:rFonts w:ascii="Arial" w:cs="Arial" w:eastAsia="Arial" w:hAnsi="Arial"/>
                <w:sz w:val="14"/>
                <w:szCs w:val="14"/>
                <w:color w:val="auto"/>
              </w:rPr>
              <w:t>Accrued expenses and other current liabilities</w:t>
            </w:r>
          </w:p>
        </w:tc>
        <w:tc>
          <w:tcPr>
            <w:tcW w:w="100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33.4</w:t>
            </w: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Liability - Long Term</w:t>
            </w:r>
          </w:p>
        </w:tc>
        <w:tc>
          <w:tcPr>
            <w:tcW w:w="518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Other long-term liabilities</w:t>
            </w:r>
          </w:p>
        </w:tc>
        <w:tc>
          <w:tcPr>
            <w:tcW w:w="10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135.3</w:t>
            </w:r>
          </w:p>
        </w:tc>
      </w:tr>
      <w:tr>
        <w:trPr>
          <w:trHeight w:val="264"/>
        </w:trPr>
        <w:tc>
          <w:tcPr>
            <w:tcW w:w="3640" w:type="dxa"/>
            <w:vAlign w:val="bottom"/>
          </w:tcPr>
          <w:p>
            <w:pPr>
              <w:ind w:left="180"/>
              <w:spacing w:after="0"/>
              <w:rPr>
                <w:sz w:val="20"/>
                <w:szCs w:val="20"/>
                <w:color w:val="auto"/>
              </w:rPr>
            </w:pPr>
            <w:r>
              <w:rPr>
                <w:rFonts w:ascii="Arial" w:cs="Arial" w:eastAsia="Arial" w:hAnsi="Arial"/>
                <w:sz w:val="14"/>
                <w:szCs w:val="14"/>
                <w:color w:val="auto"/>
              </w:rPr>
              <w:t>Finance Lease Liability - Current</w:t>
            </w:r>
          </w:p>
        </w:tc>
        <w:tc>
          <w:tcPr>
            <w:tcW w:w="5180" w:type="dxa"/>
            <w:vAlign w:val="bottom"/>
          </w:tcPr>
          <w:p>
            <w:pPr>
              <w:ind w:left="1220"/>
              <w:spacing w:after="0"/>
              <w:rPr>
                <w:sz w:val="20"/>
                <w:szCs w:val="20"/>
                <w:color w:val="auto"/>
              </w:rPr>
            </w:pPr>
            <w:r>
              <w:rPr>
                <w:rFonts w:ascii="Arial" w:cs="Arial" w:eastAsia="Arial" w:hAnsi="Arial"/>
                <w:sz w:val="14"/>
                <w:szCs w:val="14"/>
                <w:color w:val="auto"/>
              </w:rPr>
              <w:t>Current maturities of long-term debt and capital leases</w:t>
            </w:r>
          </w:p>
        </w:tc>
        <w:tc>
          <w:tcPr>
            <w:tcW w:w="100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0"/>
        </w:trPr>
        <w:tc>
          <w:tcPr>
            <w:tcW w:w="3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Finance Lease Liability - Long Term</w:t>
            </w:r>
          </w:p>
        </w:tc>
        <w:tc>
          <w:tcPr>
            <w:tcW w:w="51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4"/>
                <w:szCs w:val="14"/>
                <w:color w:val="auto"/>
              </w:rPr>
              <w:t>Long-term debt</w:t>
            </w:r>
          </w:p>
        </w:tc>
        <w:tc>
          <w:tcPr>
            <w:tcW w:w="10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8"/>
              </w:rPr>
              <w:t>Operating Leases</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0"/>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remaining lease term (years)</w:t>
            </w:r>
          </w:p>
        </w:tc>
        <w:tc>
          <w:tcPr>
            <w:tcW w:w="120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6.4</w:t>
            </w:r>
          </w:p>
        </w:tc>
        <w:tc>
          <w:tcPr>
            <w:tcW w:w="34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66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180"/>
              <w:spacing w:after="0"/>
              <w:rPr>
                <w:sz w:val="20"/>
                <w:szCs w:val="20"/>
                <w:color w:val="auto"/>
              </w:rPr>
            </w:pPr>
            <w:r>
              <w:rPr>
                <w:rFonts w:ascii="Arial" w:cs="Arial" w:eastAsia="Arial" w:hAnsi="Arial"/>
                <w:sz w:val="14"/>
                <w:szCs w:val="14"/>
                <w:color w:val="auto"/>
              </w:rPr>
              <w:t>Weighted-average discount rate</w:t>
            </w:r>
          </w:p>
        </w:tc>
        <w:tc>
          <w:tcPr>
            <w:tcW w:w="1200" w:type="dxa"/>
            <w:vAlign w:val="bottom"/>
          </w:tcPr>
          <w:p>
            <w:pPr>
              <w:spacing w:after="0"/>
              <w:rPr>
                <w:sz w:val="22"/>
                <w:szCs w:val="22"/>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3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amounts included in the measurement of lease liabilities (in millions):</w:t>
            </w:r>
          </w:p>
        </w:tc>
        <w:tc>
          <w:tcPr>
            <w:tcW w:w="12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Operating cash flows from finance leases</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cash flows from operating leases</w:t>
            </w:r>
          </w:p>
        </w:tc>
        <w:tc>
          <w:tcPr>
            <w:tcW w:w="1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26.5</w:t>
            </w: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Financing cash flows from finance leases</w:t>
            </w:r>
          </w:p>
        </w:tc>
        <w:tc>
          <w:tcPr>
            <w:tcW w:w="1200" w:type="dxa"/>
            <w:vAlign w:val="bottom"/>
          </w:tcPr>
          <w:p>
            <w:pPr>
              <w:spacing w:after="0"/>
              <w:rPr>
                <w:sz w:val="22"/>
                <w:szCs w:val="22"/>
                <w:color w:val="auto"/>
              </w:rPr>
            </w:pP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Right of use assets obtained in exchange for new operating lease liability (noncash in millions)</w:t>
            </w:r>
          </w:p>
        </w:tc>
        <w:tc>
          <w:tcPr>
            <w:tcW w:w="1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15.8</w:t>
            </w: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6640" w:type="dxa"/>
            <w:vAlign w:val="bottom"/>
          </w:tcPr>
          <w:p>
            <w:pPr>
              <w:ind w:left="180"/>
              <w:spacing w:after="0"/>
              <w:rPr>
                <w:sz w:val="20"/>
                <w:szCs w:val="20"/>
                <w:color w:val="auto"/>
              </w:rPr>
            </w:pPr>
            <w:r>
              <w:rPr>
                <w:rFonts w:ascii="Arial" w:cs="Arial" w:eastAsia="Arial" w:hAnsi="Arial"/>
                <w:sz w:val="14"/>
                <w:szCs w:val="14"/>
                <w:color w:val="auto"/>
              </w:rPr>
              <w:t>Right of use assets obtained in exchange for new financing lease liability (noncash in millions)</w:t>
            </w:r>
          </w:p>
        </w:tc>
        <w:tc>
          <w:tcPr>
            <w:tcW w:w="1200" w:type="dxa"/>
            <w:vAlign w:val="bottom"/>
          </w:tcPr>
          <w:p>
            <w:pPr>
              <w:spacing w:after="0"/>
              <w:rPr>
                <w:sz w:val="22"/>
                <w:szCs w:val="22"/>
                <w:color w:val="auto"/>
              </w:rPr>
            </w:pP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2018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materially from the results suggested by these forward-looking statements. Some factors that may cause our results to differ are disclosed in “Item 1A — Risk Factors” of our 2018 10-K Report.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10-Q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 Specifically, this 10-Q Report includes forward-looking statements about (i) our expectations regarding the future strategic goals for our business; (ii) our expectations regarding the conditions in the aviation, land, and marine markets, including volume and fuel prices, and the impact on our business, (ii) our expectations about the financial impact of portfolio rationalization and our ability to redeploy such capital into activities with sustainable revenue and expected returns, (iii) our expectations regarding government-related activity, including the North Atlantic Treaty Organization (NATO), and the related profit contribution, (iv) our beliefs regarding our competitive advantages and our ability to capitalize on these to drive growth, (v) estimates regarding the short and long-term savings and synergies from our cost-savings initiatives, (vi) our expectations regarding our working capital, liquidity, capital expenditure requirements and other strategic investments, (vii) our expectations and estimates regarding certain tax, legal and accounting matters, including the impact on our financial statements, (viii) our expectations regarding the financial and operational impact of our investments in automation and technology, (ix) our expectations regarding the financial impact of previous acquisitions, including estimates of future expenses and our ability to realize estimated synergies, and (x) estimates regarding the financial impact of our derivative contracts. These forward-looking statements are qualified in their entirety by cautionary statements and risk factor disclosures contained in our SEC filings.</w:t>
      </w:r>
    </w:p>
    <w:p>
      <w:pPr>
        <w:spacing w:after="0" w:line="1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that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 such as NATO;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political, economic or regulatory environment generally and in the markets in which we operate, such as IMO 2020 (defined below);</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 and the impacts associated with Brexit;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generate sufficient future taxable income in jurisdictions with material deferred tax assets and net operating loss carryforwards;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2018 10-K Report and those described from time to time in our other filings with the SEC.</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land and marine transportation industries. In recent years, we have expanded our product and service offerings to include energy advisory services and supply fulfillment with respect to natural gas and power and transaction and payment management solutions to commercial and industrial customers. We endeavor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overall aviation market remains strong, benefiting from continued growth in global passenger demand, and airline profitability remains healthy. Our aviation segment has benefited from our increased logistics capability and we have expanded our aviation fueling operations footprint into additional international territories and airport locations. Our aviation segment has also benefited from continued strong demand from government customers, principally NATO in Afghanistan. Sales to government customers account for a material portion of our aviation segment's profitability and while we expect our government-related activity to remain strong through the balance of 2019, global events and military-related activities, as well as the level of troop deployments and related activity, can cause our sales to government customers to vary significantly from period to period and materially impact our results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land segment has grown primarily through acquisitions as we seek to build out our land fuel distribution capabilities in the U.S. and the U.K. Recently, our land segment has been negatively impacted by our decision to reposition the portfolio and reduce certain supply and trading activities which were not generating a sufficient or predictable economic return as a result of market conditions. In addition, our operating results in the U.S. and U.K. are impacted by winter weather conditions and accordingly, unseasonably warm winter weather has adversely impacted our results, including the first half of 2019. Meanwhile, our land segment has continued to benefit from strong sales to government customers, including NATO in Afghanistan, and we expect such activity to remain generally consistent throughout the balance of 2019. We continue to focus on supplying more sustainable end-user demand to provide greater leverage and ratability in our operating model, as well as driving operational excellence and improving our technology platform to reduce transaction processing costs.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marine segment results have been strong in recent periods despite the weak overall conditions within the global shipping and offshore exploration markets. We believe overall volumes in our marine segment have stabilized and higher average fuel prices, combined with the effects of our cost savings initiatives, have improved profitability. The implementation of mandatory fuel standards, such as the International Maritime Organization's regulations limiting sulfur in fuel oil used on ships that will be effective on January 1, 2020 ("IMO 2020"), may provide additional opportunities for us to create value-added solutions for our customers and further enhance profitability.</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the challenges in the markets where we operate, we continue to rationalize our operating model and portfolio of businesses to gain efficiencies through various initiatives that are ongoing throughout the company. We are investing in automation and technology throughout our businesses, which we expect will ultimately enhance our value proposition while lowering our cost, reducing cycle time and improving scalability. Furthermore, we continue to implement our enterprise-wide restructuring plan, designed to streamline the organization and reallocate resources to align more effectively our organizational structure and costs with our ultimate strategy to improve operating efficiencies. The restructuring program involves rationalizing non-core businesses and investments, refining our organizational structure, and advancing business prospects in the markets we serve, as well as exiting certain business activities and reinventing our core businesses to improve scalability. We expect this portfolio rationalization will free up additional capital to invest in activities with sustainable revenue and adequate returns while we continue to manage our working capital and inventory in a volatile fuel price environment.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commercial and industrial customers in each of these transportation industries. Within each of our segments, we may enter into derivative contracts to mitigate the risk of market price fluctuations and also to offer our customers fuel pricing alternatives to meet their needs.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our aviation segment, we primarily purchase and resell fuel and other products, as well as provide aviation fueling and other related services. Profit from our aviation segment is primarily determined by the volume and the gross profit achieved on fuel sales and related services. In our marine and land segments, we primarily purchase and resell fuel and also act as brokers for others. Profit from our marine and land segments is determined largely by the volume and gross profit achieved on fuel resales and by the volume and commission rate of the brokering business. Profitability in all of our segments also depends on our operating expenses, which can be materially affected to the extent that we are required to provide for potential bad debt.</w:t>
      </w:r>
    </w:p>
    <w:p>
      <w:pPr>
        <w:spacing w:after="0" w:line="158" w:lineRule="exact"/>
        <w:rPr>
          <w:sz w:val="20"/>
          <w:szCs w:val="20"/>
          <w:color w:val="auto"/>
        </w:rPr>
      </w:pPr>
    </w:p>
    <w:p>
      <w:pPr>
        <w:jc w:val="both"/>
        <w:ind w:firstLine="324"/>
        <w:spacing w:after="0" w:line="221" w:lineRule="exact"/>
        <w:rPr>
          <w:rFonts w:ascii="Arial" w:cs="Arial" w:eastAsia="Arial" w:hAnsi="Arial"/>
          <w:sz w:val="17"/>
          <w:szCs w:val="17"/>
          <w:color w:val="auto"/>
        </w:rPr>
      </w:pPr>
      <w:r>
        <w:rPr>
          <w:rFonts w:ascii="Arial" w:cs="Arial" w:eastAsia="Arial" w:hAnsi="Arial"/>
          <w:sz w:val="17"/>
          <w:szCs w:val="17"/>
          <w:color w:val="auto"/>
        </w:rPr>
        <w:t xml:space="preserve">Corporate expenses are allocated to each segment based on usage, where possible, or other factors according to the nature of the activity. We evaluate and manage our business segments using the performance measurement of income from operations. Selected financial information with respect to our business segments is provided in Note </w:t>
      </w:r>
      <w:hyperlink w:anchor="page20">
        <w:r>
          <w:rPr>
            <w:rFonts w:ascii="Arial" w:cs="Arial" w:eastAsia="Arial" w:hAnsi="Arial"/>
            <w:sz w:val="17"/>
            <w:szCs w:val="17"/>
            <w:color w:val="auto"/>
          </w:rPr>
          <w:t xml:space="preserve">10 </w:t>
        </w:r>
      </w:hyperlink>
      <w:r>
        <w:rPr>
          <w:rFonts w:ascii="Arial" w:cs="Arial" w:eastAsia="Arial" w:hAnsi="Arial"/>
          <w:sz w:val="17"/>
          <w:szCs w:val="17"/>
          <w:color w:val="auto"/>
        </w:rPr>
        <w:t>to the accompanying consolidated financial statements included in this 10</w:t>
      </w:r>
      <w:r>
        <w:rPr>
          <w:rFonts w:ascii="MS PGothic" w:cs="MS PGothic" w:eastAsia="MS PGothic" w:hAnsi="MS PGothic"/>
          <w:sz w:val="17"/>
          <w:szCs w:val="17"/>
          <w:color w:val="auto"/>
        </w:rPr>
        <w:t>‑</w:t>
      </w:r>
      <w:r>
        <w:rPr>
          <w:rFonts w:ascii="Arial" w:cs="Arial" w:eastAsia="Arial" w:hAnsi="Arial"/>
          <w:sz w:val="17"/>
          <w:szCs w:val="17"/>
          <w:color w:val="auto"/>
        </w:rPr>
        <w:t>Q Report.</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2019 Compared to Three Months Ended June 30, 2018</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second quarter of 2019 was $9.5 billion, a decrease of $0.7 billion, or 6.8%, as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4,785.0</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4,900.7</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2,663.0</w:t>
            </w:r>
          </w:p>
        </w:tc>
        <w:tc>
          <w:tcPr>
            <w:tcW w:w="4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2,960.2</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(297.3)</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2,011.4</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2,289.9</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(278.6)</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9,459.4</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10,150.8</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(691.4)</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aviation segment were $4.8 billion for the second quarter of 2019, a decrease of $115.6 million, or 2.4% as compared to the second quarter of 2018. Lower average jet fuel prices drove the decrease in aviation revenue in the second quarter of 2019, where the average price per gallon sold was $2.10, as compared to $2.25 in the second quarter of 2018. The decrease in average price per gallon was partly offset by higher volume sold during the period. Total aviation volumes for the second quarter of 2019 were 2.1 billion gallons, an increase of 2.6%, as compared to the comparable prior year period. The increased volumes were primarily attributable to growth in our international fueling operations in Europe and Mexico.</w:t>
      </w:r>
    </w:p>
    <w:p>
      <w:pPr>
        <w:spacing w:after="0" w:line="18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7"/>
          <w:szCs w:val="17"/>
          <w:color w:val="auto"/>
        </w:rPr>
        <w:t>Revenues in our land segment were $2.7 billion for the second quarter of 2019, a decrease of $297.3 million, or 10.0%, as compared to the second quarter of 2018. The decrease in revenue was influenced by lower average fuel prices in the second quarter of 2019, as compared to the second quarter of 2018, where the average price per gallon sold was $1.99, as compared to $2.07 in 2018. Volumes in our land segment also experienced a 7.2% decrease to 1.3 billion gallons for the second quarter of 2019. The land volume decrease was driven principally by our decision to reposition the portfolio and exit certain non-core supply and trading activities in North America, which were not generating a sufficient economic return.</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$2.0 billion for the second quarter of 2019, a decrease of $278.6 million, or 12.2%, as compared to the second quarter of 2018. Volumes in our marine segment declined 13.2% to 5.1 million metric tons in the second quarter of 2019, as compared to 2018, driven principally by our decision to discontinue certain low margin, low return activities in Asia. The decrease in revenues resulting from lower volumes was partly offset by higher average bunker fuel prices, where we experienced a 1.2% increase in the average price per metric ton sold, to $393.6 in the second quarter of 2019 as compared to $388.9 in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second quarter of 2019 was $268.6 million, an increase of $22.4 million, or 9.1%, as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53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88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140.5</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127.4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88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91.7</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88.6</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3.1</w:t>
            </w:r>
          </w:p>
        </w:tc>
      </w:tr>
      <w:tr>
        <w:trPr>
          <w:trHeight w:val="33"/>
        </w:trPr>
        <w:tc>
          <w:tcPr>
            <w:tcW w:w="42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36.4</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r>
      <w:tr>
        <w:trPr>
          <w:trHeight w:val="231"/>
        </w:trPr>
        <w:tc>
          <w:tcPr>
            <w:tcW w:w="420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268.6</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246.2</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22.4</w:t>
            </w:r>
          </w:p>
        </w:tc>
      </w:tr>
      <w:tr>
        <w:trPr>
          <w:trHeight w:val="33"/>
        </w:trPr>
        <w:tc>
          <w:tcPr>
            <w:tcW w:w="42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second quarter of 2019 was $140.5 million, an increase of $13.1 million, or 10.3%, as compared to the second quarter of 2018. The increase in aviation gross profit was primarily due to continued profitability in our government-related operations as well as growth in our core commercial and international fueling operations, partially offset by the negative impact of declining market prices through the second quarter of 2019.</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second quarter of 2019 was $91.7 million, an increase of $3.1 million, or 3.5%, as compared to the second quarter of 2018. The increase in land segment gross profit was primarily attributable to higher profitability in our government-related operations, the Kinect gas and power business, and our MultiService payment solutions business. These increases were partially offset by a decline in North America supply and trading activities as well as weather-related weakness in our UK heating oil business.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marine segment gross profit for the second quarter of 2019 was $36.4 million, an increase of $6.2 million, or 20.4%, as compared to the second quarter of 2018. The gross profit increase was principally driven by higher profitability in our core resale business.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second quarter of 2019 were $193.4 million, an increase of $8.3 million, or 4.5%,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2018. The increase in operating expenses was primarily due to changes in employee incentive compensation as well as higher general and administrative expenses.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113.9</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110.2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79.5</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74.9</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4.6</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193.4</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185.1</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4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73.5</w:t>
            </w:r>
          </w:p>
        </w:tc>
        <w:tc>
          <w:tcPr>
            <w:tcW w:w="94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80" w:type="dxa"/>
            <w:vAlign w:val="bottom"/>
          </w:tcPr>
          <w:p>
            <w:pPr>
              <w:spacing w:after="0"/>
              <w:rPr>
                <w:sz w:val="20"/>
                <w:szCs w:val="20"/>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color w:val="auto"/>
              </w:rPr>
              <w:t>11.8</w:t>
            </w:r>
          </w:p>
        </w:tc>
        <w:tc>
          <w:tcPr>
            <w:tcW w:w="9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95.4</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82.3</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overhead - unallocated</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(20.2)</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75.2</w:t>
            </w:r>
          </w:p>
        </w:tc>
        <w:tc>
          <w:tcPr>
            <w:tcW w:w="94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61.1</w:t>
            </w:r>
          </w:p>
        </w:tc>
        <w:tc>
          <w:tcPr>
            <w:tcW w:w="5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14.1</w:t>
            </w:r>
          </w:p>
        </w:tc>
      </w:tr>
      <w:tr>
        <w:trPr>
          <w:trHeight w:val="33"/>
        </w:trPr>
        <w:tc>
          <w:tcPr>
            <w:tcW w:w="47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income from operations for the second quarter of 2019 was $75.2 million, an increase of $14.1 million, or 23.1%, as compared to the second quarter of 2018. The improvements in operating profitability reported for the first quarter of 2019 continued into the second quarter across all three reporting segments. Within our aviation segment, the increase was primarily due to higher profitability in our government-related operations and growth in our core commercial and international fueling operations, partially offset by increases in third party card processing fees. Within our marine segment, we experienced higher operating income as a result of improved profitability in our core resale business. Improved profitability in our land segment was driven primarily by our government-related operations, the Kinect gas and power business, and growth in our MultiService payment solutions business. These increases in profitability were partially offset by lower earnings contribution from our North America supply and trading activities as well as our UK heating oil business, together with an increase in employee incentive compensation and general and administrative expenses.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second quarter of 2019 were $20.2 million, a decrease of $1.0 million, or 4.8%, as compared to the second quarter of 2018, primarily attributable to decreases in professional services fee expenses.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second quarter of 2019, we had non-operating expenses of $17.6 million, a decrease of $1.9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2018, driven principally by gains on disposal of certain non-core assets and foreign currency transactions. These gains were partly offset by an increase in interest and fees associated with our receivable purchase programs.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second quarter of 2019, our effective income tax rate was 34.7% and our income tax provision was $20.0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29.7% and an income tax provision of $12.4 million for the second quarter of 2018. The higher effective income tax rate for the second quarter of 2019 was primarily related to differences in discrete items year over year.</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second quarter of 2019, net income attributable to noncontrolling interest was $0.6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22.2%, as compared to the second quarter of 2018.</w:t>
      </w:r>
    </w:p>
    <w:p>
      <w:pPr>
        <w:spacing w:after="0" w:line="14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Net Income and Diluted Earnings per Common Share</w:t>
      </w:r>
      <w:r>
        <w:rPr>
          <w:rFonts w:ascii="Arial" w:cs="Arial" w:eastAsia="Arial" w:hAnsi="Arial"/>
          <w:sz w:val="16"/>
          <w:szCs w:val="16"/>
          <w:color w:val="auto"/>
        </w:rPr>
        <w:t>. For the second quarter of 2019, we had a net income of $37.0 million and diluted earnings per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 of $0.55 as compared to net income of $28.7 million and diluted earnings per common share of $0.42 for the second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Six Months Ended June 30, 2019 Compared to Six Months Ended June 30, 2018</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revenue for the first six months of 2019 was $18.1 billion, a decrease of $1.2 billion, or 6.2%, as compared to the first six months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revenue during these periods was attributable to the following segments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521"/>
              <w:spacing w:after="0"/>
              <w:rPr>
                <w:sz w:val="20"/>
                <w:szCs w:val="20"/>
                <w:color w:val="auto"/>
              </w:rPr>
            </w:pPr>
            <w:r>
              <w:rPr>
                <w:rFonts w:ascii="Arial" w:cs="Arial" w:eastAsia="Arial" w:hAnsi="Arial"/>
                <w:sz w:val="14"/>
                <w:szCs w:val="14"/>
                <w:b w:val="1"/>
                <w:bCs w:val="1"/>
                <w:color w:val="auto"/>
              </w:rPr>
              <w:t>For the Six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9,037.7</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9,193.6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5,156.6</w:t>
            </w:r>
          </w:p>
        </w:tc>
        <w:tc>
          <w:tcPr>
            <w:tcW w:w="4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5,820.9</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(664.3)</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3,943.9</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4,317.7</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(373.8)</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18,138.2</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19,332.2</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(1,194.0)</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in our aviation segment were $9.0 billion for the first six months of 2019, a decrease of $0.2 billion, or 1.7%, as compared to the first six months of 2018. The overall decrease in revenue was primarily driven by lower average jet fuel prices per gallon sold in the first six months of 2019, where the average price per gallon sold was $2.08</w:t>
      </w:r>
      <w:r>
        <w:rPr>
          <w:rFonts w:ascii="Arial" w:cs="Arial" w:eastAsia="Arial" w:hAnsi="Arial"/>
          <w:sz w:val="16"/>
          <w:szCs w:val="16"/>
          <w:u w:val="single" w:color="auto"/>
          <w:color w:val="auto"/>
        </w:rPr>
        <w:t>,</w:t>
      </w:r>
      <w:r>
        <w:rPr>
          <w:rFonts w:ascii="Arial" w:cs="Arial" w:eastAsia="Arial" w:hAnsi="Arial"/>
          <w:sz w:val="16"/>
          <w:szCs w:val="16"/>
          <w:color w:val="auto"/>
        </w:rPr>
        <w:t xml:space="preserve"> as compared to $2.17 in the first six months of 2018. The decrease in average price per gallon was partially offset by higher volume sold during the period. Total volumes for the first six months of 2019 were 4.1 billion gallons, an increase of 1.4%, as compared to the comparable prior year period. The increased volumes were primarily attributable to growth in our international fueling operations in Europe and Mexico.</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Revenues in our land segment were $5.2 billion for the first six months of 2019, a decrease of $0.7 billion, or 11.4%, as compared to the first six months of 2018. The overall decrease in revenue was influenced by lower average fuel price per gallon sold in the first six months of 2019, as compared to the first six months of 2018. Volumes in our land segment fell by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2.7 billion</w:t>
      </w:r>
      <w:r>
        <w:rPr>
          <w:rFonts w:ascii="Arial" w:cs="Arial" w:eastAsia="Arial" w:hAnsi="Arial"/>
          <w:sz w:val="18"/>
          <w:szCs w:val="18"/>
          <w:color w:val="auto"/>
        </w:rPr>
        <w:t xml:space="preserve"> gallons, for the first six months of 2018, as compared to the first six months of 2018. The land volume decrease was driven principally by our decision to reposition the portfolio and exit certain non-core supply and trading activities in North America, which were not generating a sufficient economic return.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$3.9 billion for the first six months of 2019, a decrease of $0.4 billion, or 8.7%, as compared to the first six months of 2018. Volumes in our marine segment were 10.3 million metric tons, a decrease of 11.6%, for the first six months of 2019 as compared to the 2018 period, driven principally by our decision to discontinue certain low margin, low return activities in Asia. The decrease in revenues resulting from lower volumes was partly offset by higher average bunker fuel prices, as we experienced a 3.3% increase in the average price per metric ton sold, to $382.6 in the first six months of 2019 as compared to $370.2 in 2018.</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six months of 2019 was $519.7 million, an increase of $30.1 million, or 6.1%, as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53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Aviation segment</w:t>
            </w:r>
          </w:p>
        </w:tc>
        <w:tc>
          <w:tcPr>
            <w:tcW w:w="38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254.8</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237.3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w:t>
            </w:r>
          </w:p>
        </w:tc>
      </w:tr>
      <w:tr>
        <w:trPr>
          <w:trHeight w:val="237"/>
        </w:trPr>
        <w:tc>
          <w:tcPr>
            <w:tcW w:w="4260" w:type="dxa"/>
            <w:vAlign w:val="bottom"/>
          </w:tcPr>
          <w:p>
            <w:pPr>
              <w:ind w:left="180"/>
              <w:spacing w:after="0"/>
              <w:rPr>
                <w:sz w:val="20"/>
                <w:szCs w:val="20"/>
                <w:color w:val="auto"/>
              </w:rPr>
            </w:pPr>
            <w:r>
              <w:rPr>
                <w:rFonts w:ascii="Arial" w:cs="Arial" w:eastAsia="Arial" w:hAnsi="Arial"/>
                <w:sz w:val="16"/>
                <w:szCs w:val="16"/>
                <w:color w:val="auto"/>
              </w:rPr>
              <w:t>Land segment</w:t>
            </w:r>
          </w:p>
        </w:tc>
        <w:tc>
          <w:tcPr>
            <w:tcW w:w="38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193.2</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190.8</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2.5</w:t>
            </w:r>
          </w:p>
        </w:tc>
      </w:tr>
      <w:tr>
        <w:trPr>
          <w:trHeight w:val="33"/>
        </w:trPr>
        <w:tc>
          <w:tcPr>
            <w:tcW w:w="4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Marine segment</w:t>
            </w:r>
          </w:p>
        </w:tc>
        <w:tc>
          <w:tcPr>
            <w:tcW w:w="3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71.6</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r>
      <w:tr>
        <w:trPr>
          <w:trHeight w:val="231"/>
        </w:trPr>
        <w:tc>
          <w:tcPr>
            <w:tcW w:w="426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519.7</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489.6</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30.1</w:t>
            </w:r>
          </w:p>
        </w:tc>
      </w:tr>
      <w:tr>
        <w:trPr>
          <w:trHeight w:val="33"/>
        </w:trPr>
        <w:tc>
          <w:tcPr>
            <w:tcW w:w="4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first six months of 2019 was $254.8 million, an increase of $17.5 million, or 7.4%, as compared to the first six months of 2018. The increase in aviation gross profit was primarily due to continued profitability from our government-related operations as well as growth in our core commercial and international fueling operations, partially offset by the negative impact of declining market prices through the first six months of 2019 as compared to 2018.</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land segment gross profit for the first six months of 2019 was $193.2 million, an increase of $2.5 million, or 1.3%, as compared to the first six months of 2018. The increase in land segment gross profit is primarily attributable to higher profitability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government-related operations, the Kinect gas and power business, and our MultiService payment solutions business. These increases were partially offset by weather-related weakness in our UK heating oil business.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marine segment gross profit for the first six months of 2019 was $71.6 million, an increase of $10.1 million, or 16.5%, as compared to the first six months of 2018. The gross profit increase was principally driven by higher profitability within our core resale business.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six months of 2019 were $374.1 million, an increase of $2.8 million, or 0.8%,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total increase in operating expenses was primarily attributable to an increase in general and administrative expenses.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224.0</w:t>
            </w:r>
          </w:p>
        </w:tc>
        <w:tc>
          <w:tcPr>
            <w:tcW w:w="94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224.1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8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150.1</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147.2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r>
      <w:tr>
        <w:trPr>
          <w:trHeight w:val="231"/>
        </w:trPr>
        <w:tc>
          <w:tcPr>
            <w:tcW w:w="48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374.1</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371.3</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For the Six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r>
      <w:tr>
        <w:trPr>
          <w:trHeight w:val="264"/>
        </w:trPr>
        <w:tc>
          <w:tcPr>
            <w:tcW w:w="4720" w:type="dxa"/>
            <w:vAlign w:val="bottom"/>
            <w:tcBorders>
              <w:bottom w:val="single" w:sz="8" w:color="auto"/>
            </w:tcBorders>
            <w:shd w:val="clear" w:color="auto" w:fill="CCEEFF"/>
          </w:tcPr>
          <w:p>
            <w:pPr>
              <w:spacing w:after="0"/>
              <w:rPr>
                <w:sz w:val="22"/>
                <w:szCs w:val="22"/>
                <w:color w:val="auto"/>
              </w:rPr>
            </w:pPr>
          </w:p>
        </w:tc>
        <w:tc>
          <w:tcPr>
            <w:tcW w:w="28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Aviation segment</w:t>
            </w:r>
          </w:p>
        </w:tc>
        <w:tc>
          <w:tcPr>
            <w:tcW w:w="2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129.1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17.1</w:t>
            </w:r>
          </w:p>
        </w:tc>
      </w:tr>
      <w:tr>
        <w:trPr>
          <w:trHeight w:val="33"/>
        </w:trPr>
        <w:tc>
          <w:tcPr>
            <w:tcW w:w="47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segment</w:t>
            </w:r>
          </w:p>
        </w:tc>
        <w:tc>
          <w:tcPr>
            <w:tcW w:w="2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32.8</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Marine Segment</w:t>
            </w:r>
          </w:p>
        </w:tc>
        <w:tc>
          <w:tcPr>
            <w:tcW w:w="2820" w:type="dxa"/>
            <w:vAlign w:val="bottom"/>
          </w:tcPr>
          <w:p>
            <w:pPr>
              <w:spacing w:after="0"/>
              <w:rPr>
                <w:sz w:val="20"/>
                <w:szCs w:val="20"/>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23.6</w:t>
            </w:r>
          </w:p>
        </w:tc>
        <w:tc>
          <w:tcPr>
            <w:tcW w:w="4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33"/>
        </w:trPr>
        <w:tc>
          <w:tcPr>
            <w:tcW w:w="47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185.5</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Corporate overhead - unallocated</w:t>
            </w:r>
          </w:p>
        </w:tc>
        <w:tc>
          <w:tcPr>
            <w:tcW w:w="282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(40.0)</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7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145.6</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income from operations for the first six months of 2019 was $145.6 million, an increase of $27.3 million, or 23.0%, as compared to the first six months of 2018, and includes $3.4 million of operating income, which was recorded during the quarter ending March 31, 2019, to correct an item that should have been recognized in 2018. The improved operating income was primarily the result of higher profitability across all three reporting segments. Our aviation segment benefited from higher profitability in our government-related operations, core commercial and international fueling operations. Our marine segment experienced higher profitability from the core resale business. In our land segment, improved profitability was driven primarily by government-related operations, the Kinect gas and power business, and our MultiService payment solutions business. The increases in profitability were partially offset by higher general and administrative expenses.</w:t>
      </w:r>
    </w:p>
    <w:p>
      <w:pPr>
        <w:spacing w:after="0" w:line="18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six months of 2019 were $40.0 million, which was flat as compared to the first six months of 2018.</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six months of 2019 we had non-operating expenses, net of $36.6 million, a decrease of $1.5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six months of 2018 driven principally by gains on disposal of certain non-core assets and foreign currency transactions. These gains were partly offset by an increase in interest and fees associated with our receivable purchase programs.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six months of 2019, our effective income tax rate was 31.2% and our income tax provision was $34.0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24.6% and an income tax provision of $19.7 million for the first six months of 2018. The higher effective income tax rate for the first six months of 2019 was impacted by changes in the valuation allowance in various jurisdictions and our mix of income being generated in tax jurisdictions with varying income tax rates. See Note 8 - Income Taxes for additional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six months of 2019, net income attributable to noncontrolling interest was $0.7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20.9%, as compared to the first six months of 2018.</w:t>
      </w:r>
    </w:p>
    <w:p>
      <w:pPr>
        <w:spacing w:after="0" w:line="17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i w:val="1"/>
          <w:iCs w:val="1"/>
          <w:color w:val="auto"/>
        </w:rPr>
        <w:t>Net Income and Diluted Earnings per Common Share</w:t>
      </w:r>
      <w:r>
        <w:rPr>
          <w:rFonts w:ascii="Arial" w:cs="Arial" w:eastAsia="Arial" w:hAnsi="Arial"/>
          <w:sz w:val="16"/>
          <w:szCs w:val="16"/>
          <w:color w:val="auto"/>
        </w:rPr>
        <w:t>. For the first six months of 2019, we had a net income of $74.2 million and diluted earnings per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 of $1.10 as compared to net income of $59.9 million and diluted earnings per common share of $0.88 for the first six months of 2018.</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net income for the first six months of 2019 includes a net discrete tax benefit of $3.2 million with respect to a foreign tax filing and $3.4 million of operating income ($2.3 million after-tax), both of which should have been recognized in 2018. Excluding these misstatements, which were recorded during the first quarter ending March 31, 2019, which we have determined were not material to the three months ending March 31, 2019 and the six months ending June 30, 2019 or 2018, our net income would have been $68.8 million, or $1.02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changes in fuel prices. Availability under our Credit Facility is also limited by, among other things, our financial leverage ratio, which limits the total amount of indebtedness we may incur, and may, therefore, fluctuate from period to period.</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Cash and liquidity are significant priorities for us and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higher fuel prices may reduce the amount of fuel we can purchase on an unsecured basis, and in certain cases, we may be required to prepay fuel purchases, which would negatively impact our liquidity. Fuel price increases may also negatively impact our customers, in that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1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cash and cash equivalents as of June 30, 2019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and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six months ended June 30, 2019 and 2018 (in millions). For additional details, please see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20" w:type="dxa"/>
            <w:vAlign w:val="bottom"/>
            <w:gridSpan w:val="2"/>
          </w:tcPr>
          <w:p>
            <w:pPr>
              <w:jc w:val="center"/>
              <w:ind w:right="283"/>
              <w:spacing w:after="0"/>
              <w:rPr>
                <w:sz w:val="20"/>
                <w:szCs w:val="20"/>
                <w:color w:val="auto"/>
              </w:rPr>
            </w:pPr>
            <w:r>
              <w:rPr>
                <w:rFonts w:ascii="Arial" w:cs="Arial" w:eastAsia="Arial" w:hAnsi="Arial"/>
                <w:sz w:val="14"/>
                <w:szCs w:val="14"/>
                <w:b w:val="1"/>
                <w:bCs w:val="1"/>
                <w:color w:val="auto"/>
                <w:w w:val="93"/>
              </w:rPr>
              <w:t>For the Six Months Ended</w:t>
            </w:r>
          </w:p>
        </w:tc>
        <w:tc>
          <w:tcPr>
            <w:tcW w:w="64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ind w:right="323"/>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08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135.8</w:t>
            </w:r>
          </w:p>
        </w:tc>
        <w:tc>
          <w:tcPr>
            <w:tcW w:w="124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108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(33.6)</w:t>
            </w:r>
          </w:p>
        </w:tc>
        <w:tc>
          <w:tcPr>
            <w:tcW w:w="1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199.5</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(97.1)</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5"/>
          <w:szCs w:val="15"/>
          <w:color w:val="auto"/>
        </w:rPr>
        <w:t>*The adoption of ASU 2016-15 resulted in operating cash flow decreases and investing cash flow increases of $241.9 million for the six months ended June 30, 2018.</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the beginning of 2018, accounting standards update 2016-15 (“ASU 2016-15”) became effective for us and provided revised guidance on the presentation of certain items, including those associated with retained beneficial interests in accounts receivable sale programs. Under the terms of our receivables purchase agreements (“RPAs”) with Wells Fargo and Citibank, we were entitled to retained beneficial interests, which gave us the right to receive additional cash consideration of either 10% or 6%, as a result of receiving cash consideration equal to either 90% or 94%, respectively of the total accounts receivables balance. Under the revised guidance, previously disclosed cash inflows attributable to held beneficial interests were no longer treated as a component of accounts receivables, net in operating activities, but instead were classified separately as an investing activity. During the quarter ended September 30, 2018, however, we amended the RPAs with Wells Fargo and Citibank to remove the retained beneficial interests, allowing us to sell 100% of our outstanding qualifying accounts receivable balances and receive cash consideration equal to the total balance, less a discount margin equal to LIBOR plus 1% to 3%.</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first six months of 2019, net cash provided by operating activities was $135.8 million as compared to net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of $228.6 million for the first six months of 2018. The $364.3 million change in operating cash flows was principally due to year-over-year changes in accounts receivables, accounts payable and derivatives. The $487.2 million increase in cash provided by changes in accounts receivable was offset by a $230.9 million increases in cash used in accounts payable which were primarily associated with the timing of collections and payments. Cash flows provided by derivative contracts, net of cash collateral with financial counterparties, increased by $110.0 million as compared to the first six months of 2018, primarily as a result of the expiration and realization of favorable positions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first six months of 2019, net cash used in investing activities was $33.6 million as compared to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activities of $199.5 million for the first six months of 2018. The $233.1 million change in investing activities cash flows was principally due to decreased cash receipts of retained beneficial interests in accounts receivable sales, resulting from the amendment of our RPA arrangement with Wells Fargo and Citibank.</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first six months of 2019, net cash used in financing activities was $97.1 million as compared to net cash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$154.7 million for the first six months of 2018. The $57.6 million change was principally due to a $123.5 million increase in net borrowing of debt under our credit facility in the first six months of 2019 as compared to the first six months of 2018, partly offset by a $65.4 million increase in cash used for the repurchase of common stock.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June 30, 2019 and December 31, 2018, we had cash and cash equivalents of $218.1 million and $211.7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Our Credit Facility, as amended through June 30, 2019, consisted of a revolving loan under which up to $1.2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could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 In addition, as of June 30, 2019 and December 31, 2018, we had $498.0 million and $514.8 million in Term Loans outstanding, respectively. In July 2019, we amended our Credit Facility to, among other things, (i) increase the borrowing capacity to $1.3 billion, (ii) increase the Term Loans to $525.0 million, (iii) extend the maturity date to July 2024, and (iv) modify certain financial and other covenants to reduce costs and provide greater operating flexibility.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2019 and December 31, 2018, we had outstanding borrowings under our Credit Facility totaling $167.0 million and $170.0 million, respectively. Our issued letters of credit under the Credit Facility totaled $3.8 million and $4.1 million as of June 30, 2019 and December 31, 2018, respectively. As of June 30, 2019 and December 31, 2018, the unused portion of our Credit Facility was $989.2 million and $985.9 million. The unused portion of our revolving Credit Facility is limited by, among other things, our financial leverage ratio, which limits the total amount of indebtedness we may incur, and may, therefore, fluctuate from period to period.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As of June 30, 2019, we were in compliance with all financial covenants contained in our Credit Facility and our Term Loans.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June 30, 2019 and December 31, 2018, our outstanding letters of credit and bank guarantees under these credit lines totaled $425.4 million and $303.6 million, respectively. We also have RPAs that allow for the sale of up to an aggregate of $725.0 million of our accounts receivable. Our sold accounts receivable under the RPAs was $531.4 million and $508.2 million, as of June 30, 2019 and December 31, 2018,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June 30, 2019, our short-term debt of $16.8 million primarily represents the current maturities (within the next twelve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borrowings, certain promissory notes related to acquisitions and capital lease obligations.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2018 to June 30, 2019. For a discussion of these matters, refer to “Contractual Obligations and Off-Balance Sheet Arrangements” in Item 7 of our 2018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June 30, 2019, our net derivative obligations were $43.1 million, principally due within one year.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June 30, 2019, fixed purchase commitments under our derivative programs amounted to $58.9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letters of credit expire within one year from their issuance, and expired letters of credit are renewed as needed. As of June 30, 2019, we had issued letters of credit and bank guarantees totaling $429.2 million under our Credit Facility and other uncommitted credit lines. For additional information on our Credit Facility and other credit lines, see the discussion in “Liquidity and Capital Resources” above.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Basis of Presentation and Significant Accounting Policies, in the “Notes to the Consolidated Financial Statements” in this 10-Q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June 30, 2019, see Notes to the Consolidated Financial Statements – </w:t>
      </w:r>
      <w:r>
        <w:rPr>
          <w:rFonts w:ascii="Arial" w:cs="Arial" w:eastAsia="Arial" w:hAnsi="Arial"/>
          <w:sz w:val="18"/>
          <w:szCs w:val="18"/>
          <w:i w:val="1"/>
          <w:iCs w:val="1"/>
          <w:color w:val="auto"/>
        </w:rPr>
        <w:t>Note 4.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2018. Please refer to our 2018 10-K Report for a complete discussion of our exposure to these risks.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2019.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June 30, 2019.</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July 20, 2016, we were informed that the U.S. Department of Justice (the “DOJ”) is conducting an investigation into the aviation fuel supply industry, including certain activities by us and other industry participants at an airport in Central America. In connection therewith, we were served with formal requests by the DOJ about our activities at that airport and our aviation fuel supply business more broadly. We are cooperating with the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U.S., Brazil, Denmark and South Korea, where the amounts under controversy may be material. See Notes 8 and 12 of the accompanying consolidated financial statements for additional details regarding certain tax matters.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June 30, 2019 (in thousands, except average price per share):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6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060" w:type="dxa"/>
            <w:vAlign w:val="bottom"/>
            <w:vMerge w:val="restart"/>
          </w:tcPr>
          <w:p>
            <w:pPr>
              <w:jc w:val="center"/>
              <w:ind w:left="968"/>
              <w:spacing w:after="0"/>
              <w:rPr>
                <w:sz w:val="20"/>
                <w:szCs w:val="20"/>
                <w:color w:val="auto"/>
              </w:rPr>
            </w:pPr>
            <w:r>
              <w:rPr>
                <w:rFonts w:ascii="Arial" w:cs="Arial" w:eastAsia="Arial" w:hAnsi="Arial"/>
                <w:sz w:val="14"/>
                <w:szCs w:val="14"/>
                <w:b w:val="1"/>
                <w:bCs w:val="1"/>
                <w:color w:val="auto"/>
                <w:w w:val="95"/>
              </w:rPr>
              <w:t>Total Number</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9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of Shares Purchased</w:t>
            </w: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vMerge w:val="restart"/>
          </w:tcPr>
          <w:p>
            <w:pPr>
              <w:jc w:val="right"/>
              <w:ind w:right="728"/>
              <w:spacing w:after="0"/>
              <w:rPr>
                <w:sz w:val="20"/>
                <w:szCs w:val="20"/>
                <w:color w:val="auto"/>
              </w:rPr>
            </w:pPr>
            <w:r>
              <w:rPr>
                <w:rFonts w:ascii="Arial" w:cs="Arial" w:eastAsia="Arial" w:hAnsi="Arial"/>
                <w:sz w:val="14"/>
                <w:szCs w:val="14"/>
                <w:b w:val="1"/>
                <w:bCs w:val="1"/>
                <w:color w:val="auto"/>
              </w:rPr>
              <w:t>Average Price</w:t>
            </w:r>
          </w:p>
        </w:tc>
        <w:tc>
          <w:tcPr>
            <w:tcW w:w="19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0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87"/>
              </w:rPr>
              <w:t>of Shares</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9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948"/>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7"/>
                <w:szCs w:val="7"/>
                <w:b w:val="1"/>
                <w:bCs w:val="1"/>
                <w:color w:val="auto"/>
                <w:w w:val="90"/>
              </w:rPr>
              <w:t>(1)</w:t>
            </w:r>
          </w:p>
        </w:tc>
        <w:tc>
          <w:tcPr>
            <w:tcW w:w="5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Paid Per Share</w:t>
            </w:r>
          </w:p>
        </w:tc>
        <w:tc>
          <w:tcPr>
            <w:tcW w:w="1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or Programs</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7"/>
                <w:szCs w:val="7"/>
                <w:b w:val="1"/>
                <w:bCs w:val="1"/>
                <w:color w:val="auto"/>
                <w:w w:val="92"/>
              </w:rPr>
              <w:t>(2)</w:t>
            </w: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4/1/2019 - 4/30/2019</w:t>
            </w:r>
          </w:p>
        </w:tc>
        <w:tc>
          <w:tcPr>
            <w:tcW w:w="20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29.68</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79,986</w:t>
            </w:r>
          </w:p>
        </w:tc>
        <w:tc>
          <w:tcPr>
            <w:tcW w:w="0" w:type="dxa"/>
            <w:vAlign w:val="bottom"/>
          </w:tcPr>
          <w:p>
            <w:pPr>
              <w:spacing w:after="0"/>
              <w:rPr>
                <w:sz w:val="1"/>
                <w:szCs w:val="1"/>
                <w:color w:val="auto"/>
              </w:rPr>
            </w:pP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color w:val="auto"/>
              </w:rPr>
              <w:t>5/1/2019 - 5/31/2019</w:t>
            </w:r>
          </w:p>
        </w:tc>
        <w:tc>
          <w:tcPr>
            <w:tcW w:w="2060" w:type="dxa"/>
            <w:vAlign w:val="bottom"/>
          </w:tcPr>
          <w:p>
            <w:pPr>
              <w:spacing w:after="0"/>
              <w:rPr>
                <w:sz w:val="22"/>
                <w:szCs w:val="22"/>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960</w:t>
            </w:r>
          </w:p>
        </w:tc>
        <w:tc>
          <w:tcPr>
            <w:tcW w:w="440" w:type="dxa"/>
            <w:vAlign w:val="bottom"/>
          </w:tcPr>
          <w:p>
            <w:pPr>
              <w:spacing w:after="0"/>
              <w:rPr>
                <w:sz w:val="22"/>
                <w:szCs w:val="22"/>
                <w:color w:val="auto"/>
              </w:rPr>
            </w:pPr>
          </w:p>
        </w:tc>
        <w:tc>
          <w:tcPr>
            <w:tcW w:w="1920" w:type="dxa"/>
            <w:vAlign w:val="bottom"/>
          </w:tcPr>
          <w:p>
            <w:pPr>
              <w:jc w:val="right"/>
              <w:ind w:right="228"/>
              <w:spacing w:after="0"/>
              <w:rPr>
                <w:sz w:val="20"/>
                <w:szCs w:val="20"/>
                <w:color w:val="auto"/>
              </w:rPr>
            </w:pPr>
            <w:r>
              <w:rPr>
                <w:rFonts w:ascii="Arial" w:cs="Arial" w:eastAsia="Arial" w:hAnsi="Arial"/>
                <w:sz w:val="14"/>
                <w:szCs w:val="14"/>
                <w:color w:val="auto"/>
              </w:rPr>
              <w:t>30.17</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919</w:t>
            </w:r>
          </w:p>
        </w:tc>
        <w:tc>
          <w:tcPr>
            <w:tcW w:w="3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152,241</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6/1/2019 - 6/30/2019</w:t>
            </w:r>
          </w:p>
        </w:tc>
        <w:tc>
          <w:tcPr>
            <w:tcW w:w="2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1,153</w:t>
            </w:r>
          </w:p>
        </w:tc>
        <w:tc>
          <w:tcPr>
            <w:tcW w:w="4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32.65</w:t>
            </w:r>
          </w:p>
        </w:tc>
        <w:tc>
          <w:tcPr>
            <w:tcW w:w="1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1,153</w:t>
            </w:r>
          </w:p>
        </w:tc>
        <w:tc>
          <w:tcPr>
            <w:tcW w:w="3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114,580</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2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2,114</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31.52</w:t>
            </w: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114,580</w:t>
            </w: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64"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40" w:lineRule="exact"/>
        <w:rPr>
          <w:rFonts w:ascii="Arial" w:cs="Arial" w:eastAsia="Arial" w:hAnsi="Arial"/>
          <w:sz w:val="18"/>
          <w:szCs w:val="18"/>
          <w:color w:val="auto"/>
        </w:rPr>
      </w:pPr>
    </w:p>
    <w:p>
      <w:pPr>
        <w:ind w:left="340" w:hanging="332"/>
        <w:spacing w:after="0" w:line="272" w:lineRule="auto"/>
        <w:tabs>
          <w:tab w:leader="none" w:pos="271"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October 2017, our Board of Directors ("Board") approved a common stock repurchase program which replaced the remainder of the existing program and authorized the purchase of up to $100.0 million in common stock (the “Repurchase Program”). In May 2019, our Board approved a $100 million increase to the Repurchase Program, increasing the available authorization remaining under the Repurchase Program to approximately $150 million. The Repurchase Program does not require a minimum number of shares of common stock to be purchased, has no expiration date and may be suspended or discontinued at any time. As of June 30, 2019, approximately $114.6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196" w:lineRule="exact"/>
              <w:rPr>
                <w:rFonts w:ascii="Arial" w:cs="Arial" w:eastAsia="Arial" w:hAnsi="Arial"/>
                <w:sz w:val="18"/>
                <w:szCs w:val="18"/>
                <w:color w:val="0000FF"/>
                <w:w w:val="85"/>
              </w:rPr>
            </w:pPr>
            <w:hyperlink w:anchor="page4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37" w:lineRule="exact"/>
        <w:rPr>
          <w:sz w:val="20"/>
          <w:szCs w:val="20"/>
          <w:color w:val="auto"/>
        </w:rPr>
      </w:pPr>
    </w:p>
    <w:p>
      <w:pPr>
        <w:jc w:val="both"/>
        <w:ind w:left="1980" w:right="20" w:hanging="1357"/>
        <w:spacing w:after="0" w:line="259"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June 30, 2019,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26, 2019</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2019;</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26, 2019</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2019;</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26,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2019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26,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emdash "/>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2019-12-28T09:52:43Z</dcterms:created>
  <dcterms:modified xsi:type="dcterms:W3CDTF">2019-12-28T09:52:43Z</dcterms:modified>
</cp:coreProperties>
</file>