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February 9, 2018</w:t>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05" w:lineRule="exact"/>
        <w:rPr>
          <w:sz w:val="24"/>
          <w:szCs w:val="24"/>
          <w:color w:val="auto"/>
        </w:rPr>
      </w:pPr>
    </w:p>
    <w:p>
      <w:pPr>
        <w:spacing w:after="0"/>
        <w:rPr>
          <w:sz w:val="20"/>
          <w:szCs w:val="20"/>
          <w:color w:val="auto"/>
        </w:rPr>
      </w:pPr>
      <w:r>
        <w:rPr>
          <w:rFonts w:ascii="Arial" w:cs="Arial" w:eastAsia="Arial" w:hAnsi="Arial"/>
          <w:sz w:val="22"/>
          <w:szCs w:val="22"/>
          <w:color w:val="auto"/>
        </w:rPr>
        <w:t>Emerging growth company [  ]</w:t>
      </w:r>
    </w:p>
    <w:p>
      <w:pPr>
        <w:spacing w:after="0" w:line="206" w:lineRule="exact"/>
        <w:rPr>
          <w:sz w:val="24"/>
          <w:szCs w:val="24"/>
          <w:color w:val="auto"/>
        </w:rPr>
      </w:pPr>
    </w:p>
    <w:p>
      <w:pPr>
        <w:jc w:val="both"/>
        <w:ind w:right="24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463" w:right="319" w:bottom="1440" w:gutter="0" w:footer="0" w:header="0"/>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527"/>
        <w:spacing w:after="0" w:line="238" w:lineRule="auto"/>
        <w:rPr>
          <w:sz w:val="20"/>
          <w:szCs w:val="20"/>
          <w:color w:val="auto"/>
        </w:rPr>
      </w:pPr>
      <w:r>
        <w:rPr>
          <w:rFonts w:ascii="Arial" w:cs="Arial" w:eastAsia="Arial" w:hAnsi="Arial"/>
          <w:sz w:val="22"/>
          <w:szCs w:val="22"/>
          <w:color w:val="auto"/>
        </w:rPr>
        <w:t>On February 9, 2018, World Fuel Services Corporation (the “Company”) issued a press release announcing that a conference call has been scheduled on Thursday, February 22, 2018 at 5:00PM Eastern Time to discuss the Company’s fourth quarter and year-end 2017 results, as well as certain forward-looking financial information. A copy of the press release is attached hereto as Exhibit 99.1.</w:t>
      </w:r>
    </w:p>
    <w:p>
      <w:pPr>
        <w:spacing w:after="0" w:line="185" w:lineRule="exact"/>
        <w:rPr>
          <w:sz w:val="20"/>
          <w:szCs w:val="20"/>
          <w:color w:val="auto"/>
        </w:rPr>
      </w:pPr>
    </w:p>
    <w:p>
      <w:pPr>
        <w:jc w:val="both"/>
        <w:ind w:firstLine="530"/>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ind w:left="240"/>
              <w:spacing w:after="0"/>
              <w:rPr>
                <w:sz w:val="20"/>
                <w:szCs w:val="20"/>
                <w:color w:val="auto"/>
              </w:rPr>
            </w:pPr>
            <w:r>
              <w:rPr>
                <w:rFonts w:ascii="Arial" w:cs="Arial" w:eastAsia="Arial" w:hAnsi="Arial"/>
                <w:sz w:val="18"/>
                <w:szCs w:val="18"/>
                <w:color w:val="auto"/>
              </w:rPr>
              <w:t>(d)</w:t>
            </w:r>
          </w:p>
        </w:tc>
        <w:tc>
          <w:tcPr>
            <w:tcW w:w="126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880" w:type="dxa"/>
            <w:vAlign w:val="bottom"/>
          </w:tcPr>
          <w:p>
            <w:pPr>
              <w:spacing w:after="0"/>
              <w:rPr>
                <w:sz w:val="20"/>
                <w:szCs w:val="20"/>
                <w:color w:val="auto"/>
              </w:rPr>
            </w:pPr>
          </w:p>
        </w:tc>
        <w:tc>
          <w:tcPr>
            <w:tcW w:w="8580" w:type="dxa"/>
            <w:vAlign w:val="bottom"/>
          </w:tcPr>
          <w:p>
            <w:pPr>
              <w:spacing w:after="0"/>
              <w:rPr>
                <w:sz w:val="20"/>
                <w:szCs w:val="20"/>
                <w:color w:val="auto"/>
              </w:rPr>
            </w:pPr>
          </w:p>
        </w:tc>
      </w:tr>
      <w:tr>
        <w:trPr>
          <w:trHeight w:val="446"/>
        </w:trPr>
        <w:tc>
          <w:tcPr>
            <w:tcW w:w="70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42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Description</w:t>
            </w:r>
          </w:p>
        </w:tc>
        <w:tc>
          <w:tcPr>
            <w:tcW w:w="8580" w:type="dxa"/>
            <w:vAlign w:val="bottom"/>
          </w:tcPr>
          <w:p>
            <w:pPr>
              <w:spacing w:after="0"/>
              <w:rPr>
                <w:sz w:val="24"/>
                <w:szCs w:val="24"/>
                <w:color w:val="auto"/>
              </w:rPr>
            </w:pPr>
          </w:p>
        </w:tc>
      </w:tr>
      <w:tr>
        <w:trPr>
          <w:trHeight w:val="507"/>
        </w:trPr>
        <w:tc>
          <w:tcPr>
            <w:tcW w:w="7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Press Release, dated February 9, 2018.</w:t>
            </w:r>
          </w:p>
        </w:tc>
      </w:tr>
      <w:tr>
        <w:trPr>
          <w:trHeight w:val="230"/>
        </w:trPr>
        <w:tc>
          <w:tcPr>
            <w:tcW w:w="70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8580" w:type="dxa"/>
            <w:vAlign w:val="bottom"/>
            <w:tcBorders>
              <w:bottom w:val="single" w:sz="8" w:color="9A9A9A"/>
            </w:tcBorders>
          </w:tcPr>
          <w:p>
            <w:pPr>
              <w:spacing w:after="0"/>
              <w:rPr>
                <w:sz w:val="19"/>
                <w:szCs w:val="19"/>
                <w:color w:val="auto"/>
              </w:rPr>
            </w:pPr>
          </w:p>
        </w:tc>
      </w:tr>
      <w:tr>
        <w:trPr>
          <w:trHeight w:val="21"/>
        </w:trPr>
        <w:tc>
          <w:tcPr>
            <w:tcW w:w="7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5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ind w:firstLine="405"/>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6520" w:val="left"/>
        </w:tabs>
        <w:rPr>
          <w:sz w:val="20"/>
          <w:szCs w:val="20"/>
          <w:color w:val="auto"/>
        </w:rPr>
      </w:pPr>
      <w:r>
        <w:rPr>
          <w:rFonts w:ascii="Arial" w:cs="Arial" w:eastAsia="Arial" w:hAnsi="Arial"/>
          <w:sz w:val="18"/>
          <w:szCs w:val="18"/>
          <w:color w:val="auto"/>
        </w:rPr>
        <w:t>Date:</w:t>
        <w:tab/>
        <w:t>February 9, 2018</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2383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Chief Legal Officer</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February 9, 2018.</w:t>
        </w:r>
      </w:hyperlink>
    </w:p>
    <w:p>
      <w:pPr>
        <w:sectPr>
          <w:pgSz w:w="11900" w:h="16838" w:orient="portrait"/>
          <w:cols w:equalWidth="0" w:num="1">
            <w:col w:w="10219"/>
          </w:cols>
          <w:pgMar w:left="240" w:top="118" w:right="1440"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940"/>
        <w:spacing w:after="0"/>
        <w:rPr>
          <w:sz w:val="20"/>
          <w:szCs w:val="20"/>
          <w:color w:val="auto"/>
        </w:rPr>
      </w:pPr>
      <w:r>
        <w:rPr>
          <w:rFonts w:ascii="Arial" w:cs="Arial" w:eastAsia="Arial" w:hAnsi="Arial"/>
          <w:sz w:val="21"/>
          <w:szCs w:val="21"/>
          <w:b w:val="1"/>
          <w:bCs w:val="1"/>
          <w:color w:val="auto"/>
        </w:rPr>
        <w:t>World Fuel Services Corporation to Host Fourth Quarter and Full Year 2017 Earnings Conference Call</w:t>
      </w:r>
    </w:p>
    <w:p>
      <w:pPr>
        <w:spacing w:after="0" w:line="224"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MIAMI--(BUSINESS WIRE)--February 9, 2018--World Fuel Services Corporation (NYSE:INT) invites you to participate in a conference call with its management team on Thursday, February 22, 2018 at 5:00PM Eastern Time to discuss the Company’s fourth quarter results and full year results, as well as certain forward-looking financial information. The Company plans to release its fourth quarter results after the market closes on the same date.</w:t>
      </w:r>
    </w:p>
    <w:p>
      <w:pPr>
        <w:spacing w:after="0" w:line="185" w:lineRule="exact"/>
        <w:rPr>
          <w:sz w:val="20"/>
          <w:szCs w:val="20"/>
          <w:color w:val="auto"/>
        </w:rPr>
      </w:pPr>
    </w:p>
    <w:p>
      <w:pPr>
        <w:jc w:val="both"/>
        <w:ind w:right="380"/>
        <w:spacing w:after="0" w:line="297" w:lineRule="auto"/>
        <w:rPr>
          <w:sz w:val="20"/>
          <w:szCs w:val="20"/>
          <w:color w:val="auto"/>
        </w:rPr>
      </w:pPr>
      <w:r>
        <w:rPr>
          <w:rFonts w:ascii="Arial" w:cs="Arial" w:eastAsia="Arial" w:hAnsi="Arial"/>
          <w:sz w:val="19"/>
          <w:szCs w:val="19"/>
          <w:color w:val="auto"/>
        </w:rPr>
        <w:t>The live conference call will be accessible by telephone at (800) 909-4195 (within the United States and Canada) or (212) 231-2909 (International). Audio replay of the call will be available through March 8, 2018. The replay numbers are: (800) 633-8284 (within the United States and Canada) and (402) 977-9140 (International). The call ID is 21882673.</w:t>
      </w:r>
    </w:p>
    <w:p>
      <w:pPr>
        <w:spacing w:after="0" w:line="134"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March 8, 2018.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540"/>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 &amp; Investor Relations</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2019-12-29T01:33:34Z</dcterms:created>
  <dcterms:modified xsi:type="dcterms:W3CDTF">2019-12-29T01:33:34Z</dcterms:modified>
</cp:coreProperties>
</file>