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7"/>
                </w:rPr>
                <w:t>Roddenberry Stephen K</w:t>
              </w:r>
            </w:hyperlink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WORLD FUEL SERVICES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INT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05/29/2015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S.E. THIRD AVENUE, 28TH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MIAMI</w:t>
            </w:r>
          </w:p>
        </w:tc>
        <w:tc>
          <w:tcPr>
            <w:tcW w:w="12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FL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33131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05/29/2015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66,022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were issued as a restricted stock unit grant to the reporting person by the issuer under the issuer's 2006 Omnibus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restricted stock units shall vest on the earlier of: (i) the day prior to the annual meeting of the shareholders of the issuer that next follows the grant date or (ii) the one-year anniversary of the grant date.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Stephen K. Roddenberry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06/02/2015</w:t>
            </w:r>
          </w:p>
        </w:tc>
      </w:tr>
      <w:tr>
        <w:trPr>
          <w:trHeight w:val="20"/>
        </w:trPr>
        <w:tc>
          <w:tcPr>
            <w:tcW w:w="19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6509" TargetMode="External"/><Relationship Id="rId13" Type="http://schemas.openxmlformats.org/officeDocument/2006/relationships/hyperlink" Target="http://www.sec.gov/cgi-bin/browse-edgar?action=getcompany&amp;CIK=00007894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2019-12-23T22:36:33Z</dcterms:created>
  <dcterms:modified xsi:type="dcterms:W3CDTF">2019-12-23T22:36:33Z</dcterms:modified>
</cp:coreProperties>
</file>